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t xml:space="preserve">国内爆款短剧排行榜与流行趋势 2026-04 月报</w:t>
      </w:r>
    </w:p>
    <w:p>
      <w:r>
        <w:t xml:space="preserve">被总结月份：2026-04</w:t>
      </w:r>
    </w:p>
    <w:p>
      <w:r>
        <w:t xml:space="preserve">一、本月一句话总结：平台治理与商业化规则并进，内容模板化明显。</w:t>
      </w:r>
    </w:p>
    <w:p>
      <w:r>
        <w:t xml:space="preserve">二、月度观察</w:t>
      </w:r>
    </w:p>
    <w:p>
      <w:r>
        <w:t xml:space="preserve">- 2026-04-08 QuestMobile 观察：短剧用户规模与消费习惯继续变化</w:t>
      </w:r>
    </w:p>
    <w:p>
      <w:r>
        <w:t xml:space="preserve">- 2026-04-13 平台加码短剧合作与版权治理动作</w:t>
      </w:r>
    </w:p>
    <w:p>
      <w:r>
        <w:t xml:space="preserve">- 2026-04-16 行业讨论高频题材与人设标签化</w:t>
      </w:r>
    </w:p>
    <w:p>
      <w:r>
        <w:t xml:space="preserve">- 2026-04-22 短剧商业化与分账策略持续迭代</w:t>
      </w:r>
    </w:p>
    <w:p>
      <w:r>
        <w:t xml:space="preserve">- 2026-04-28 官方传播“漫剧”样本，内容形态继续分化</w:t>
      </w:r>
    </w:p>
    <w:p>
      <w:r>
        <w:t xml:space="preserve">三、来源见 sources.json</w:t>
      </w:r>
    </w:p>
    <w:sectPr/>
  </w:body>
</w:document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国内爆款短剧排行榜与流行趋势 2026-04 月报</dc:title>
  <dc:creator>codex-ai-news-workbench</dc:creator>
  <cp:lastModifiedBy>codex-ai-news-workbench</cp:lastModifiedBy>
  <dcterms:created xsi:type="dcterms:W3CDTF">2026-05-03T13:00:00Z</dcterms:created>
  <dcterms:modified xsi:type="dcterms:W3CDTF">2026-05-03T13:00:00Z</dcterms:modified>
</cp:coreProperties>
</file>