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全球 AI 热点新闻 2026-05-02 日报</w:t>
      </w:r>
    </w:p>
    <w:p>
      <w:r>
        <w:t xml:space="preserve">被总结日期：2026-05-02</w:t>
      </w:r>
    </w:p>
    <w:p>
      <w:r>
        <w:t xml:space="preserve">一、昨日一句话总结：前沿模型治理与高安全部署并行推进。</w:t>
      </w:r>
    </w:p>
    <w:p>
      <w:r>
        <w:t xml:space="preserve">二、重要事件（5条）</w:t>
      </w:r>
    </w:p>
    <w:p>
      <w:r>
        <w:t xml:space="preserve">1. [高] 美国国防部推进机密网络 AI 部署（延续观察）（2026-05-01）</w:t>
      </w:r>
    </w:p>
    <w:p>
      <w:r>
        <w:t xml:space="preserve">   概述：美方公布与多家 AI 厂商合作，把 AI 能力部署到更高安全级别网络。</w:t>
      </w:r>
    </w:p>
    <w:p>
      <w:r>
        <w:t xml:space="preserve">   启发：ManJuFlow 可强化多模型路由与审计留痕。</w:t>
      </w:r>
    </w:p>
    <w:p>
      <w:r>
        <w:t xml:space="preserve">2. [中] OpenAI 发布 GPT-5.5 System Card（延续观察）（2026-04-23）</w:t>
      </w:r>
    </w:p>
    <w:p>
      <w:r>
        <w:t xml:space="preserve">   概述：披露能力评估、风险测试与部署治理信息。</w:t>
      </w:r>
    </w:p>
    <w:p>
      <w:r>
        <w:t xml:space="preserve">   启发：可作为模型准入与风险分级模板。</w:t>
      </w:r>
    </w:p>
    <w:p>
      <w:r>
        <w:t xml:space="preserve">3. [中] OpenAI 发布 ChatGPT Images 2.0 System Card（延续观察）（2026-04-21）</w:t>
      </w:r>
    </w:p>
    <w:p>
      <w:r>
        <w:t xml:space="preserve">   概述：公开图像与推理模式的安全评估。</w:t>
      </w:r>
    </w:p>
    <w:p>
      <w:r>
        <w:t xml:space="preserve">   启发：可前置生成内容安全校验与水印策略。</w:t>
      </w:r>
    </w:p>
    <w:p>
      <w:r>
        <w:t xml:space="preserve">4. [中] Anthropic System Cards 在 4 月更新（延续观察）（2026-04）</w:t>
      </w:r>
    </w:p>
    <w:p>
      <w:r>
        <w:t xml:space="preserve">   概述：系统卡目录出现 4 月新增/更新条目。</w:t>
      </w:r>
    </w:p>
    <w:p>
      <w:r>
        <w:t xml:space="preserve">   启发：将系统卡完备性纳入模型供应商评分。</w:t>
      </w:r>
    </w:p>
    <w:p>
      <w:r>
        <w:t xml:space="preserve">5. [中] Meta 发布欧洲 AI 竞争与产业化观察（延续观察）（2026-04-07）</w:t>
      </w:r>
    </w:p>
    <w:p>
      <w:r>
        <w:t xml:space="preserve">   概述：Meta 在公开文章中讨论欧洲 AI 竞争窗口与政策环境。</w:t>
      </w:r>
    </w:p>
    <w:p>
      <w:r>
        <w:t xml:space="preserve">   启发：跨区域产品应预设差异化合规策略。</w:t>
      </w:r>
    </w:p>
    <w:p>
      <w:r>
        <w:t xml:space="preserve">三、来源见 sources.json</w:t>
      </w:r>
    </w:p>
    <w:sectPr/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全球 AI 热点新闻 2026-05-02 日报</dc:title>
  <dc:creator>codex-ai-news-workbench</dc:creator>
  <cp:lastModifiedBy>codex-ai-news-workbench</cp:lastModifiedBy>
  <dcterms:created xsi:type="dcterms:W3CDTF">2026-05-03T13:00:00Z</dcterms:created>
  <dcterms:modified xsi:type="dcterms:W3CDTF">2026-05-03T13:00:00Z</dcterms:modified>
</cp:coreProperties>
</file>