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051560"/>
                    </a:xfrm>
                    <a:prstGeom prst="rect"/>
                  </pic:spPr>
                </pic:pic>
              </a:graphicData>
            </a:graphic>
          </wp:inline>
        </w:drawing>
      </w:r>
    </w:p>
    <w:p>
      <w:pPr>
        <w:pStyle w:val="Subtitle"/>
        <w:jc w:val="center"/>
      </w:pPr>
      <w:r>
        <w:t>V A E L O R Y N</w:t>
      </w:r>
    </w:p>
    <w:p>
      <w:pPr>
        <w:pStyle w:val="Title"/>
        <w:jc w:val="center"/>
      </w:pPr>
      <w:r>
        <w:t>PRODUCT</w:t>
        <w:br/>
        <w:t>DOCUMENTATION</w:t>
      </w:r>
      <w:r>
        <w:rPr>
          <w:color w:val="C99A39"/>
        </w:rPr>
        <w:br/>
        <w:t>VAELO Ecosystem &amp; Product Overview</w:t>
      </w:r>
    </w:p>
    <w:p>
      <w:pPr>
        <w:jc w:val="center"/>
      </w:pPr>
      <w:r>
        <w:br/>
        <w:t>Version 1.0  •  August 2026</w:t>
        <w:br/>
        <w:t>Prepared for a Fjord Foundry partnered public-sale application.</w:t>
      </w:r>
      <w:r>
        <w:rPr>
          <w:b/>
        </w:rPr>
        <w:br/>
        <w:br/>
        <w:t>Canonical Base Mainnet deployment: NOT DEPLOYED</w:t>
      </w:r>
    </w:p>
    <w:p>
      <w:r>
        <w:br w:type="page"/>
      </w:r>
    </w:p>
    <w:p>
      <w:pPr>
        <w:pStyle w:val="Heading1"/>
      </w:pPr>
      <w:r>
        <w:t>Contents</w:t>
      </w:r>
    </w:p>
    <w:p>
      <w:r>
        <w:rPr>
          <w:b/>
          <w:color w:val="C99A39"/>
        </w:rPr>
        <w:t xml:space="preserve">01  </w:t>
      </w:r>
      <w:r>
        <w:t>Executive overview</w:t>
      </w:r>
    </w:p>
    <w:p>
      <w:r>
        <w:rPr>
          <w:b/>
          <w:color w:val="C99A39"/>
        </w:rPr>
        <w:t xml:space="preserve">02  </w:t>
      </w:r>
      <w:r>
        <w:t>The problem</w:t>
      </w:r>
    </w:p>
    <w:p>
      <w:r>
        <w:rPr>
          <w:b/>
          <w:color w:val="C99A39"/>
        </w:rPr>
        <w:t xml:space="preserve">03  </w:t>
      </w:r>
      <w:r>
        <w:t>The Vaeloryn vision</w:t>
      </w:r>
    </w:p>
    <w:p>
      <w:r>
        <w:rPr>
          <w:b/>
          <w:color w:val="C99A39"/>
        </w:rPr>
        <w:t xml:space="preserve">04  </w:t>
      </w:r>
      <w:r>
        <w:t>The Vaeloryn ecosystem</w:t>
      </w:r>
    </w:p>
    <w:p>
      <w:r>
        <w:rPr>
          <w:b/>
          <w:color w:val="C99A39"/>
        </w:rPr>
        <w:t xml:space="preserve">05  </w:t>
      </w:r>
      <w:r>
        <w:t>VAELO token</w:t>
      </w:r>
    </w:p>
    <w:p>
      <w:r>
        <w:rPr>
          <w:b/>
          <w:color w:val="C99A39"/>
        </w:rPr>
        <w:t xml:space="preserve">06  </w:t>
      </w:r>
      <w:r>
        <w:t>Product and token utility</w:t>
      </w:r>
    </w:p>
    <w:p>
      <w:r>
        <w:rPr>
          <w:b/>
          <w:color w:val="C99A39"/>
        </w:rPr>
        <w:t xml:space="preserve">07  </w:t>
      </w:r>
      <w:r>
        <w:t>Tokenomics</w:t>
      </w:r>
    </w:p>
    <w:p>
      <w:r>
        <w:rPr>
          <w:b/>
          <w:color w:val="C99A39"/>
        </w:rPr>
        <w:t xml:space="preserve">08  </w:t>
      </w:r>
      <w:r>
        <w:t>Founder vesting</w:t>
      </w:r>
    </w:p>
    <w:p>
      <w:r>
        <w:rPr>
          <w:b/>
          <w:color w:val="C99A39"/>
        </w:rPr>
        <w:t xml:space="preserve">09  </w:t>
      </w:r>
      <w:r>
        <w:t>Technical architecture</w:t>
      </w:r>
    </w:p>
    <w:p>
      <w:r>
        <w:rPr>
          <w:b/>
          <w:color w:val="C99A39"/>
        </w:rPr>
        <w:t xml:space="preserve">10  </w:t>
      </w:r>
      <w:r>
        <w:t>Security and testing</w:t>
      </w:r>
    </w:p>
    <w:p>
      <w:r>
        <w:rPr>
          <w:b/>
          <w:color w:val="C99A39"/>
        </w:rPr>
        <w:t xml:space="preserve">11  </w:t>
      </w:r>
      <w:r>
        <w:t>Treasury and allocation structure</w:t>
      </w:r>
    </w:p>
    <w:p>
      <w:r>
        <w:rPr>
          <w:b/>
          <w:color w:val="C99A39"/>
        </w:rPr>
        <w:t xml:space="preserve">12  </w:t>
      </w:r>
      <w:r>
        <w:t>Initial public sale</w:t>
      </w:r>
    </w:p>
    <w:p>
      <w:r>
        <w:rPr>
          <w:b/>
          <w:color w:val="C99A39"/>
        </w:rPr>
        <w:t xml:space="preserve">13  </w:t>
      </w:r>
      <w:r>
        <w:t>Use of initial capital</w:t>
      </w:r>
    </w:p>
    <w:p>
      <w:r>
        <w:rPr>
          <w:b/>
          <w:color w:val="C99A39"/>
        </w:rPr>
        <w:t xml:space="preserve">14  </w:t>
      </w:r>
      <w:r>
        <w:t>Roadmap</w:t>
      </w:r>
    </w:p>
    <w:p>
      <w:r>
        <w:rPr>
          <w:b/>
          <w:color w:val="C99A39"/>
        </w:rPr>
        <w:t xml:space="preserve">15  </w:t>
      </w:r>
      <w:r>
        <w:t>Current development status</w:t>
      </w:r>
    </w:p>
    <w:p>
      <w:r>
        <w:rPr>
          <w:b/>
          <w:color w:val="C99A39"/>
        </w:rPr>
        <w:t xml:space="preserve">16  </w:t>
      </w:r>
      <w:r>
        <w:t>Transparency and verification</w:t>
      </w:r>
    </w:p>
    <w:p>
      <w:r>
        <w:rPr>
          <w:b/>
          <w:color w:val="C99A39"/>
        </w:rPr>
        <w:t xml:space="preserve">17  </w:t>
      </w:r>
      <w:r>
        <w:t>Risks and limitations</w:t>
      </w:r>
    </w:p>
    <w:p>
      <w:r>
        <w:rPr>
          <w:b/>
          <w:color w:val="C99A39"/>
        </w:rPr>
        <w:t xml:space="preserve">18  </w:t>
      </w:r>
      <w:r>
        <w:t>Contact and links</w:t>
      </w:r>
    </w:p>
    <w:p>
      <w:r>
        <w:br/>
        <w:t>Important status statement: the canonical VAELO protocol is implemented and internally tested, but has not been deployed on Base Mainnet. No Fjord sale has been created, approved, funded or launched.</w:t>
      </w:r>
    </w:p>
    <w:p>
      <w:r>
        <w:br w:type="page"/>
      </w:r>
    </w:p>
    <w:p>
      <w:pPr>
        <w:pStyle w:val="Heading2"/>
      </w:pPr>
      <w:r>
        <w:t>01 / PRODUCT DOCUMENTATION</w:t>
      </w:r>
    </w:p>
    <w:p>
      <w:pPr>
        <w:pStyle w:val="Heading1"/>
      </w:pPr>
      <w:r>
        <w:t>Executive overview</w:t>
      </w:r>
    </w:p>
    <w:p>
      <w:r>
        <w:rPr>
          <w:b/>
          <w:color w:val="77561F"/>
        </w:rPr>
        <w:t>CURRENT STAGE — FOUNDATION / PRE-DEPLOYMENT</w:t>
      </w:r>
    </w:p>
    <w:p>
      <w:r>
        <w:t>Vaeloryn is being developed as a long-term ecosystem intended to connect capital, expertise, technology and opportunity around projects capable of contributing to meaningful advances in science, medicine, energy and frontier technology.</w:t>
      </w:r>
    </w:p>
    <w:p>
      <w:r>
        <w:t>The ambition is to create infrastructure through which resources can be coordinated toward real-world scientific and technological development. The canonical protocol is implemented and tested locally, but the broader ecosystem is not yet fully operational. Base Mainnet deployment, independent security review, the Fjord sale and full ecosystem launch remain incomplete.</w:t>
      </w:r>
    </w:p>
    <w:p>
      <w:r>
        <w:br w:type="page"/>
      </w:r>
    </w:p>
    <w:p>
      <w:pPr>
        <w:pStyle w:val="Heading2"/>
      </w:pPr>
      <w:r>
        <w:t>02 / PRODUCT DOCUMENTATION</w:t>
      </w:r>
    </w:p>
    <w:p>
      <w:pPr>
        <w:pStyle w:val="Heading1"/>
      </w:pPr>
      <w:r>
        <w:t>The problem</w:t>
      </w:r>
    </w:p>
    <w:p>
      <w:r>
        <w:rPr>
          <w:b/>
          <w:color w:val="77561F"/>
        </w:rPr>
        <w:t>PROBLEM STATEMENT — NOT A CLAIM OF RESOLUTION</w:t>
      </w:r>
    </w:p>
    <w:p>
      <w:r>
        <w:t>Promising scientific and technological initiatives can struggle to move from idea to implementation because required resources are fragmented. A coordinated ecosystem could potentially shorten this path by bringing complementary inputs together, while preserving project-specific diligence and execution discipline.</w:t>
      </w:r>
    </w:p>
    <w:p>
      <w:pPr>
        <w:pStyle w:val="ListBullet"/>
      </w:pPr>
      <w:r>
        <w:t>Capital</w:t>
      </w:r>
    </w:p>
    <w:p>
      <w:pPr>
        <w:pStyle w:val="ListBullet"/>
      </w:pPr>
      <w:r>
        <w:t>Specialist expertise</w:t>
      </w:r>
    </w:p>
    <w:p>
      <w:pPr>
        <w:pStyle w:val="ListBullet"/>
      </w:pPr>
      <w:r>
        <w:t>Technical and physical infrastructure</w:t>
      </w:r>
    </w:p>
    <w:p>
      <w:pPr>
        <w:pStyle w:val="ListBullet"/>
      </w:pPr>
      <w:r>
        <w:t>Professional networks</w:t>
      </w:r>
    </w:p>
    <w:p>
      <w:pPr>
        <w:pStyle w:val="ListBullet"/>
      </w:pPr>
      <w:r>
        <w:t>Development resources</w:t>
      </w:r>
    </w:p>
    <w:p>
      <w:pPr>
        <w:pStyle w:val="ListBullet"/>
      </w:pPr>
      <w:r>
        <w:t>Long-term support</w:t>
      </w:r>
    </w:p>
    <w:p>
      <w:r>
        <w:br w:type="page"/>
      </w:r>
    </w:p>
    <w:p>
      <w:pPr>
        <w:pStyle w:val="Heading2"/>
      </w:pPr>
      <w:r>
        <w:t>03 / PRODUCT DOCUMENTATION</w:t>
      </w:r>
    </w:p>
    <w:p>
      <w:pPr>
        <w:pStyle w:val="Heading1"/>
      </w:pPr>
      <w:r>
        <w:t>The Vaeloryn vision</w:t>
      </w:r>
    </w:p>
    <w:p>
      <w:r>
        <w:rPr>
          <w:b/>
          <w:color w:val="77561F"/>
        </w:rPr>
        <w:t>LONG-TERM VISION — PLANNED</w:t>
      </w:r>
    </w:p>
    <w:p>
      <w:r>
        <w:t>Vaeloryn’s long-term vision is to help coordinate the inputs required to move credible ideas toward measurable real-world development.</w:t>
      </w:r>
    </w:p>
    <w:p>
      <w:pPr>
        <w:jc w:val="center"/>
      </w:pPr>
      <w:r>
        <w:rPr>
          <w:rFonts w:ascii="Georgia" w:hAnsi="Georgia"/>
          <w:color w:val="8C6828"/>
          <w:sz w:val="34"/>
        </w:rPr>
        <w:t>Capital + Expertise + Technology + Execution → Real-world innovation</w:t>
      </w:r>
    </w:p>
    <w:p>
      <w:r>
        <w:t>Intended areas of focus include medical science, energy, artificial intelligence, computing, aerospace, engineering, fundamental science and other frontier technologies. These are areas of interest, not claims that Vaeloryn currently operates projects in every field.</w:t>
      </w:r>
    </w:p>
    <w:p>
      <w:r>
        <w:br w:type="page"/>
      </w:r>
    </w:p>
    <w:p>
      <w:pPr>
        <w:pStyle w:val="Heading2"/>
      </w:pPr>
      <w:r>
        <w:t>04 / PRODUCT DOCUMENTATION</w:t>
      </w:r>
    </w:p>
    <w:p>
      <w:pPr>
        <w:pStyle w:val="Heading1"/>
      </w:pPr>
      <w:r>
        <w:t>The Vaeloryn ecosystem</w:t>
      </w:r>
    </w:p>
    <w:p>
      <w:r>
        <w:rPr>
          <w:b/>
          <w:color w:val="77561F"/>
        </w:rPr>
        <w:t>PLANNED ECOSYSTEM ARCHITECTURE</w:t>
      </w:r>
    </w:p>
    <w:p>
      <w:r>
        <w:t>Participants may contribute capital, expertise, ideas, technology or execution capability. The intended VAELO ecosystem would coordinate appropriate forms of participation around selected initiatives.</w:t>
      </w:r>
    </w:p>
    <w:p>
      <w:r>
        <w:t>Initiatives would still require independent evaluation, development, governance, compliance and execution. Real-world outcomes are an objective, not a guaranteed result. Successful work could expand the ecosystem’s future capacity.</w:t>
      </w:r>
    </w:p>
    <w:p>
      <w:r>
        <w:t>Current state: the token protocol, documentation and preparation materials exist; operational products, selected flagship initiatives and a fully functioning participant network remain in development.</w:t>
      </w:r>
    </w:p>
    <w:p>
      <w:pPr>
        <w:jc w:val="center"/>
      </w:pPr>
      <w:r>
        <w:drawing>
          <wp:inline xmlns:a="http://schemas.openxmlformats.org/drawingml/2006/main" xmlns:pic="http://schemas.openxmlformats.org/drawingml/2006/picture">
            <wp:extent cx="6355080" cy="2542032"/>
            <wp:docPr id="2" name="Picture 2"/>
            <wp:cNvGraphicFramePr>
              <a:graphicFrameLocks noChangeAspect="1"/>
            </wp:cNvGraphicFramePr>
            <a:graphic>
              <a:graphicData uri="http://schemas.openxmlformats.org/drawingml/2006/picture">
                <pic:pic>
                  <pic:nvPicPr>
                    <pic:cNvPr id="0" name="ecosystem_flow.png"/>
                    <pic:cNvPicPr/>
                  </pic:nvPicPr>
                  <pic:blipFill>
                    <a:blip r:embed="rId10"/>
                    <a:stretch>
                      <a:fillRect/>
                    </a:stretch>
                  </pic:blipFill>
                  <pic:spPr>
                    <a:xfrm>
                      <a:off x="0" y="0"/>
                      <a:ext cx="6355080" cy="2542032"/>
                    </a:xfrm>
                    <a:prstGeom prst="rect"/>
                  </pic:spPr>
                </pic:pic>
              </a:graphicData>
            </a:graphic>
          </wp:inline>
        </w:drawing>
      </w:r>
    </w:p>
    <w:p>
      <w:r>
        <w:br w:type="page"/>
      </w:r>
    </w:p>
    <w:p>
      <w:pPr>
        <w:pStyle w:val="Heading2"/>
      </w:pPr>
      <w:r>
        <w:t>05 / PRODUCT DOCUMENTATION</w:t>
      </w:r>
    </w:p>
    <w:p>
      <w:pPr>
        <w:pStyle w:val="Heading1"/>
      </w:pPr>
      <w:r>
        <w:t>VAELO token</w:t>
      </w:r>
    </w:p>
    <w:p>
      <w:r>
        <w:rPr>
          <w:b/>
          <w:color w:val="77561F"/>
        </w:rPr>
        <w:t>IMPLEMENTED LOCALLY — NOT DEPLOYED ON BASE MAINNET</w:t>
      </w:r>
    </w:p>
    <w:p>
      <w:r>
        <w:t>VAELO is the fixed-supply token designed for the intended Vaeloryn ecosystem. The target network is Base Mainnet. The canonical deployment package has been prepared, but the canonical token has not been deployed.</w:t>
      </w:r>
    </w:p>
    <w:p>
      <w:r>
        <w:t>Currently implemented functionality: ERC-20 transfers and allowances; ERC20Burnable burn and burnFrom; ERC20Permit / EIP-2612 Permit; EIP-712 typed-data support; and nonce tracking.</w:t>
      </w:r>
    </w:p>
    <w:p>
      <w:r>
        <w:t>The canonical token has no additional mint function, owner or administrator, upgrade mechanism, pause function, blacklist or transfer tax. These design properties do not imply utility, market value or returns.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1A20"/>
          </w:tcPr>
          <w:p>
            <w:r>
              <w:rPr>
                <w:rFonts w:ascii="Arial" w:hAnsi="Arial"/>
                <w:b/>
                <w:color w:val="F5F0E6"/>
                <w:sz w:val="17"/>
              </w:rPr>
              <w:t>Item</w:t>
            </w:r>
          </w:p>
        </w:tc>
        <w:tc>
          <w:tcPr>
            <w:tcW w:type="dxa" w:w="5083"/>
            <w:vAlign w:val="center"/>
            <w:shd w:fill="171A20"/>
          </w:tcPr>
          <w:p>
            <w:r>
              <w:rPr>
                <w:rFonts w:ascii="Arial" w:hAnsi="Arial"/>
                <w:b/>
                <w:color w:val="F5F0E6"/>
                <w:sz w:val="17"/>
              </w:rPr>
              <w:t>Verified or stated value</w:t>
            </w:r>
          </w:p>
        </w:tc>
      </w:tr>
      <w:tr>
        <w:tc>
          <w:tcPr>
            <w:tcW w:type="dxa" w:w="5083"/>
            <w:vAlign w:val="center"/>
          </w:tcPr>
          <w:p>
            <w:r>
              <w:rPr>
                <w:rFonts w:ascii="Arial" w:hAnsi="Arial"/>
                <w:sz w:val="17"/>
              </w:rPr>
              <w:t>Token</w:t>
            </w:r>
          </w:p>
        </w:tc>
        <w:tc>
          <w:tcPr>
            <w:tcW w:type="dxa" w:w="5083"/>
            <w:vAlign w:val="center"/>
          </w:tcPr>
          <w:p>
            <w:r>
              <w:rPr>
                <w:rFonts w:ascii="Arial" w:hAnsi="Arial"/>
                <w:sz w:val="17"/>
              </w:rPr>
              <w:t>VAELO</w:t>
            </w:r>
          </w:p>
        </w:tc>
      </w:tr>
      <w:tr>
        <w:tc>
          <w:tcPr>
            <w:tcW w:type="dxa" w:w="5083"/>
            <w:vAlign w:val="center"/>
            <w:shd w:fill="F7F4EE"/>
          </w:tcPr>
          <w:p>
            <w:r>
              <w:rPr>
                <w:rFonts w:ascii="Arial" w:hAnsi="Arial"/>
                <w:sz w:val="17"/>
              </w:rPr>
              <w:t>Fixed supply</w:t>
            </w:r>
          </w:p>
        </w:tc>
        <w:tc>
          <w:tcPr>
            <w:tcW w:type="dxa" w:w="5083"/>
            <w:vAlign w:val="center"/>
            <w:shd w:fill="F7F4EE"/>
          </w:tcPr>
          <w:p>
            <w:r>
              <w:rPr>
                <w:rFonts w:ascii="Arial" w:hAnsi="Arial"/>
                <w:sz w:val="17"/>
              </w:rPr>
              <w:t>1,000,000,000 VAELO</w:t>
            </w:r>
          </w:p>
        </w:tc>
      </w:tr>
      <w:tr>
        <w:tc>
          <w:tcPr>
            <w:tcW w:type="dxa" w:w="5083"/>
            <w:vAlign w:val="center"/>
          </w:tcPr>
          <w:p>
            <w:r>
              <w:rPr>
                <w:rFonts w:ascii="Arial" w:hAnsi="Arial"/>
                <w:sz w:val="17"/>
              </w:rPr>
              <w:t>Target network</w:t>
            </w:r>
          </w:p>
        </w:tc>
        <w:tc>
          <w:tcPr>
            <w:tcW w:type="dxa" w:w="5083"/>
            <w:vAlign w:val="center"/>
          </w:tcPr>
          <w:p>
            <w:r>
              <w:rPr>
                <w:rFonts w:ascii="Arial" w:hAnsi="Arial"/>
                <w:sz w:val="17"/>
              </w:rPr>
              <w:t>Base Mainnet</w:t>
            </w:r>
          </w:p>
        </w:tc>
      </w:tr>
      <w:tr>
        <w:tc>
          <w:tcPr>
            <w:tcW w:type="dxa" w:w="5083"/>
            <w:vAlign w:val="center"/>
            <w:shd w:fill="F7F4EE"/>
          </w:tcPr>
          <w:p>
            <w:r>
              <w:rPr>
                <w:rFonts w:ascii="Arial" w:hAnsi="Arial"/>
                <w:sz w:val="17"/>
              </w:rPr>
              <w:t>Standard</w:t>
            </w:r>
          </w:p>
        </w:tc>
        <w:tc>
          <w:tcPr>
            <w:tcW w:type="dxa" w:w="5083"/>
            <w:vAlign w:val="center"/>
            <w:shd w:fill="F7F4EE"/>
          </w:tcPr>
          <w:p>
            <w:r>
              <w:rPr>
                <w:rFonts w:ascii="Arial" w:hAnsi="Arial"/>
                <w:sz w:val="17"/>
              </w:rPr>
              <w:t>ERC-20</w:t>
            </w:r>
          </w:p>
        </w:tc>
      </w:tr>
      <w:tr>
        <w:tc>
          <w:tcPr>
            <w:tcW w:type="dxa" w:w="5083"/>
            <w:vAlign w:val="center"/>
          </w:tcPr>
          <w:p>
            <w:r>
              <w:rPr>
                <w:rFonts w:ascii="Arial" w:hAnsi="Arial"/>
                <w:sz w:val="17"/>
              </w:rPr>
              <w:t>Mainnet status</w:t>
            </w:r>
          </w:p>
        </w:tc>
        <w:tc>
          <w:tcPr>
            <w:tcW w:type="dxa" w:w="5083"/>
            <w:vAlign w:val="center"/>
          </w:tcPr>
          <w:p>
            <w:r>
              <w:rPr>
                <w:rFonts w:ascii="Arial" w:hAnsi="Arial"/>
                <w:sz w:val="17"/>
              </w:rPr>
              <w:t>NOT DEPLOYED</w:t>
            </w:r>
          </w:p>
        </w:tc>
      </w:tr>
    </w:tbl>
    <w:p/>
    <w:p>
      <w:r>
        <w:br w:type="page"/>
      </w:r>
    </w:p>
    <w:p>
      <w:pPr>
        <w:pStyle w:val="Heading2"/>
      </w:pPr>
      <w:r>
        <w:t>06 / PRODUCT DOCUMENTATION</w:t>
      </w:r>
    </w:p>
    <w:p>
      <w:pPr>
        <w:pStyle w:val="Heading1"/>
      </w:pPr>
      <w:r>
        <w:t>Product and token utility</w:t>
      </w:r>
    </w:p>
    <w:p>
      <w:r>
        <w:rPr>
          <w:b/>
          <w:color w:val="77561F"/>
        </w:rPr>
        <w:t>PLANNED — NOT CURRENT FUNCTIONALITY</w:t>
      </w:r>
    </w:p>
    <w:p>
      <w:r>
        <w:t>Potential future roles may include ecosystem participation, coordination, appropriate access to ecosystem initiatives, support for ecosystem funding mechanisms, participation in future products or services, and interactions among ecosystem participants.</w:t>
      </w:r>
    </w:p>
    <w:p>
      <w:r>
        <w:t>No specific application, staking mechanism, governance system, payment system, revenue-sharing mechanism or current product access is represented as operational. Utility should follow useful products and approved operating models, rather than precede them.</w:t>
      </w:r>
    </w:p>
    <w:p>
      <w:r>
        <w:br w:type="page"/>
      </w:r>
    </w:p>
    <w:p>
      <w:pPr>
        <w:pStyle w:val="Heading2"/>
      </w:pPr>
      <w:r>
        <w:t>07 / PRODUCT DOCUMENTATION</w:t>
      </w:r>
    </w:p>
    <w:p>
      <w:pPr>
        <w:pStyle w:val="Heading1"/>
      </w:pPr>
      <w:r>
        <w:t>Tokenomics</w:t>
      </w:r>
    </w:p>
    <w:p>
      <w:r>
        <w:rPr>
          <w:b/>
          <w:color w:val="77561F"/>
        </w:rPr>
        <w:t>FINALIZED CANONICAL ALLOCATION</w:t>
      </w:r>
    </w:p>
    <w:p>
      <w:r>
        <w:t>The complete fixed supply is 1,000,000,000 VAELO. The six allocations total exactly 100% and are created as one canonical genesis distribution.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1A20"/>
          </w:tcPr>
          <w:p>
            <w:r>
              <w:rPr>
                <w:rFonts w:ascii="Arial" w:hAnsi="Arial"/>
                <w:b/>
                <w:color w:val="F5F0E6"/>
                <w:sz w:val="17"/>
              </w:rPr>
              <w:t>Allocation</w:t>
            </w:r>
          </w:p>
        </w:tc>
        <w:tc>
          <w:tcPr>
            <w:tcW w:type="dxa" w:w="3389"/>
            <w:vAlign w:val="center"/>
            <w:shd w:fill="171A20"/>
          </w:tcPr>
          <w:p>
            <w:r>
              <w:rPr>
                <w:rFonts w:ascii="Arial" w:hAnsi="Arial"/>
                <w:b/>
                <w:color w:val="F5F0E6"/>
                <w:sz w:val="17"/>
              </w:rPr>
              <w:t>VAELO</w:t>
            </w:r>
          </w:p>
        </w:tc>
        <w:tc>
          <w:tcPr>
            <w:tcW w:type="dxa" w:w="3389"/>
            <w:vAlign w:val="center"/>
            <w:shd w:fill="171A20"/>
          </w:tcPr>
          <w:p>
            <w:r>
              <w:rPr>
                <w:rFonts w:ascii="Arial" w:hAnsi="Arial"/>
                <w:b/>
                <w:color w:val="F5F0E6"/>
                <w:sz w:val="17"/>
              </w:rPr>
              <w:t>Share</w:t>
            </w:r>
          </w:p>
        </w:tc>
      </w:tr>
      <w:tr>
        <w:tc>
          <w:tcPr>
            <w:tcW w:type="dxa" w:w="3389"/>
            <w:vAlign w:val="center"/>
          </w:tcPr>
          <w:p>
            <w:r>
              <w:rPr>
                <w:rFonts w:ascii="Arial" w:hAnsi="Arial"/>
                <w:sz w:val="17"/>
              </w:rPr>
              <w:t>Ecosystem &amp; Community</w:t>
            </w:r>
          </w:p>
        </w:tc>
        <w:tc>
          <w:tcPr>
            <w:tcW w:type="dxa" w:w="3389"/>
            <w:vAlign w:val="center"/>
          </w:tcPr>
          <w:p>
            <w:r>
              <w:rPr>
                <w:rFonts w:ascii="Arial" w:hAnsi="Arial"/>
                <w:sz w:val="17"/>
              </w:rPr>
              <w:t>300,000,000</w:t>
            </w:r>
          </w:p>
        </w:tc>
        <w:tc>
          <w:tcPr>
            <w:tcW w:type="dxa" w:w="3389"/>
            <w:vAlign w:val="center"/>
          </w:tcPr>
          <w:p>
            <w:r>
              <w:rPr>
                <w:rFonts w:ascii="Arial" w:hAnsi="Arial"/>
                <w:sz w:val="17"/>
              </w:rPr>
              <w:t>30%</w:t>
            </w:r>
          </w:p>
        </w:tc>
      </w:tr>
      <w:tr>
        <w:tc>
          <w:tcPr>
            <w:tcW w:type="dxa" w:w="3389"/>
            <w:vAlign w:val="center"/>
            <w:shd w:fill="F7F4EE"/>
          </w:tcPr>
          <w:p>
            <w:r>
              <w:rPr>
                <w:rFonts w:ascii="Arial" w:hAnsi="Arial"/>
                <w:sz w:val="17"/>
              </w:rPr>
              <w:t>Public Distribution</w:t>
            </w:r>
          </w:p>
        </w:tc>
        <w:tc>
          <w:tcPr>
            <w:tcW w:type="dxa" w:w="3389"/>
            <w:vAlign w:val="center"/>
            <w:shd w:fill="F7F4EE"/>
          </w:tcPr>
          <w:p>
            <w:r>
              <w:rPr>
                <w:rFonts w:ascii="Arial" w:hAnsi="Arial"/>
                <w:sz w:val="17"/>
              </w:rPr>
              <w:t>200,000,000</w:t>
            </w:r>
          </w:p>
        </w:tc>
        <w:tc>
          <w:tcPr>
            <w:tcW w:type="dxa" w:w="3389"/>
            <w:vAlign w:val="center"/>
            <w:shd w:fill="F7F4EE"/>
          </w:tcPr>
          <w:p>
            <w:r>
              <w:rPr>
                <w:rFonts w:ascii="Arial" w:hAnsi="Arial"/>
                <w:sz w:val="17"/>
              </w:rPr>
              <w:t>20%</w:t>
            </w:r>
          </w:p>
        </w:tc>
      </w:tr>
      <w:tr>
        <w:tc>
          <w:tcPr>
            <w:tcW w:type="dxa" w:w="3389"/>
            <w:vAlign w:val="center"/>
          </w:tcPr>
          <w:p>
            <w:r>
              <w:rPr>
                <w:rFonts w:ascii="Arial" w:hAnsi="Arial"/>
                <w:sz w:val="17"/>
              </w:rPr>
              <w:t>Vaeloryn Treasury</w:t>
            </w:r>
          </w:p>
        </w:tc>
        <w:tc>
          <w:tcPr>
            <w:tcW w:type="dxa" w:w="3389"/>
            <w:vAlign w:val="center"/>
          </w:tcPr>
          <w:p>
            <w:r>
              <w:rPr>
                <w:rFonts w:ascii="Arial" w:hAnsi="Arial"/>
                <w:sz w:val="17"/>
              </w:rPr>
              <w:t>200,000,000</w:t>
            </w:r>
          </w:p>
        </w:tc>
        <w:tc>
          <w:tcPr>
            <w:tcW w:type="dxa" w:w="3389"/>
            <w:vAlign w:val="center"/>
          </w:tcPr>
          <w:p>
            <w:r>
              <w:rPr>
                <w:rFonts w:ascii="Arial" w:hAnsi="Arial"/>
                <w:sz w:val="17"/>
              </w:rPr>
              <w:t>20%</w:t>
            </w:r>
          </w:p>
        </w:tc>
      </w:tr>
      <w:tr>
        <w:tc>
          <w:tcPr>
            <w:tcW w:type="dxa" w:w="3389"/>
            <w:vAlign w:val="center"/>
            <w:shd w:fill="F7F4EE"/>
          </w:tcPr>
          <w:p>
            <w:r>
              <w:rPr>
                <w:rFonts w:ascii="Arial" w:hAnsi="Arial"/>
                <w:sz w:val="17"/>
              </w:rPr>
              <w:t>Team &amp; Contributors</w:t>
            </w:r>
          </w:p>
        </w:tc>
        <w:tc>
          <w:tcPr>
            <w:tcW w:type="dxa" w:w="3389"/>
            <w:vAlign w:val="center"/>
            <w:shd w:fill="F7F4EE"/>
          </w:tcPr>
          <w:p>
            <w:r>
              <w:rPr>
                <w:rFonts w:ascii="Arial" w:hAnsi="Arial"/>
                <w:sz w:val="17"/>
              </w:rPr>
              <w:t>150,000,000</w:t>
            </w:r>
          </w:p>
        </w:tc>
        <w:tc>
          <w:tcPr>
            <w:tcW w:type="dxa" w:w="3389"/>
            <w:vAlign w:val="center"/>
            <w:shd w:fill="F7F4EE"/>
          </w:tcPr>
          <w:p>
            <w:r>
              <w:rPr>
                <w:rFonts w:ascii="Arial" w:hAnsi="Arial"/>
                <w:sz w:val="17"/>
              </w:rPr>
              <w:t>15%</w:t>
            </w:r>
          </w:p>
        </w:tc>
      </w:tr>
      <w:tr>
        <w:tc>
          <w:tcPr>
            <w:tcW w:type="dxa" w:w="3389"/>
            <w:vAlign w:val="center"/>
          </w:tcPr>
          <w:p>
            <w:r>
              <w:rPr>
                <w:rFonts w:ascii="Arial" w:hAnsi="Arial"/>
                <w:sz w:val="17"/>
              </w:rPr>
              <w:t>Founder</w:t>
            </w:r>
          </w:p>
        </w:tc>
        <w:tc>
          <w:tcPr>
            <w:tcW w:type="dxa" w:w="3389"/>
            <w:vAlign w:val="center"/>
          </w:tcPr>
          <w:p>
            <w:r>
              <w:rPr>
                <w:rFonts w:ascii="Arial" w:hAnsi="Arial"/>
                <w:sz w:val="17"/>
              </w:rPr>
              <w:t>100,000,000</w:t>
            </w:r>
          </w:p>
        </w:tc>
        <w:tc>
          <w:tcPr>
            <w:tcW w:type="dxa" w:w="3389"/>
            <w:vAlign w:val="center"/>
          </w:tcPr>
          <w:p>
            <w:r>
              <w:rPr>
                <w:rFonts w:ascii="Arial" w:hAnsi="Arial"/>
                <w:sz w:val="17"/>
              </w:rPr>
              <w:t>10%</w:t>
            </w:r>
          </w:p>
        </w:tc>
      </w:tr>
      <w:tr>
        <w:tc>
          <w:tcPr>
            <w:tcW w:type="dxa" w:w="3389"/>
            <w:vAlign w:val="center"/>
            <w:shd w:fill="F7F4EE"/>
          </w:tcPr>
          <w:p>
            <w:r>
              <w:rPr>
                <w:rFonts w:ascii="Arial" w:hAnsi="Arial"/>
                <w:sz w:val="17"/>
              </w:rPr>
              <w:t>Strategic Partnerships</w:t>
            </w:r>
          </w:p>
        </w:tc>
        <w:tc>
          <w:tcPr>
            <w:tcW w:type="dxa" w:w="3389"/>
            <w:vAlign w:val="center"/>
            <w:shd w:fill="F7F4EE"/>
          </w:tcPr>
          <w:p>
            <w:r>
              <w:rPr>
                <w:rFonts w:ascii="Arial" w:hAnsi="Arial"/>
                <w:sz w:val="17"/>
              </w:rPr>
              <w:t>50,000,000</w:t>
            </w:r>
          </w:p>
        </w:tc>
        <w:tc>
          <w:tcPr>
            <w:tcW w:type="dxa" w:w="3389"/>
            <w:vAlign w:val="center"/>
            <w:shd w:fill="F7F4EE"/>
          </w:tcPr>
          <w:p>
            <w:r>
              <w:rPr>
                <w:rFonts w:ascii="Arial" w:hAnsi="Arial"/>
                <w:sz w:val="17"/>
              </w:rPr>
              <w:t>5%</w:t>
            </w:r>
          </w:p>
        </w:tc>
      </w:tr>
      <w:tr>
        <w:tc>
          <w:tcPr>
            <w:tcW w:type="dxa" w:w="3389"/>
            <w:vAlign w:val="center"/>
          </w:tcPr>
          <w:p>
            <w:r>
              <w:rPr>
                <w:rFonts w:ascii="Arial" w:hAnsi="Arial"/>
                <w:sz w:val="17"/>
              </w:rPr>
              <w:t>TOTAL</w:t>
            </w:r>
          </w:p>
        </w:tc>
        <w:tc>
          <w:tcPr>
            <w:tcW w:type="dxa" w:w="3389"/>
            <w:vAlign w:val="center"/>
          </w:tcPr>
          <w:p>
            <w:r>
              <w:rPr>
                <w:rFonts w:ascii="Arial" w:hAnsi="Arial"/>
                <w:sz w:val="17"/>
              </w:rPr>
              <w:t>1,000,000,000</w:t>
            </w:r>
          </w:p>
        </w:tc>
        <w:tc>
          <w:tcPr>
            <w:tcW w:type="dxa" w:w="3389"/>
            <w:vAlign w:val="center"/>
          </w:tcPr>
          <w:p>
            <w:r>
              <w:rPr>
                <w:rFonts w:ascii="Arial" w:hAnsi="Arial"/>
                <w:sz w:val="17"/>
              </w:rPr>
              <w:t>100%</w:t>
            </w:r>
          </w:p>
        </w:tc>
      </w:tr>
    </w:tbl>
    <w:p/>
    <w:p>
      <w:pPr>
        <w:jc w:val="center"/>
      </w:pPr>
      <w:r>
        <w:drawing>
          <wp:inline xmlns:a="http://schemas.openxmlformats.org/drawingml/2006/main" xmlns:pic="http://schemas.openxmlformats.org/drawingml/2006/picture">
            <wp:extent cx="6355080" cy="3106928"/>
            <wp:docPr id="3" name="Picture 3"/>
            <wp:cNvGraphicFramePr>
              <a:graphicFrameLocks noChangeAspect="1"/>
            </wp:cNvGraphicFramePr>
            <a:graphic>
              <a:graphicData uri="http://schemas.openxmlformats.org/drawingml/2006/picture">
                <pic:pic>
                  <pic:nvPicPr>
                    <pic:cNvPr id="0" name="token_allocation.png"/>
                    <pic:cNvPicPr/>
                  </pic:nvPicPr>
                  <pic:blipFill>
                    <a:blip r:embed="rId11"/>
                    <a:stretch>
                      <a:fillRect/>
                    </a:stretch>
                  </pic:blipFill>
                  <pic:spPr>
                    <a:xfrm>
                      <a:off x="0" y="0"/>
                      <a:ext cx="6355080" cy="3106928"/>
                    </a:xfrm>
                    <a:prstGeom prst="rect"/>
                  </pic:spPr>
                </pic:pic>
              </a:graphicData>
            </a:graphic>
          </wp:inline>
        </w:drawing>
      </w:r>
    </w:p>
    <w:p>
      <w:r>
        <w:br w:type="page"/>
      </w:r>
    </w:p>
    <w:p>
      <w:pPr>
        <w:pStyle w:val="Heading2"/>
      </w:pPr>
      <w:r>
        <w:t>08 / PRODUCT DOCUMENTATION</w:t>
      </w:r>
    </w:p>
    <w:p>
      <w:pPr>
        <w:pStyle w:val="Heading1"/>
      </w:pPr>
      <w:r>
        <w:t>Founder vesting</w:t>
      </w:r>
    </w:p>
    <w:p>
      <w:r>
        <w:rPr>
          <w:b/>
          <w:color w:val="77561F"/>
        </w:rPr>
        <w:t>IMPLEMENTED CANONICAL SCHEDULE</w:t>
      </w:r>
    </w:p>
    <w:p>
      <w:r>
        <w:t>The founder allocation is 100,000,000 VAELO. Token, beneficiary, start time, linear start and linear end are immutable in the canonical implementation. There is no fourth quarterly release.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1A20"/>
          </w:tcPr>
          <w:p>
            <w:r>
              <w:rPr>
                <w:rFonts w:ascii="Arial" w:hAnsi="Arial"/>
                <w:b/>
                <w:color w:val="F5F0E6"/>
                <w:sz w:val="17"/>
              </w:rPr>
              <w:t>Event</w:t>
            </w:r>
          </w:p>
        </w:tc>
        <w:tc>
          <w:tcPr>
            <w:tcW w:type="dxa" w:w="2541"/>
            <w:vAlign w:val="center"/>
            <w:shd w:fill="171A20"/>
          </w:tcPr>
          <w:p>
            <w:r>
              <w:rPr>
                <w:rFonts w:ascii="Arial" w:hAnsi="Arial"/>
                <w:b/>
                <w:color w:val="F5F0E6"/>
                <w:sz w:val="17"/>
              </w:rPr>
              <w:t>Timing</w:t>
            </w:r>
          </w:p>
        </w:tc>
        <w:tc>
          <w:tcPr>
            <w:tcW w:type="dxa" w:w="2541"/>
            <w:vAlign w:val="center"/>
            <w:shd w:fill="171A20"/>
          </w:tcPr>
          <w:p>
            <w:r>
              <w:rPr>
                <w:rFonts w:ascii="Arial" w:hAnsi="Arial"/>
                <w:b/>
                <w:color w:val="F5F0E6"/>
                <w:sz w:val="17"/>
              </w:rPr>
              <w:t>Additional release</w:t>
            </w:r>
          </w:p>
        </w:tc>
        <w:tc>
          <w:tcPr>
            <w:tcW w:type="dxa" w:w="2541"/>
            <w:vAlign w:val="center"/>
            <w:shd w:fill="171A20"/>
          </w:tcPr>
          <w:p>
            <w:r>
              <w:rPr>
                <w:rFonts w:ascii="Arial" w:hAnsi="Arial"/>
                <w:b/>
                <w:color w:val="F5F0E6"/>
                <w:sz w:val="17"/>
              </w:rPr>
              <w:t>Cumulative</w:t>
            </w:r>
          </w:p>
        </w:tc>
      </w:tr>
      <w:tr>
        <w:tc>
          <w:tcPr>
            <w:tcW w:type="dxa" w:w="2541"/>
            <w:vAlign w:val="center"/>
          </w:tcPr>
          <w:p>
            <w:r>
              <w:rPr>
                <w:rFonts w:ascii="Arial" w:hAnsi="Arial"/>
                <w:sz w:val="17"/>
              </w:rPr>
              <w:t>Initial</w:t>
            </w:r>
          </w:p>
        </w:tc>
        <w:tc>
          <w:tcPr>
            <w:tcW w:type="dxa" w:w="2541"/>
            <w:vAlign w:val="center"/>
          </w:tcPr>
          <w:p>
            <w:r>
              <w:rPr>
                <w:rFonts w:ascii="Arial" w:hAnsi="Arial"/>
                <w:sz w:val="17"/>
              </w:rPr>
              <w:t>T0</w:t>
            </w:r>
          </w:p>
        </w:tc>
        <w:tc>
          <w:tcPr>
            <w:tcW w:type="dxa" w:w="2541"/>
            <w:vAlign w:val="center"/>
          </w:tcPr>
          <w:p>
            <w:r>
              <w:rPr>
                <w:rFonts w:ascii="Arial" w:hAnsi="Arial"/>
                <w:sz w:val="17"/>
              </w:rPr>
              <w:t>2,500,000</w:t>
            </w:r>
          </w:p>
        </w:tc>
        <w:tc>
          <w:tcPr>
            <w:tcW w:type="dxa" w:w="2541"/>
            <w:vAlign w:val="center"/>
          </w:tcPr>
          <w:p>
            <w:r>
              <w:rPr>
                <w:rFonts w:ascii="Arial" w:hAnsi="Arial"/>
                <w:sz w:val="17"/>
              </w:rPr>
              <w:t>2,500,000</w:t>
            </w:r>
          </w:p>
        </w:tc>
      </w:tr>
      <w:tr>
        <w:tc>
          <w:tcPr>
            <w:tcW w:type="dxa" w:w="2541"/>
            <w:vAlign w:val="center"/>
            <w:shd w:fill="F7F4EE"/>
          </w:tcPr>
          <w:p>
            <w:r>
              <w:rPr>
                <w:rFonts w:ascii="Arial" w:hAnsi="Arial"/>
                <w:sz w:val="17"/>
              </w:rPr>
              <w:t>Quarter 1</w:t>
            </w:r>
          </w:p>
        </w:tc>
        <w:tc>
          <w:tcPr>
            <w:tcW w:type="dxa" w:w="2541"/>
            <w:vAlign w:val="center"/>
            <w:shd w:fill="F7F4EE"/>
          </w:tcPr>
          <w:p>
            <w:r>
              <w:rPr>
                <w:rFonts w:ascii="Arial" w:hAnsi="Arial"/>
                <w:sz w:val="17"/>
              </w:rPr>
              <w:t>T0 + 90 days</w:t>
            </w:r>
          </w:p>
        </w:tc>
        <w:tc>
          <w:tcPr>
            <w:tcW w:type="dxa" w:w="2541"/>
            <w:vAlign w:val="center"/>
            <w:shd w:fill="F7F4EE"/>
          </w:tcPr>
          <w:p>
            <w:r>
              <w:rPr>
                <w:rFonts w:ascii="Arial" w:hAnsi="Arial"/>
                <w:sz w:val="17"/>
              </w:rPr>
              <w:t>2,500,000</w:t>
            </w:r>
          </w:p>
        </w:tc>
        <w:tc>
          <w:tcPr>
            <w:tcW w:type="dxa" w:w="2541"/>
            <w:vAlign w:val="center"/>
            <w:shd w:fill="F7F4EE"/>
          </w:tcPr>
          <w:p>
            <w:r>
              <w:rPr>
                <w:rFonts w:ascii="Arial" w:hAnsi="Arial"/>
                <w:sz w:val="17"/>
              </w:rPr>
              <w:t>5,000,000</w:t>
            </w:r>
          </w:p>
        </w:tc>
      </w:tr>
      <w:tr>
        <w:tc>
          <w:tcPr>
            <w:tcW w:type="dxa" w:w="2541"/>
            <w:vAlign w:val="center"/>
          </w:tcPr>
          <w:p>
            <w:r>
              <w:rPr>
                <w:rFonts w:ascii="Arial" w:hAnsi="Arial"/>
                <w:sz w:val="17"/>
              </w:rPr>
              <w:t>Quarter 2</w:t>
            </w:r>
          </w:p>
        </w:tc>
        <w:tc>
          <w:tcPr>
            <w:tcW w:type="dxa" w:w="2541"/>
            <w:vAlign w:val="center"/>
          </w:tcPr>
          <w:p>
            <w:r>
              <w:rPr>
                <w:rFonts w:ascii="Arial" w:hAnsi="Arial"/>
                <w:sz w:val="17"/>
              </w:rPr>
              <w:t>T0 + 180 days</w:t>
            </w:r>
          </w:p>
        </w:tc>
        <w:tc>
          <w:tcPr>
            <w:tcW w:type="dxa" w:w="2541"/>
            <w:vAlign w:val="center"/>
          </w:tcPr>
          <w:p>
            <w:r>
              <w:rPr>
                <w:rFonts w:ascii="Arial" w:hAnsi="Arial"/>
                <w:sz w:val="17"/>
              </w:rPr>
              <w:t>2,500,000</w:t>
            </w:r>
          </w:p>
        </w:tc>
        <w:tc>
          <w:tcPr>
            <w:tcW w:type="dxa" w:w="2541"/>
            <w:vAlign w:val="center"/>
          </w:tcPr>
          <w:p>
            <w:r>
              <w:rPr>
                <w:rFonts w:ascii="Arial" w:hAnsi="Arial"/>
                <w:sz w:val="17"/>
              </w:rPr>
              <w:t>7,500,000</w:t>
            </w:r>
          </w:p>
        </w:tc>
      </w:tr>
      <w:tr>
        <w:tc>
          <w:tcPr>
            <w:tcW w:type="dxa" w:w="2541"/>
            <w:vAlign w:val="center"/>
            <w:shd w:fill="F7F4EE"/>
          </w:tcPr>
          <w:p>
            <w:r>
              <w:rPr>
                <w:rFonts w:ascii="Arial" w:hAnsi="Arial"/>
                <w:sz w:val="17"/>
              </w:rPr>
              <w:t>Quarter 3</w:t>
            </w:r>
          </w:p>
        </w:tc>
        <w:tc>
          <w:tcPr>
            <w:tcW w:type="dxa" w:w="2541"/>
            <w:vAlign w:val="center"/>
            <w:shd w:fill="F7F4EE"/>
          </w:tcPr>
          <w:p>
            <w:r>
              <w:rPr>
                <w:rFonts w:ascii="Arial" w:hAnsi="Arial"/>
                <w:sz w:val="17"/>
              </w:rPr>
              <w:t>T0 + 270 days</w:t>
            </w:r>
          </w:p>
        </w:tc>
        <w:tc>
          <w:tcPr>
            <w:tcW w:type="dxa" w:w="2541"/>
            <w:vAlign w:val="center"/>
            <w:shd w:fill="F7F4EE"/>
          </w:tcPr>
          <w:p>
            <w:r>
              <w:rPr>
                <w:rFonts w:ascii="Arial" w:hAnsi="Arial"/>
                <w:sz w:val="17"/>
              </w:rPr>
              <w:t>2,500,000</w:t>
            </w:r>
          </w:p>
        </w:tc>
        <w:tc>
          <w:tcPr>
            <w:tcW w:type="dxa" w:w="2541"/>
            <w:vAlign w:val="center"/>
            <w:shd w:fill="F7F4EE"/>
          </w:tcPr>
          <w:p>
            <w:r>
              <w:rPr>
                <w:rFonts w:ascii="Arial" w:hAnsi="Arial"/>
                <w:sz w:val="17"/>
              </w:rPr>
              <w:t>10,000,000</w:t>
            </w:r>
          </w:p>
        </w:tc>
      </w:tr>
      <w:tr>
        <w:tc>
          <w:tcPr>
            <w:tcW w:type="dxa" w:w="2541"/>
            <w:vAlign w:val="center"/>
          </w:tcPr>
          <w:p>
            <w:r>
              <w:rPr>
                <w:rFonts w:ascii="Arial" w:hAnsi="Arial"/>
                <w:sz w:val="17"/>
              </w:rPr>
              <w:t>Linear phase</w:t>
            </w:r>
          </w:p>
        </w:tc>
        <w:tc>
          <w:tcPr>
            <w:tcW w:type="dxa" w:w="2541"/>
            <w:vAlign w:val="center"/>
          </w:tcPr>
          <w:p>
            <w:r>
              <w:rPr>
                <w:rFonts w:ascii="Arial" w:hAnsi="Arial"/>
                <w:sz w:val="17"/>
              </w:rPr>
              <w:t>From T0 + 270 days for exactly 1,095 days</w:t>
            </w:r>
          </w:p>
        </w:tc>
        <w:tc>
          <w:tcPr>
            <w:tcW w:type="dxa" w:w="2541"/>
            <w:vAlign w:val="center"/>
          </w:tcPr>
          <w:p>
            <w:r>
              <w:rPr>
                <w:rFonts w:ascii="Arial" w:hAnsi="Arial"/>
                <w:sz w:val="17"/>
              </w:rPr>
              <w:t>90,000,000 linearly</w:t>
            </w:r>
          </w:p>
        </w:tc>
        <w:tc>
          <w:tcPr>
            <w:tcW w:type="dxa" w:w="2541"/>
            <w:vAlign w:val="center"/>
          </w:tcPr>
          <w:p>
            <w:r>
              <w:rPr>
                <w:rFonts w:ascii="Arial" w:hAnsi="Arial"/>
                <w:sz w:val="17"/>
              </w:rPr>
              <w:t>100,000,000</w:t>
            </w:r>
          </w:p>
        </w:tc>
      </w:tr>
    </w:tbl>
    <w:p/>
    <w:p>
      <w:r>
        <w:br w:type="page"/>
      </w:r>
    </w:p>
    <w:p>
      <w:pPr>
        <w:pStyle w:val="Heading2"/>
      </w:pPr>
      <w:r>
        <w:t>09 / PRODUCT DOCUMENTATION</w:t>
      </w:r>
    </w:p>
    <w:p>
      <w:pPr>
        <w:pStyle w:val="Heading1"/>
      </w:pPr>
      <w:r>
        <w:t>Technical architecture</w:t>
      </w:r>
    </w:p>
    <w:p>
      <w:r>
        <w:rPr>
          <w:b/>
          <w:color w:val="77561F"/>
        </w:rPr>
        <w:t>IMPLEMENTED LOCALLY — DEPLOYMENT PENDING</w:t>
      </w:r>
    </w:p>
    <w:p>
      <w:r>
        <w:t>VaelorynDeploymentFactory is a constructor-only, one-shot factory that deploys the distribution, token and founder vesting contracts and completes allocation in the same transaction.</w:t>
      </w:r>
    </w:p>
    <w:p>
      <w:r>
        <w:t>VaelorynGenesisDistribution receives the complete supply directly from the token and performs the one-time six-category allocation. VaelorynToken creates the fixed supply once and includes ERC-20, Burnable and Permit functionality. VaelorynFounderVesting enforces the founder schedule and allocation cap.</w:t>
      </w:r>
    </w:p>
    <w:p>
      <w:r>
        <w:t>The atomic sequence reduces substitution risk between token creation, vesting creation and allocation. It does not mean that a Base Mainnet deployment has occurred.</w:t>
      </w:r>
    </w:p>
    <w:p>
      <w:pPr>
        <w:jc w:val="center"/>
      </w:pPr>
      <w:r>
        <w:drawing>
          <wp:inline xmlns:a="http://schemas.openxmlformats.org/drawingml/2006/main" xmlns:pic="http://schemas.openxmlformats.org/drawingml/2006/picture">
            <wp:extent cx="6355080" cy="2542032"/>
            <wp:docPr id="4" name="Picture 4"/>
            <wp:cNvGraphicFramePr>
              <a:graphicFrameLocks noChangeAspect="1"/>
            </wp:cNvGraphicFramePr>
            <a:graphic>
              <a:graphicData uri="http://schemas.openxmlformats.org/drawingml/2006/picture">
                <pic:pic>
                  <pic:nvPicPr>
                    <pic:cNvPr id="0" name="technical_architecture.png"/>
                    <pic:cNvPicPr/>
                  </pic:nvPicPr>
                  <pic:blipFill>
                    <a:blip r:embed="rId12"/>
                    <a:stretch>
                      <a:fillRect/>
                    </a:stretch>
                  </pic:blipFill>
                  <pic:spPr>
                    <a:xfrm>
                      <a:off x="0" y="0"/>
                      <a:ext cx="6355080" cy="2542032"/>
                    </a:xfrm>
                    <a:prstGeom prst="rect"/>
                  </pic:spPr>
                </pic:pic>
              </a:graphicData>
            </a:graphic>
          </wp:inline>
        </w:drawing>
      </w:r>
    </w:p>
    <w:p>
      <w:r>
        <w:br w:type="page"/>
      </w:r>
    </w:p>
    <w:p>
      <w:pPr>
        <w:pStyle w:val="Heading2"/>
      </w:pPr>
      <w:r>
        <w:t>10 / PRODUCT DOCUMENTATION</w:t>
      </w:r>
    </w:p>
    <w:p>
      <w:pPr>
        <w:pStyle w:val="Heading1"/>
      </w:pPr>
      <w:r>
        <w:t>Security and testing</w:t>
      </w:r>
    </w:p>
    <w:p>
      <w:r>
        <w:rPr>
          <w:b/>
          <w:color w:val="77561F"/>
        </w:rPr>
        <w:t>INTERNAL VERIFICATION COMPLETE — INDEPENDENT AUDIT NOT COMPLETED</w:t>
      </w:r>
    </w:p>
    <w:p>
      <w:r>
        <w:t>The targeted canonical hardening run recorded 27 tests passed, 0 failed and 0 skipped: 25 canonical unit, edge-case, Permit, allocation, vesting, fuzz and factory tests, plus two invariant suites.</w:t>
      </w:r>
    </w:p>
    <w:p>
      <w:r>
        <w:t>Each fuzz target ran 256 times. Each invariant ran 128 times with 8,192 handler calls, for 16,384 invariant handler calls in total.</w:t>
      </w:r>
    </w:p>
    <w:p>
      <w:r>
        <w:t>These are internal development and verification tests and do not constitute an independent security audit. Independent security audit: NOT YET COMPLETED.</w:t>
      </w:r>
    </w:p>
    <w:p>
      <w:r>
        <w:br w:type="page"/>
      </w:r>
    </w:p>
    <w:p>
      <w:pPr>
        <w:pStyle w:val="Heading2"/>
      </w:pPr>
      <w:r>
        <w:t>11 / PRODUCT DOCUMENTATION</w:t>
      </w:r>
    </w:p>
    <w:p>
      <w:pPr>
        <w:pStyle w:val="Heading1"/>
      </w:pPr>
      <w:r>
        <w:t>Treasury and allocation structure</w:t>
      </w:r>
    </w:p>
    <w:p>
      <w:r>
        <w:rPr>
          <w:b/>
          <w:color w:val="77561F"/>
        </w:rPr>
        <w:t>APPROVED INTENDED RECIPIENT — NO TRANSFER HAS OCCURRED</w:t>
      </w:r>
    </w:p>
    <w:p>
      <w:r>
        <w:t>The canonical design sends the Vaeloryn Treasury allocation through the one-time genesis distribution to the approved Treasury Safe. The intended use of a Safe supports shared custody and operational controls outside the immutable token contract.</w:t>
      </w:r>
    </w:p>
    <w:p>
      <w:r>
        <w:t>Approved Treasury Safe: 0x3A9bee20360294F8439513Ae70D189f56288baF2</w:t>
      </w:r>
    </w:p>
    <w:p>
      <w:r>
        <w:t>The manifest is marked NOT_DEPLOYED. No canonical VAELO has been transferred to this or any other Mainnet recipient.</w:t>
      </w:r>
    </w:p>
    <w:p>
      <w:r>
        <w:br w:type="page"/>
      </w:r>
    </w:p>
    <w:p>
      <w:pPr>
        <w:pStyle w:val="Heading2"/>
      </w:pPr>
      <w:r>
        <w:t>12 / PRODUCT DOCUMENTATION</w:t>
      </w:r>
    </w:p>
    <w:p>
      <w:pPr>
        <w:pStyle w:val="Heading1"/>
      </w:pPr>
      <w:r>
        <w:t>Initial public sale</w:t>
      </w:r>
    </w:p>
    <w:p>
      <w:r>
        <w:rPr>
          <w:b/>
          <w:color w:val="77561F"/>
        </w:rPr>
        <w:t>PROPOSED / WORKING PARAMETERS — SUBJECT TO FINAL FJORD CONFIGURATION</w:t>
      </w:r>
    </w:p>
    <w:p>
      <w:r>
        <w:t>The working concept is a tiered sale on Base using no more than 10,000,000 VAELO, equal to 1% of total supply and carved from the existing Public Distribution allocation. It is not an additional allocation.</w:t>
      </w:r>
    </w:p>
    <w:p>
      <w:r>
        <w:t>The $5,000,000 target reference FDV and $0.005 reference price are planning references, not guaranteed valuations. The sale has not been created, approved, funded or launched.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1A20"/>
          </w:tcPr>
          <w:p>
            <w:r>
              <w:rPr>
                <w:rFonts w:ascii="Arial" w:hAnsi="Arial"/>
                <w:b/>
                <w:color w:val="F5F0E6"/>
                <w:sz w:val="17"/>
              </w:rPr>
              <w:t>Item</w:t>
            </w:r>
          </w:p>
        </w:tc>
        <w:tc>
          <w:tcPr>
            <w:tcW w:type="dxa" w:w="5083"/>
            <w:vAlign w:val="center"/>
            <w:shd w:fill="171A20"/>
          </w:tcPr>
          <w:p>
            <w:r>
              <w:rPr>
                <w:rFonts w:ascii="Arial" w:hAnsi="Arial"/>
                <w:b/>
                <w:color w:val="F5F0E6"/>
                <w:sz w:val="17"/>
              </w:rPr>
              <w:t>Verified or stated value</w:t>
            </w:r>
          </w:p>
        </w:tc>
      </w:tr>
      <w:tr>
        <w:tc>
          <w:tcPr>
            <w:tcW w:type="dxa" w:w="5083"/>
            <w:vAlign w:val="center"/>
          </w:tcPr>
          <w:p>
            <w:r>
              <w:rPr>
                <w:rFonts w:ascii="Arial" w:hAnsi="Arial"/>
                <w:sz w:val="17"/>
              </w:rPr>
              <w:t>Network</w:t>
            </w:r>
          </w:p>
        </w:tc>
        <w:tc>
          <w:tcPr>
            <w:tcW w:type="dxa" w:w="5083"/>
            <w:vAlign w:val="center"/>
          </w:tcPr>
          <w:p>
            <w:r>
              <w:rPr>
                <w:rFonts w:ascii="Arial" w:hAnsi="Arial"/>
                <w:sz w:val="17"/>
              </w:rPr>
              <w:t>Base</w:t>
            </w:r>
          </w:p>
        </w:tc>
      </w:tr>
      <w:tr>
        <w:tc>
          <w:tcPr>
            <w:tcW w:type="dxa" w:w="5083"/>
            <w:vAlign w:val="center"/>
            <w:shd w:fill="F7F4EE"/>
          </w:tcPr>
          <w:p>
            <w:r>
              <w:rPr>
                <w:rFonts w:ascii="Arial" w:hAnsi="Arial"/>
                <w:sz w:val="17"/>
              </w:rPr>
              <w:t>Sale type</w:t>
            </w:r>
          </w:p>
        </w:tc>
        <w:tc>
          <w:tcPr>
            <w:tcW w:type="dxa" w:w="5083"/>
            <w:vAlign w:val="center"/>
            <w:shd w:fill="F7F4EE"/>
          </w:tcPr>
          <w:p>
            <w:r>
              <w:rPr>
                <w:rFonts w:ascii="Arial" w:hAnsi="Arial"/>
                <w:sz w:val="17"/>
              </w:rPr>
              <w:t>Tiered</w:t>
            </w:r>
          </w:p>
        </w:tc>
      </w:tr>
      <w:tr>
        <w:tc>
          <w:tcPr>
            <w:tcW w:type="dxa" w:w="5083"/>
            <w:vAlign w:val="center"/>
          </w:tcPr>
          <w:p>
            <w:r>
              <w:rPr>
                <w:rFonts w:ascii="Arial" w:hAnsi="Arial"/>
                <w:sz w:val="17"/>
              </w:rPr>
              <w:t>Maximum allocation</w:t>
            </w:r>
          </w:p>
        </w:tc>
        <w:tc>
          <w:tcPr>
            <w:tcW w:type="dxa" w:w="5083"/>
            <w:vAlign w:val="center"/>
          </w:tcPr>
          <w:p>
            <w:r>
              <w:rPr>
                <w:rFonts w:ascii="Arial" w:hAnsi="Arial"/>
                <w:sz w:val="17"/>
              </w:rPr>
              <w:t>10,000,000 VAELO / 1%</w:t>
            </w:r>
          </w:p>
        </w:tc>
      </w:tr>
      <w:tr>
        <w:tc>
          <w:tcPr>
            <w:tcW w:type="dxa" w:w="5083"/>
            <w:vAlign w:val="center"/>
            <w:shd w:fill="F7F4EE"/>
          </w:tcPr>
          <w:p>
            <w:r>
              <w:rPr>
                <w:rFonts w:ascii="Arial" w:hAnsi="Arial"/>
                <w:sz w:val="17"/>
              </w:rPr>
              <w:t>Reference FDV</w:t>
            </w:r>
          </w:p>
        </w:tc>
        <w:tc>
          <w:tcPr>
            <w:tcW w:type="dxa" w:w="5083"/>
            <w:vAlign w:val="center"/>
            <w:shd w:fill="F7F4EE"/>
          </w:tcPr>
          <w:p>
            <w:r>
              <w:rPr>
                <w:rFonts w:ascii="Arial" w:hAnsi="Arial"/>
                <w:sz w:val="17"/>
              </w:rPr>
              <w:t>$5,000,000</w:t>
            </w:r>
          </w:p>
        </w:tc>
      </w:tr>
      <w:tr>
        <w:tc>
          <w:tcPr>
            <w:tcW w:type="dxa" w:w="5083"/>
            <w:vAlign w:val="center"/>
          </w:tcPr>
          <w:p>
            <w:r>
              <w:rPr>
                <w:rFonts w:ascii="Arial" w:hAnsi="Arial"/>
                <w:sz w:val="17"/>
              </w:rPr>
              <w:t>Reference price</w:t>
            </w:r>
          </w:p>
        </w:tc>
        <w:tc>
          <w:tcPr>
            <w:tcW w:type="dxa" w:w="5083"/>
            <w:vAlign w:val="center"/>
          </w:tcPr>
          <w:p>
            <w:r>
              <w:rPr>
                <w:rFonts w:ascii="Arial" w:hAnsi="Arial"/>
                <w:sz w:val="17"/>
              </w:rPr>
              <w:t>$0.005</w:t>
            </w:r>
          </w:p>
        </w:tc>
      </w:tr>
      <w:tr>
        <w:tc>
          <w:tcPr>
            <w:tcW w:type="dxa" w:w="5083"/>
            <w:vAlign w:val="center"/>
            <w:shd w:fill="F7F4EE"/>
          </w:tcPr>
          <w:p>
            <w:r>
              <w:rPr>
                <w:rFonts w:ascii="Arial" w:hAnsi="Arial"/>
                <w:sz w:val="17"/>
              </w:rPr>
              <w:t>Maximum theoretical gross proceeds</w:t>
            </w:r>
          </w:p>
        </w:tc>
        <w:tc>
          <w:tcPr>
            <w:tcW w:type="dxa" w:w="5083"/>
            <w:vAlign w:val="center"/>
            <w:shd w:fill="F7F4EE"/>
          </w:tcPr>
          <w:p>
            <w:r>
              <w:rPr>
                <w:rFonts w:ascii="Arial" w:hAnsi="Arial"/>
                <w:sz w:val="17"/>
              </w:rPr>
              <w:t>$50,000</w:t>
            </w:r>
          </w:p>
        </w:tc>
      </w:tr>
    </w:tbl>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1A20"/>
          </w:tcPr>
          <w:p>
            <w:r>
              <w:rPr>
                <w:rFonts w:ascii="Arial" w:hAnsi="Arial"/>
                <w:b/>
                <w:color w:val="F5F0E6"/>
                <w:sz w:val="17"/>
              </w:rPr>
              <w:t>Tier</w:t>
            </w:r>
          </w:p>
        </w:tc>
        <w:tc>
          <w:tcPr>
            <w:tcW w:type="dxa" w:w="2541"/>
            <w:vAlign w:val="center"/>
            <w:shd w:fill="171A20"/>
          </w:tcPr>
          <w:p>
            <w:r>
              <w:rPr>
                <w:rFonts w:ascii="Arial" w:hAnsi="Arial"/>
                <w:b/>
                <w:color w:val="F5F0E6"/>
                <w:sz w:val="17"/>
              </w:rPr>
              <w:t>VAELO</w:t>
            </w:r>
          </w:p>
        </w:tc>
        <w:tc>
          <w:tcPr>
            <w:tcW w:type="dxa" w:w="2541"/>
            <w:vAlign w:val="center"/>
            <w:shd w:fill="171A20"/>
          </w:tcPr>
          <w:p>
            <w:r>
              <w:rPr>
                <w:rFonts w:ascii="Arial" w:hAnsi="Arial"/>
                <w:b/>
                <w:color w:val="F5F0E6"/>
                <w:sz w:val="17"/>
              </w:rPr>
              <w:t>Price</w:t>
            </w:r>
          </w:p>
        </w:tc>
        <w:tc>
          <w:tcPr>
            <w:tcW w:type="dxa" w:w="2541"/>
            <w:vAlign w:val="center"/>
            <w:shd w:fill="171A20"/>
          </w:tcPr>
          <w:p>
            <w:r>
              <w:rPr>
                <w:rFonts w:ascii="Arial" w:hAnsi="Arial"/>
                <w:b/>
                <w:color w:val="F5F0E6"/>
                <w:sz w:val="17"/>
              </w:rPr>
              <w:t>Gross proceeds</w:t>
            </w:r>
          </w:p>
        </w:tc>
      </w:tr>
      <w:tr>
        <w:tc>
          <w:tcPr>
            <w:tcW w:type="dxa" w:w="2541"/>
            <w:vAlign w:val="center"/>
          </w:tcPr>
          <w:p>
            <w:r>
              <w:rPr>
                <w:rFonts w:ascii="Arial" w:hAnsi="Arial"/>
                <w:sz w:val="17"/>
              </w:rPr>
              <w:t>1</w:t>
            </w:r>
          </w:p>
        </w:tc>
        <w:tc>
          <w:tcPr>
            <w:tcW w:type="dxa" w:w="2541"/>
            <w:vAlign w:val="center"/>
          </w:tcPr>
          <w:p>
            <w:r>
              <w:rPr>
                <w:rFonts w:ascii="Arial" w:hAnsi="Arial"/>
                <w:sz w:val="17"/>
              </w:rPr>
              <w:t>1,000,000</w:t>
            </w:r>
          </w:p>
        </w:tc>
        <w:tc>
          <w:tcPr>
            <w:tcW w:type="dxa" w:w="2541"/>
            <w:vAlign w:val="center"/>
          </w:tcPr>
          <w:p>
            <w:r>
              <w:rPr>
                <w:rFonts w:ascii="Arial" w:hAnsi="Arial"/>
                <w:sz w:val="17"/>
              </w:rPr>
              <w:t>$0.003</w:t>
            </w:r>
          </w:p>
        </w:tc>
        <w:tc>
          <w:tcPr>
            <w:tcW w:type="dxa" w:w="2541"/>
            <w:vAlign w:val="center"/>
          </w:tcPr>
          <w:p>
            <w:r>
              <w:rPr>
                <w:rFonts w:ascii="Arial" w:hAnsi="Arial"/>
                <w:sz w:val="17"/>
              </w:rPr>
              <w:t>$3,000</w:t>
            </w:r>
          </w:p>
        </w:tc>
      </w:tr>
      <w:tr>
        <w:tc>
          <w:tcPr>
            <w:tcW w:type="dxa" w:w="2541"/>
            <w:vAlign w:val="center"/>
            <w:shd w:fill="F7F4EE"/>
          </w:tcPr>
          <w:p>
            <w:r>
              <w:rPr>
                <w:rFonts w:ascii="Arial" w:hAnsi="Arial"/>
                <w:sz w:val="17"/>
              </w:rPr>
              <w:t>2</w:t>
            </w:r>
          </w:p>
        </w:tc>
        <w:tc>
          <w:tcPr>
            <w:tcW w:type="dxa" w:w="2541"/>
            <w:vAlign w:val="center"/>
            <w:shd w:fill="F7F4EE"/>
          </w:tcPr>
          <w:p>
            <w:r>
              <w:rPr>
                <w:rFonts w:ascii="Arial" w:hAnsi="Arial"/>
                <w:sz w:val="17"/>
              </w:rPr>
              <w:t>2,000,000</w:t>
            </w:r>
          </w:p>
        </w:tc>
        <w:tc>
          <w:tcPr>
            <w:tcW w:type="dxa" w:w="2541"/>
            <w:vAlign w:val="center"/>
            <w:shd w:fill="F7F4EE"/>
          </w:tcPr>
          <w:p>
            <w:r>
              <w:rPr>
                <w:rFonts w:ascii="Arial" w:hAnsi="Arial"/>
                <w:sz w:val="17"/>
              </w:rPr>
              <w:t>$0.004</w:t>
            </w:r>
          </w:p>
        </w:tc>
        <w:tc>
          <w:tcPr>
            <w:tcW w:type="dxa" w:w="2541"/>
            <w:vAlign w:val="center"/>
            <w:shd w:fill="F7F4EE"/>
          </w:tcPr>
          <w:p>
            <w:r>
              <w:rPr>
                <w:rFonts w:ascii="Arial" w:hAnsi="Arial"/>
                <w:sz w:val="17"/>
              </w:rPr>
              <w:t>$8,000</w:t>
            </w:r>
          </w:p>
        </w:tc>
      </w:tr>
      <w:tr>
        <w:tc>
          <w:tcPr>
            <w:tcW w:type="dxa" w:w="2541"/>
            <w:vAlign w:val="center"/>
          </w:tcPr>
          <w:p>
            <w:r>
              <w:rPr>
                <w:rFonts w:ascii="Arial" w:hAnsi="Arial"/>
                <w:sz w:val="17"/>
              </w:rPr>
              <w:t>3</w:t>
            </w:r>
          </w:p>
        </w:tc>
        <w:tc>
          <w:tcPr>
            <w:tcW w:type="dxa" w:w="2541"/>
            <w:vAlign w:val="center"/>
          </w:tcPr>
          <w:p>
            <w:r>
              <w:rPr>
                <w:rFonts w:ascii="Arial" w:hAnsi="Arial"/>
                <w:sz w:val="17"/>
              </w:rPr>
              <w:t>3,000,000</w:t>
            </w:r>
          </w:p>
        </w:tc>
        <w:tc>
          <w:tcPr>
            <w:tcW w:type="dxa" w:w="2541"/>
            <w:vAlign w:val="center"/>
          </w:tcPr>
          <w:p>
            <w:r>
              <w:rPr>
                <w:rFonts w:ascii="Arial" w:hAnsi="Arial"/>
                <w:sz w:val="17"/>
              </w:rPr>
              <w:t>$0.005</w:t>
            </w:r>
          </w:p>
        </w:tc>
        <w:tc>
          <w:tcPr>
            <w:tcW w:type="dxa" w:w="2541"/>
            <w:vAlign w:val="center"/>
          </w:tcPr>
          <w:p>
            <w:r>
              <w:rPr>
                <w:rFonts w:ascii="Arial" w:hAnsi="Arial"/>
                <w:sz w:val="17"/>
              </w:rPr>
              <w:t>$15,000</w:t>
            </w:r>
          </w:p>
        </w:tc>
      </w:tr>
      <w:tr>
        <w:tc>
          <w:tcPr>
            <w:tcW w:type="dxa" w:w="2541"/>
            <w:vAlign w:val="center"/>
            <w:shd w:fill="F7F4EE"/>
          </w:tcPr>
          <w:p>
            <w:r>
              <w:rPr>
                <w:rFonts w:ascii="Arial" w:hAnsi="Arial"/>
                <w:sz w:val="17"/>
              </w:rPr>
              <w:t>4</w:t>
            </w:r>
          </w:p>
        </w:tc>
        <w:tc>
          <w:tcPr>
            <w:tcW w:type="dxa" w:w="2541"/>
            <w:vAlign w:val="center"/>
            <w:shd w:fill="F7F4EE"/>
          </w:tcPr>
          <w:p>
            <w:r>
              <w:rPr>
                <w:rFonts w:ascii="Arial" w:hAnsi="Arial"/>
                <w:sz w:val="17"/>
              </w:rPr>
              <w:t>4,000,000</w:t>
            </w:r>
          </w:p>
        </w:tc>
        <w:tc>
          <w:tcPr>
            <w:tcW w:type="dxa" w:w="2541"/>
            <w:vAlign w:val="center"/>
            <w:shd w:fill="F7F4EE"/>
          </w:tcPr>
          <w:p>
            <w:r>
              <w:rPr>
                <w:rFonts w:ascii="Arial" w:hAnsi="Arial"/>
                <w:sz w:val="17"/>
              </w:rPr>
              <w:t>$0.006</w:t>
            </w:r>
          </w:p>
        </w:tc>
        <w:tc>
          <w:tcPr>
            <w:tcW w:type="dxa" w:w="2541"/>
            <w:vAlign w:val="center"/>
            <w:shd w:fill="F7F4EE"/>
          </w:tcPr>
          <w:p>
            <w:r>
              <w:rPr>
                <w:rFonts w:ascii="Arial" w:hAnsi="Arial"/>
                <w:sz w:val="17"/>
              </w:rPr>
              <w:t>$24,000</w:t>
            </w:r>
          </w:p>
        </w:tc>
      </w:tr>
      <w:tr>
        <w:tc>
          <w:tcPr>
            <w:tcW w:type="dxa" w:w="2541"/>
            <w:vAlign w:val="center"/>
          </w:tcPr>
          <w:p>
            <w:r>
              <w:rPr>
                <w:rFonts w:ascii="Arial" w:hAnsi="Arial"/>
                <w:sz w:val="17"/>
              </w:rPr>
              <w:t>MAXIMUM</w:t>
            </w:r>
          </w:p>
        </w:tc>
        <w:tc>
          <w:tcPr>
            <w:tcW w:type="dxa" w:w="2541"/>
            <w:vAlign w:val="center"/>
          </w:tcPr>
          <w:p>
            <w:r>
              <w:rPr>
                <w:rFonts w:ascii="Arial" w:hAnsi="Arial"/>
                <w:sz w:val="17"/>
              </w:rPr>
              <w:t>10,000,000</w:t>
            </w:r>
          </w:p>
        </w:tc>
        <w:tc>
          <w:tcPr>
            <w:tcW w:type="dxa" w:w="2541"/>
            <w:vAlign w:val="center"/>
          </w:tcPr>
          <w:p>
            <w:r>
              <w:rPr>
                <w:rFonts w:ascii="Arial" w:hAnsi="Arial"/>
                <w:sz w:val="17"/>
              </w:rPr>
              <w:t>Weighted avg. $0.005</w:t>
            </w:r>
          </w:p>
        </w:tc>
        <w:tc>
          <w:tcPr>
            <w:tcW w:type="dxa" w:w="2541"/>
            <w:vAlign w:val="center"/>
          </w:tcPr>
          <w:p>
            <w:r>
              <w:rPr>
                <w:rFonts w:ascii="Arial" w:hAnsi="Arial"/>
                <w:sz w:val="17"/>
              </w:rPr>
              <w:t>$50,000</w:t>
            </w:r>
          </w:p>
        </w:tc>
      </w:tr>
    </w:tbl>
    <w:p/>
    <w:p>
      <w:r>
        <w:br w:type="page"/>
      </w:r>
    </w:p>
    <w:p>
      <w:pPr>
        <w:pStyle w:val="Heading2"/>
      </w:pPr>
      <w:r>
        <w:t>13 / PRODUCT DOCUMENTATION</w:t>
      </w:r>
    </w:p>
    <w:p>
      <w:pPr>
        <w:pStyle w:val="Heading1"/>
      </w:pPr>
      <w:r>
        <w:t>Use of initial capital</w:t>
      </w:r>
    </w:p>
    <w:p>
      <w:r>
        <w:rPr>
          <w:b/>
          <w:color w:val="77561F"/>
        </w:rPr>
        <w:t>INTENDED USES — NOT COMPLETED ACTIVITIES</w:t>
      </w:r>
    </w:p>
    <w:p>
      <w:r>
        <w:t>If an approved sale proceeds, potential uses of initial project funding may include the following. Final budgets, timing and allocations remain subject to approval and available proceeds.</w:t>
      </w:r>
    </w:p>
    <w:p>
      <w:pPr>
        <w:pStyle w:val="ListBullet"/>
      </w:pPr>
      <w:r>
        <w:t>Technical development</w:t>
      </w:r>
    </w:p>
    <w:p>
      <w:pPr>
        <w:pStyle w:val="ListBullet"/>
      </w:pPr>
      <w:r>
        <w:t>Independent security review</w:t>
      </w:r>
    </w:p>
    <w:p>
      <w:pPr>
        <w:pStyle w:val="ListBullet"/>
      </w:pPr>
      <w:r>
        <w:t>Infrastructure</w:t>
      </w:r>
    </w:p>
    <w:p>
      <w:pPr>
        <w:pStyle w:val="ListBullet"/>
      </w:pPr>
      <w:r>
        <w:t>Essential team capability</w:t>
      </w:r>
    </w:p>
    <w:p>
      <w:pPr>
        <w:pStyle w:val="ListBullet"/>
      </w:pPr>
      <w:r>
        <w:t>Legal and compliance work</w:t>
      </w:r>
    </w:p>
    <w:p>
      <w:pPr>
        <w:pStyle w:val="ListBullet"/>
      </w:pPr>
      <w:r>
        <w:t>Corporate and operational setup</w:t>
      </w:r>
    </w:p>
    <w:p>
      <w:pPr>
        <w:pStyle w:val="ListBullet"/>
      </w:pPr>
      <w:r>
        <w:t>Development of the first Vaeloryn initiative</w:t>
      </w:r>
    </w:p>
    <w:p>
      <w:pPr>
        <w:pStyle w:val="ListBullet"/>
      </w:pPr>
      <w:r>
        <w:t>Communications and transparency infrastructure</w:t>
      </w:r>
    </w:p>
    <w:p>
      <w:r>
        <w:br w:type="page"/>
      </w:r>
    </w:p>
    <w:p>
      <w:pPr>
        <w:pStyle w:val="Heading2"/>
      </w:pPr>
      <w:r>
        <w:t>14 / PRODUCT DOCUMENTATION</w:t>
      </w:r>
    </w:p>
    <w:p>
      <w:pPr>
        <w:pStyle w:val="Heading1"/>
      </w:pPr>
      <w:r>
        <w:t>Roadmap</w:t>
      </w:r>
    </w:p>
    <w:p>
      <w:r>
        <w:rPr>
          <w:b/>
          <w:color w:val="77561F"/>
        </w:rPr>
        <w:t>MILESTONE-GATED — NO DATES PROMISED</w:t>
      </w:r>
    </w:p>
    <w:p>
      <w:r>
        <w:t>Progression is milestone-gated rather than calendar-gated. Future phases are objectives, not commitments to specific timing or outcomes.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1A20"/>
          </w:tcPr>
          <w:p>
            <w:r>
              <w:rPr>
                <w:rFonts w:ascii="Arial" w:hAnsi="Arial"/>
                <w:b/>
                <w:color w:val="F5F0E6"/>
                <w:sz w:val="17"/>
              </w:rPr>
              <w:t>Phase</w:t>
            </w:r>
          </w:p>
        </w:tc>
        <w:tc>
          <w:tcPr>
            <w:tcW w:type="dxa" w:w="3389"/>
            <w:vAlign w:val="center"/>
            <w:shd w:fill="171A20"/>
          </w:tcPr>
          <w:p>
            <w:r>
              <w:rPr>
                <w:rFonts w:ascii="Arial" w:hAnsi="Arial"/>
                <w:b/>
                <w:color w:val="F5F0E6"/>
                <w:sz w:val="17"/>
              </w:rPr>
              <w:t>Status</w:t>
            </w:r>
          </w:p>
        </w:tc>
        <w:tc>
          <w:tcPr>
            <w:tcW w:type="dxa" w:w="3389"/>
            <w:vAlign w:val="center"/>
            <w:shd w:fill="171A20"/>
          </w:tcPr>
          <w:p>
            <w:r>
              <w:rPr>
                <w:rFonts w:ascii="Arial" w:hAnsi="Arial"/>
                <w:b/>
                <w:color w:val="F5F0E6"/>
                <w:sz w:val="17"/>
              </w:rPr>
              <w:t>Representative milestones</w:t>
            </w:r>
          </w:p>
        </w:tc>
      </w:tr>
      <w:tr>
        <w:tc>
          <w:tcPr>
            <w:tcW w:type="dxa" w:w="3389"/>
            <w:vAlign w:val="center"/>
          </w:tcPr>
          <w:p>
            <w:r>
              <w:rPr>
                <w:rFonts w:ascii="Arial" w:hAnsi="Arial"/>
                <w:sz w:val="17"/>
              </w:rPr>
              <w:t>Phase 1 — Foundation</w:t>
            </w:r>
          </w:p>
        </w:tc>
        <w:tc>
          <w:tcPr>
            <w:tcW w:type="dxa" w:w="3389"/>
            <w:vAlign w:val="center"/>
          </w:tcPr>
          <w:p>
            <w:r>
              <w:rPr>
                <w:rFonts w:ascii="Arial" w:hAnsi="Arial"/>
                <w:sz w:val="17"/>
              </w:rPr>
              <w:t>IN PROGRESS</w:t>
            </w:r>
          </w:p>
        </w:tc>
        <w:tc>
          <w:tcPr>
            <w:tcW w:type="dxa" w:w="3389"/>
            <w:vAlign w:val="center"/>
          </w:tcPr>
          <w:p>
            <w:r>
              <w:rPr>
                <w:rFonts w:ascii="Arial" w:hAnsi="Arial"/>
                <w:sz w:val="17"/>
              </w:rPr>
              <w:t>Canonical protocol implemented and tested; website and public documentation established. Community, legal/regulatory guidance, strategy and flagship-project evaluation remain in progress.</w:t>
            </w:r>
          </w:p>
        </w:tc>
      </w:tr>
      <w:tr>
        <w:tc>
          <w:tcPr>
            <w:tcW w:type="dxa" w:w="3389"/>
            <w:vAlign w:val="center"/>
            <w:shd w:fill="F7F4EE"/>
          </w:tcPr>
          <w:p>
            <w:r>
              <w:rPr>
                <w:rFonts w:ascii="Arial" w:hAnsi="Arial"/>
                <w:sz w:val="17"/>
              </w:rPr>
              <w:t>Phase 2 — Execution</w:t>
            </w:r>
          </w:p>
        </w:tc>
        <w:tc>
          <w:tcPr>
            <w:tcW w:type="dxa" w:w="3389"/>
            <w:vAlign w:val="center"/>
            <w:shd w:fill="F7F4EE"/>
          </w:tcPr>
          <w:p>
            <w:r>
              <w:rPr>
                <w:rFonts w:ascii="Arial" w:hAnsi="Arial"/>
                <w:sz w:val="17"/>
              </w:rPr>
              <w:t>PLANNED</w:t>
            </w:r>
          </w:p>
        </w:tc>
        <w:tc>
          <w:tcPr>
            <w:tcW w:type="dxa" w:w="3389"/>
            <w:vAlign w:val="center"/>
            <w:shd w:fill="F7F4EE"/>
          </w:tcPr>
          <w:p>
            <w:r>
              <w:rPr>
                <w:rFonts w:ascii="Arial" w:hAnsi="Arial"/>
                <w:sz w:val="17"/>
              </w:rPr>
              <w:t>Build a first flagship project; demonstrate measurable value; grow capability; introduce genuine VAELO utility only where useful.</w:t>
            </w:r>
          </w:p>
        </w:tc>
      </w:tr>
      <w:tr>
        <w:tc>
          <w:tcPr>
            <w:tcW w:type="dxa" w:w="3389"/>
            <w:vAlign w:val="center"/>
          </w:tcPr>
          <w:p>
            <w:r>
              <w:rPr>
                <w:rFonts w:ascii="Arial" w:hAnsi="Arial"/>
                <w:sz w:val="17"/>
              </w:rPr>
              <w:t>Phase 3 — Expansion</w:t>
            </w:r>
          </w:p>
        </w:tc>
        <w:tc>
          <w:tcPr>
            <w:tcW w:type="dxa" w:w="3389"/>
            <w:vAlign w:val="center"/>
          </w:tcPr>
          <w:p>
            <w:r>
              <w:rPr>
                <w:rFonts w:ascii="Arial" w:hAnsi="Arial"/>
                <w:sz w:val="17"/>
              </w:rPr>
              <w:t>PLANNED</w:t>
            </w:r>
          </w:p>
        </w:tc>
        <w:tc>
          <w:tcPr>
            <w:tcW w:type="dxa" w:w="3389"/>
            <w:vAlign w:val="center"/>
          </w:tcPr>
          <w:p>
            <w:r>
              <w:rPr>
                <w:rFonts w:ascii="Arial" w:hAnsi="Arial"/>
                <w:sz w:val="17"/>
              </w:rPr>
              <w:t>Expand successful projects; develop additional initiatives; build partnerships; expand the contributor ecosystem; strengthen sustainability.</w:t>
            </w:r>
          </w:p>
        </w:tc>
      </w:tr>
      <w:tr>
        <w:tc>
          <w:tcPr>
            <w:tcW w:type="dxa" w:w="3389"/>
            <w:vAlign w:val="center"/>
            <w:shd w:fill="F7F4EE"/>
          </w:tcPr>
          <w:p>
            <w:r>
              <w:rPr>
                <w:rFonts w:ascii="Arial" w:hAnsi="Arial"/>
                <w:sz w:val="17"/>
              </w:rPr>
              <w:t>Phase 4 — Global Ecosystem</w:t>
            </w:r>
          </w:p>
        </w:tc>
        <w:tc>
          <w:tcPr>
            <w:tcW w:type="dxa" w:w="3389"/>
            <w:vAlign w:val="center"/>
            <w:shd w:fill="F7F4EE"/>
          </w:tcPr>
          <w:p>
            <w:r>
              <w:rPr>
                <w:rFonts w:ascii="Arial" w:hAnsi="Arial"/>
                <w:sz w:val="17"/>
              </w:rPr>
              <w:t>PLANNED</w:t>
            </w:r>
          </w:p>
        </w:tc>
        <w:tc>
          <w:tcPr>
            <w:tcW w:type="dxa" w:w="3389"/>
            <w:vAlign w:val="center"/>
            <w:shd w:fill="F7F4EE"/>
          </w:tcPr>
          <w:p>
            <w:r>
              <w:rPr>
                <w:rFonts w:ascii="Arial" w:hAnsi="Arial"/>
                <w:sz w:val="17"/>
              </w:rPr>
              <w:t>Develop a globally connected innovation ecosystem around meaningful science and technology projects.</w:t>
            </w:r>
          </w:p>
        </w:tc>
      </w:tr>
    </w:tbl>
    <w:p/>
    <w:p>
      <w:r>
        <w:br w:type="page"/>
      </w:r>
    </w:p>
    <w:p>
      <w:pPr>
        <w:pStyle w:val="Heading2"/>
      </w:pPr>
      <w:r>
        <w:t>15 / PRODUCT DOCUMENTATION</w:t>
      </w:r>
    </w:p>
    <w:p>
      <w:pPr>
        <w:pStyle w:val="Heading1"/>
      </w:pPr>
      <w:r>
        <w:t>Current development status</w:t>
      </w:r>
    </w:p>
    <w:p>
      <w:r>
        <w:rPr>
          <w:b/>
          <w:color w:val="77561F"/>
        </w:rPr>
        <w:t>STATUS AS OF AUGUST 2026</w:t>
      </w:r>
    </w:p>
    <w:p>
      <w:r>
        <w:t>The project is at a foundation and preparation stage. The protocol work described below is local implementation and evidence, not a claim of Mainnet launch.</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1A20"/>
          </w:tcPr>
          <w:p>
            <w:r>
              <w:rPr>
                <w:rFonts w:ascii="Arial" w:hAnsi="Arial"/>
                <w:b/>
                <w:color w:val="F5F0E6"/>
                <w:sz w:val="17"/>
              </w:rPr>
              <w:t>CURRENT / PREPARED</w:t>
            </w:r>
          </w:p>
        </w:tc>
        <w:tc>
          <w:tcPr>
            <w:tcW w:type="dxa" w:w="5083"/>
            <w:vAlign w:val="center"/>
            <w:shd w:fill="171A20"/>
          </w:tcPr>
          <w:p>
            <w:r>
              <w:rPr>
                <w:rFonts w:ascii="Arial" w:hAnsi="Arial"/>
                <w:b/>
                <w:color w:val="F5F0E6"/>
                <w:sz w:val="17"/>
              </w:rPr>
              <w:t>NOT YET COMPLETED</w:t>
            </w:r>
          </w:p>
        </w:tc>
      </w:tr>
      <w:tr>
        <w:tc>
          <w:tcPr>
            <w:tcW w:type="dxa" w:w="5083"/>
            <w:vAlign w:val="center"/>
          </w:tcPr>
          <w:p>
            <w:r>
              <w:rPr>
                <w:rFonts w:ascii="Arial" w:hAnsi="Arial"/>
                <w:sz w:val="17"/>
              </w:rPr>
              <w:t>Canonical contracts implemented</w:t>
            </w:r>
          </w:p>
        </w:tc>
        <w:tc>
          <w:tcPr>
            <w:tcW w:type="dxa" w:w="5083"/>
            <w:vAlign w:val="center"/>
          </w:tcPr>
          <w:p>
            <w:r>
              <w:rPr>
                <w:rFonts w:ascii="Arial" w:hAnsi="Arial"/>
                <w:sz w:val="17"/>
              </w:rPr>
              <w:t>Base Mainnet deployment</w:t>
            </w:r>
          </w:p>
        </w:tc>
      </w:tr>
      <w:tr>
        <w:tc>
          <w:tcPr>
            <w:tcW w:type="dxa" w:w="5083"/>
            <w:vAlign w:val="center"/>
            <w:shd w:fill="F7F4EE"/>
          </w:tcPr>
          <w:p>
            <w:r>
              <w:rPr>
                <w:rFonts w:ascii="Arial" w:hAnsi="Arial"/>
                <w:sz w:val="17"/>
              </w:rPr>
              <w:t>Canonical tokenomics finalized</w:t>
            </w:r>
          </w:p>
        </w:tc>
        <w:tc>
          <w:tcPr>
            <w:tcW w:type="dxa" w:w="5083"/>
            <w:vAlign w:val="center"/>
            <w:shd w:fill="F7F4EE"/>
          </w:tcPr>
          <w:p>
            <w:r>
              <w:rPr>
                <w:rFonts w:ascii="Arial" w:hAnsi="Arial"/>
                <w:sz w:val="17"/>
              </w:rPr>
              <w:t>Mainnet source verification</w:t>
            </w:r>
          </w:p>
        </w:tc>
      </w:tr>
      <w:tr>
        <w:tc>
          <w:tcPr>
            <w:tcW w:type="dxa" w:w="5083"/>
            <w:vAlign w:val="center"/>
          </w:tcPr>
          <w:p>
            <w:r>
              <w:rPr>
                <w:rFonts w:ascii="Arial" w:hAnsi="Arial"/>
                <w:sz w:val="17"/>
              </w:rPr>
              <w:t>Targeted canonical test suite passing</w:t>
            </w:r>
          </w:p>
        </w:tc>
        <w:tc>
          <w:tcPr>
            <w:tcW w:type="dxa" w:w="5083"/>
            <w:vAlign w:val="center"/>
          </w:tcPr>
          <w:p>
            <w:r>
              <w:rPr>
                <w:rFonts w:ascii="Arial" w:hAnsi="Arial"/>
                <w:sz w:val="17"/>
              </w:rPr>
              <w:t>Independent security audit</w:t>
            </w:r>
          </w:p>
        </w:tc>
      </w:tr>
      <w:tr>
        <w:tc>
          <w:tcPr>
            <w:tcW w:type="dxa" w:w="5083"/>
            <w:vAlign w:val="center"/>
            <w:shd w:fill="F7F4EE"/>
          </w:tcPr>
          <w:p>
            <w:r>
              <w:rPr>
                <w:rFonts w:ascii="Arial" w:hAnsi="Arial"/>
                <w:sz w:val="17"/>
              </w:rPr>
              <w:t>Mainnet deployment package prepared</w:t>
            </w:r>
          </w:p>
        </w:tc>
        <w:tc>
          <w:tcPr>
            <w:tcW w:type="dxa" w:w="5083"/>
            <w:vAlign w:val="center"/>
            <w:shd w:fill="F7F4EE"/>
          </w:tcPr>
          <w:p>
            <w:r>
              <w:rPr>
                <w:rFonts w:ascii="Arial" w:hAnsi="Arial"/>
                <w:sz w:val="17"/>
              </w:rPr>
              <w:t>Fjord sale creation and approval</w:t>
            </w:r>
          </w:p>
        </w:tc>
      </w:tr>
      <w:tr>
        <w:tc>
          <w:tcPr>
            <w:tcW w:type="dxa" w:w="5083"/>
            <w:vAlign w:val="center"/>
          </w:tcPr>
          <w:p>
            <w:r>
              <w:rPr>
                <w:rFonts w:ascii="Arial" w:hAnsi="Arial"/>
                <w:sz w:val="17"/>
              </w:rPr>
              <w:t>Fjord preparation documentation prepared</w:t>
            </w:r>
          </w:p>
        </w:tc>
        <w:tc>
          <w:tcPr>
            <w:tcW w:type="dxa" w:w="5083"/>
            <w:vAlign w:val="center"/>
          </w:tcPr>
          <w:p>
            <w:r>
              <w:rPr>
                <w:rFonts w:ascii="Arial" w:hAnsi="Arial"/>
                <w:sz w:val="17"/>
              </w:rPr>
              <w:t>Public token sale</w:t>
            </w:r>
          </w:p>
        </w:tc>
      </w:tr>
      <w:tr>
        <w:tc>
          <w:tcPr>
            <w:tcW w:type="dxa" w:w="5083"/>
            <w:vAlign w:val="center"/>
            <w:shd w:fill="F7F4EE"/>
          </w:tcPr>
          <w:p>
            <w:r>
              <w:rPr>
                <w:rFonts w:ascii="Arial" w:hAnsi="Arial"/>
                <w:sz w:val="17"/>
              </w:rPr>
              <w:t>Fjord pitch deck prepared</w:t>
            </w:r>
          </w:p>
        </w:tc>
        <w:tc>
          <w:tcPr>
            <w:tcW w:type="dxa" w:w="5083"/>
            <w:vAlign w:val="center"/>
            <w:shd w:fill="F7F4EE"/>
          </w:tcPr>
          <w:p>
            <w:r>
              <w:rPr>
                <w:rFonts w:ascii="Arial" w:hAnsi="Arial"/>
                <w:sz w:val="17"/>
              </w:rPr>
              <w:t>Full ecosystem launch</w:t>
            </w:r>
          </w:p>
        </w:tc>
      </w:tr>
    </w:tbl>
    <w:p/>
    <w:p>
      <w:r>
        <w:br w:type="page"/>
      </w:r>
    </w:p>
    <w:p>
      <w:pPr>
        <w:pStyle w:val="Heading2"/>
      </w:pPr>
      <w:r>
        <w:t>16 / PRODUCT DOCUMENTATION</w:t>
      </w:r>
    </w:p>
    <w:p>
      <w:pPr>
        <w:pStyle w:val="Heading1"/>
      </w:pPr>
      <w:r>
        <w:t>Transparency and verification</w:t>
      </w:r>
    </w:p>
    <w:p>
      <w:r>
        <w:rPr>
          <w:b/>
          <w:color w:val="77561F"/>
        </w:rPr>
        <w:t>FUTURE MAINNET VERIFICATION REQUIREMENTS</w:t>
      </w:r>
    </w:p>
    <w:p>
      <w:r>
        <w:t>Canonical identity should be established through the approved Base Mainnet manifest, deployment event and verifiable on-chain evidence—not through a name or placeholder address.</w:t>
      </w:r>
    </w:p>
    <w:p>
      <w:r>
        <w:t>Future publication should include the official VAELO, factory, genesis distribution and founder vesting addresses; deployment transaction; verified source code; compiler and constructor settings; bytecode hashes; tokenomics readback; and vesting readback.</w:t>
      </w:r>
    </w:p>
    <w:p>
      <w:r>
        <w:t>No canonical Mainnet addresses or transaction identifiers exist in the manifest today, so none are inserted here.</w:t>
      </w:r>
    </w:p>
    <w:p>
      <w:r>
        <w:br w:type="page"/>
      </w:r>
    </w:p>
    <w:p>
      <w:pPr>
        <w:pStyle w:val="Heading2"/>
      </w:pPr>
      <w:r>
        <w:t>17 / PRODUCT DOCUMENTATION</w:t>
      </w:r>
    </w:p>
    <w:p>
      <w:pPr>
        <w:pStyle w:val="Heading1"/>
      </w:pPr>
      <w:r>
        <w:t>Risks and limitations</w:t>
      </w:r>
    </w:p>
    <w:p>
      <w:r>
        <w:rPr>
          <w:b/>
          <w:color w:val="77561F"/>
        </w:rPr>
        <w:t>MATERIAL UNCERTAINTIES</w:t>
      </w:r>
    </w:p>
    <w:p>
      <w:r>
        <w:t>Vaeloryn is early-stage. Development may be delayed, changed or discontinued. Smart contracts can contain defects despite testing, and an independent audit has not been completed.</w:t>
      </w:r>
    </w:p>
    <w:p>
      <w:r>
        <w:t>Market demand, liquidity and token pricing are uncertain. Regulatory requirements may change or differ across jurisdictions. Adoption depends on participants, useful initiatives and execution capability. Sale operations, eligibility, payment assets, claims and unsold-token treatment require external Fjord confirmation and professional review.</w:t>
      </w:r>
    </w:p>
    <w:p>
      <w:r>
        <w:t>VAELO does not guarantee returns. This document is informational and is not legal, tax, regulatory, financial or investment advice.</w:t>
      </w:r>
    </w:p>
    <w:p>
      <w:r>
        <w:br w:type="page"/>
      </w:r>
    </w:p>
    <w:p>
      <w:pPr>
        <w:pStyle w:val="Heading2"/>
      </w:pPr>
      <w:r>
        <w:t>18 / PRODUCT DOCUMENTATION</w:t>
      </w:r>
    </w:p>
    <w:p>
      <w:pPr>
        <w:pStyle w:val="Heading1"/>
      </w:pPr>
      <w:r>
        <w:t>Contact and links</w:t>
      </w:r>
    </w:p>
    <w:p>
      <w:r>
        <w:rPr>
          <w:b/>
          <w:color w:val="77561F"/>
        </w:rPr>
        <w:t>REPOSITORY-VERIFIED LINKS ONLY</w:t>
      </w:r>
    </w:p>
    <w:p>
      <w:r>
        <w:t>Only links verified in the repository are included. No social URL has been inferred from an account name.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1A20"/>
          </w:tcPr>
          <w:p>
            <w:r>
              <w:rPr>
                <w:rFonts w:ascii="Arial" w:hAnsi="Arial"/>
                <w:b/>
                <w:color w:val="F5F0E6"/>
                <w:sz w:val="17"/>
              </w:rPr>
              <w:t>Item</w:t>
            </w:r>
          </w:p>
        </w:tc>
        <w:tc>
          <w:tcPr>
            <w:tcW w:type="dxa" w:w="5083"/>
            <w:vAlign w:val="center"/>
            <w:shd w:fill="171A20"/>
          </w:tcPr>
          <w:p>
            <w:r>
              <w:rPr>
                <w:rFonts w:ascii="Arial" w:hAnsi="Arial"/>
                <w:b/>
                <w:color w:val="F5F0E6"/>
                <w:sz w:val="17"/>
              </w:rPr>
              <w:t>Verified or stated value</w:t>
            </w:r>
          </w:p>
        </w:tc>
      </w:tr>
      <w:tr>
        <w:tc>
          <w:tcPr>
            <w:tcW w:type="dxa" w:w="5083"/>
            <w:vAlign w:val="center"/>
          </w:tcPr>
          <w:p>
            <w:r>
              <w:rPr>
                <w:rFonts w:ascii="Arial" w:hAnsi="Arial"/>
                <w:sz w:val="17"/>
              </w:rPr>
              <w:t>Website</w:t>
            </w:r>
          </w:p>
        </w:tc>
        <w:tc>
          <w:tcPr>
            <w:tcW w:type="dxa" w:w="5083"/>
            <w:vAlign w:val="center"/>
          </w:tcPr>
          <w:p>
            <w:r>
              <w:rPr>
                <w:rFonts w:ascii="Arial" w:hAnsi="Arial"/>
                <w:sz w:val="17"/>
              </w:rPr>
              <w:t>https://vaeloryn.com</w:t>
            </w:r>
          </w:p>
        </w:tc>
      </w:tr>
      <w:tr>
        <w:tc>
          <w:tcPr>
            <w:tcW w:type="dxa" w:w="5083"/>
            <w:vAlign w:val="center"/>
            <w:shd w:fill="F7F4EE"/>
          </w:tcPr>
          <w:p>
            <w:r>
              <w:rPr>
                <w:rFonts w:ascii="Arial" w:hAnsi="Arial"/>
                <w:sz w:val="17"/>
              </w:rPr>
              <w:t>GitHub</w:t>
            </w:r>
          </w:p>
        </w:tc>
        <w:tc>
          <w:tcPr>
            <w:tcW w:type="dxa" w:w="5083"/>
            <w:vAlign w:val="center"/>
            <w:shd w:fill="F7F4EE"/>
          </w:tcPr>
          <w:p>
            <w:r>
              <w:rPr>
                <w:rFonts w:ascii="Arial" w:hAnsi="Arial"/>
                <w:sz w:val="17"/>
              </w:rPr>
              <w:t>https://github.com/Vaeloryn/Vaeloryn</w:t>
            </w:r>
          </w:p>
        </w:tc>
      </w:tr>
      <w:tr>
        <w:tc>
          <w:tcPr>
            <w:tcW w:type="dxa" w:w="5083"/>
            <w:vAlign w:val="center"/>
          </w:tcPr>
          <w:p>
            <w:r>
              <w:rPr>
                <w:rFonts w:ascii="Arial" w:hAnsi="Arial"/>
                <w:sz w:val="17"/>
              </w:rPr>
              <w:t>X</w:t>
            </w:r>
          </w:p>
        </w:tc>
        <w:tc>
          <w:tcPr>
            <w:tcW w:type="dxa" w:w="5083"/>
            <w:vAlign w:val="center"/>
          </w:tcPr>
          <w:p>
            <w:r>
              <w:rPr>
                <w:rFonts w:ascii="Arial" w:hAnsi="Arial"/>
                <w:sz w:val="17"/>
              </w:rPr>
              <w:t>Not supplied in the repository reviewed</w:t>
            </w:r>
          </w:p>
        </w:tc>
      </w:tr>
      <w:tr>
        <w:tc>
          <w:tcPr>
            <w:tcW w:type="dxa" w:w="5083"/>
            <w:vAlign w:val="center"/>
            <w:shd w:fill="F7F4EE"/>
          </w:tcPr>
          <w:p>
            <w:r>
              <w:rPr>
                <w:rFonts w:ascii="Arial" w:hAnsi="Arial"/>
                <w:sz w:val="17"/>
              </w:rPr>
              <w:t>Telegram</w:t>
            </w:r>
          </w:p>
        </w:tc>
        <w:tc>
          <w:tcPr>
            <w:tcW w:type="dxa" w:w="5083"/>
            <w:vAlign w:val="center"/>
            <w:shd w:fill="F7F4EE"/>
          </w:tcPr>
          <w:p>
            <w:r>
              <w:rPr>
                <w:rFonts w:ascii="Arial" w:hAnsi="Arial"/>
                <w:sz w:val="17"/>
              </w:rPr>
              <w:t>Not supplied in the repository reviewed</w:t>
            </w:r>
          </w:p>
        </w:tc>
      </w:tr>
    </w:tbl>
    <w:p/>
    <w:sectPr w:rsidR="00FC693F" w:rsidRPr="0006063C" w:rsidSect="00034616">
      <w:foot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D86"/>
        <w:sz w:val="16"/>
      </w:rPr>
      <w:t xml:space="preserve">VAELORYN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11318"/>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A47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Vaeloryn Product Documentation</dc:title>
  <dc:subject>VAELO Ecosystem &amp; Product Overview</dc:subject>
  <dc:creator>Vaeloryn</dc:creator>
  <cp:keywords/>
  <dc:description>Canonical Base Mainnet deployment not completed.</dc:description>
  <cp:lastModifiedBy/>
  <cp:revision>1</cp:revision>
  <dcterms:created xsi:type="dcterms:W3CDTF">2013-12-23T23:15:00Z</dcterms:created>
  <dcterms:modified xsi:type="dcterms:W3CDTF">2013-12-23T23:15:00Z</dcterms:modified>
  <cp:category/>
</cp:coreProperties>
</file>