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60"/>
      </w:pPr>
      <w:r>
        <w:rPr>
          <w:rFonts w:ascii="Arial" w:cs="Arial" w:eastAsia="Arial" w:hAnsi="Arial"/>
          <w:b/>
          <w:bCs/>
          <w:color w:val="0C447C"/>
          <w:sz w:val="52"/>
          <w:szCs w:val="52"/>
        </w:rPr>
        <w:t xml:space="preserve">Construction AI Billing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185FA5"/>
          <w:sz w:val="24"/>
          <w:szCs w:val="24"/>
        </w:rPr>
        <w:t xml:space="preserve">Automated AIA G702 / G703 Pay Applications — Accurate, Professional, Done in Minutes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The Problem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AIA G702/G703 pay applications are the financial lifeline of every commercial construction project. But most contractors still build them by hand in Excel — a slow, error-prone process where a single math mistake can delay a payment by weeks or trigger a dispute that costs thousands.</w:t>
      </w:r>
    </w:p>
    <w:p>
      <w:pPr>
        <w:spacing w:before="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consequences of manual billing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Retainage miscalculations that underpay or create legal exposure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Hours spent reformatting spreadsheets for each new pay period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Lost documents, inconsistent numbering, and missed change 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audit trail — one version lives in email, another in a shared drive</w:t>
      </w:r>
    </w:p>
    <w:p>
      <w:pPr>
        <w:spacing w:before="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The Solution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Construction AI Billing is a cloud-based SaaS platform that replaces the spreadsheet chaos with a structured, automated workflow. Contractors upload their Schedule of Values once and the system handles all the math, formatting, and PDF generation for every pay application that follows.</w:t>
      </w:r>
    </w:p>
    <w:p>
      <w:pPr>
        <w:spacing w:before="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calculation is based on the official AIA methodology — G703 line-by-line roll-forward feeding directly into the G702 summary. No manual totals. No formatting. Just sign, print, and submit.</w:t>
      </w:r>
    </w:p>
    <w:p>
      <w:pPr>
        <w:spacing w:before="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How It Works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Upload Your SOV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DEEFF"/>
                <w:sz w:val="18"/>
                <w:szCs w:val="18"/>
              </w:rPr>
              <w:t xml:space="preserve">Import from Excel, PDF, or Word. The AI maps your line items automatically.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 This Period's Progress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DEEFF"/>
                <w:sz w:val="18"/>
                <w:szCs w:val="18"/>
              </w:rPr>
              <w:t xml:space="preserve">Enter % complete per line. Apply bulk percentages or edit individually.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 &amp; Submit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DEEFF"/>
                <w:sz w:val="18"/>
                <w:szCs w:val="18"/>
              </w:rPr>
              <w:t xml:space="preserve">Download a print-ready G702/G703 PDF. Every number verified.</w:t>
            </w:r>
          </w:p>
        </w:tc>
      </w:tr>
    </w:tbl>
    <w:p>
      <w:pPr>
        <w:spacing w:before="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Key Features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G702 / G703 Math Engine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AIA methodology — previous, this period, stored materials, retainage — all computed automatically with no double-counting.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Multi-Format SOV Import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your Schedule of Values as Excel, CSV, PDF, or Word. No reformatting required.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Retainage &amp; Change Orders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Per-line retainage percentages, full change order tracking, and net contract adjustments across all pay periods.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Professional PDF Export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a print-ready, properly formatted AIA G702/G703 PDF with your company logo and signature.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Immutable Submission Record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 pay applications are locked. A complete, tamper-evident audit trail for every project.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Secure Cloud Storage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projects and pay applications stored securely. Access from any device, any time.</w:t>
            </w:r>
          </w:p>
        </w:tc>
      </w:tr>
    </w:tbl>
    <w:p>
      <w:pPr>
        <w:spacing w:before="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Who It's For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Construction AI Billing is built for any contractor or project team billing on AIA-format contracts: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Subcontractors submitting monthly pay applications to a GC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General contractors coordinating billing across multiple subs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Specialty trades: mechanical, electrical, plumbing, structural, finishes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Project managers who want audit-ready records without the spreadsheet hassle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Owners and architects who need to certify applications quickly and accurately</w:t>
      </w:r>
    </w:p>
    <w:p>
      <w:pPr>
        <w:spacing w:before="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Plans &amp; Pricing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Starter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$49 / month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 to 3 active projects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Unlimited pay apps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 export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Professional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$99 / month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 to 15 active projects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 order tracking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logo &amp; signature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Enterprise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Custom pricing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EFF"/>
                <w:sz w:val="18"/>
                <w:szCs w:val="18"/>
              </w:rPr>
              <w:t xml:space="preserve">Unlimited projects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EFF"/>
                <w:sz w:val="18"/>
                <w:szCs w:val="18"/>
              </w:rPr>
              <w:t xml:space="preserve">Multi-user accounts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EFF"/>
                <w:sz w:val="18"/>
                <w:szCs w:val="18"/>
              </w:rPr>
              <w:t xml:space="preserve">Priority support + onboarding</w:t>
            </w:r>
          </w:p>
        </w:tc>
      </w:tr>
    </w:tbl>
    <w:p>
      <w:pPr>
        <w:spacing w:before="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Get Started Today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Construction AI Billing is available now at:</w:t>
      </w:r>
    </w:p>
    <w:p>
      <w:pPr>
        <w:spacing w:before="0" w:after="48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85FA5"/>
          <w:sz w:val="30"/>
          <w:szCs w:val="30"/>
        </w:rPr>
        <w:t xml:space="preserve">constructinv.varshyl.com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 credit card required for trial  •  Set up in under 5 minutes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85FA5" w:sz="2" w:space="4"/>
      </w:pBdr>
      <w:jc w:val="center"/>
    </w:pPr>
    <w:r>
      <w:rPr>
        <w:rFonts w:ascii="Arial" w:cs="Arial" w:eastAsia="Arial" w:hAnsi="Arial"/>
        <w:color w:val="185FA5"/>
        <w:sz w:val="18"/>
        <w:szCs w:val="18"/>
      </w:rPr>
      <w:t xml:space="preserve">constructinv.varshyl.com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4"/>
      </w:pBdr>
      <w:spacing w:after="0"/>
    </w:pPr>
    <w:r>
      <w:rPr>
        <w:rFonts w:ascii="Arial" w:cs="Arial" w:eastAsia="Arial" w:hAnsi="Arial"/>
        <w:b/>
        <w:bCs/>
        <w:color w:val="0C447C"/>
        <w:sz w:val="22"/>
        <w:szCs w:val="22"/>
      </w:rPr>
      <w:t xml:space="preserve">Construction AI Billing</w:t>
    </w:r>
    <w:r>
      <w:rPr>
        <w:rFonts w:ascii="Arial" w:cs="Arial" w:eastAsia="Arial" w:hAnsi="Arial"/>
        <w:color w:val="888888"/>
        <w:sz w:val="20"/>
        <w:szCs w:val="20"/>
      </w:rPr>
      <w:t xml:space="preserve">   |   Product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20"/>
      <w:outlineLvl w:val="0"/>
    </w:pPr>
    <w:rPr>
      <w:rFonts w:ascii="Arial" w:cs="Arial" w:eastAsia="Arial" w:hAnsi="Arial"/>
      <w:b/>
      <w:bCs/>
      <w:color w:val="0C447C"/>
      <w:sz w:val="28"/>
      <w:szCs w:val="28"/>
    </w:rPr>
  </w:style>
  <w:style w:type="paragraph" w:styleId="Heading2">
    <w:name w:val="Heading 2"/>
    <w:basedOn w:val="Normal"/>
    <w:next w:val="Normal"/>
    <w:pPr>
      <w:spacing w:before="240" w:after="80"/>
      <w:outlineLvl w:val="1"/>
    </w:pPr>
    <w:rPr>
      <w:rFonts w:ascii="Arial" w:cs="Arial" w:eastAsia="Arial" w:hAnsi="Arial"/>
      <w:b/>
      <w:bCs/>
      <w:color w:val="185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2026-03-17T15:54:39.230Z</dcterms:created>
  <dcterms:modified xsi:type="dcterms:W3CDTF">2026-03-17T15:54:39.230Z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