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aps/>
          <w:color w:val="CC0000"/>
          <w:sz w:val="20"/>
          <w:szCs w:val="20"/>
        </w:rPr>
        <w:t xml:space="preserve">FOR IMMEDIATE RELEASE</w:t>
      </w:r>
    </w:p>
    <w:p>
      <w:pPr>
        <w:spacing w:after="200"/>
      </w:pPr>
      <w:r>
        <w:rPr>
          <w:rFonts w:ascii="Arial" w:cs="Arial" w:eastAsia="Arial" w:hAnsi="Arial"/>
          <w:b/>
          <w:bCs/>
          <w:sz w:val="20"/>
          <w:szCs w:val="20"/>
        </w:rPr>
        <w:t xml:space="preserve">Media Contact: </w:t>
      </w:r>
      <w:r>
        <w:rPr>
          <w:rFonts w:ascii="Arial" w:cs="Arial" w:eastAsia="Arial" w:hAnsi="Arial"/>
          <w:sz w:val="20"/>
          <w:szCs w:val="20"/>
        </w:rPr>
        <w:t xml:space="preserve">Vagish Kapila  |  vaakapila@gmail.com  |  constructinv.varshyl.com</w:t>
      </w:r>
    </w:p>
    <w:p>
      <w:pPr>
        <w:pBdr>
          <w:bottom w:val="single" w:color="185FA5" w:sz="4" w:space="4"/>
        </w:pBdr>
        <w:spacing w:before="160" w:after="160"/>
      </w:pPr>
    </w:p>
    <w:p>
      <w:pPr>
        <w:spacing w:before="180" w:after="100"/>
        <w:jc w:val="center"/>
      </w:pPr>
      <w:r>
        <w:rPr>
          <w:rFonts w:ascii="Arial" w:cs="Arial" w:eastAsia="Arial" w:hAnsi="Arial"/>
          <w:b/>
          <w:bCs/>
          <w:color w:val="0C447C"/>
          <w:sz w:val="36"/>
          <w:szCs w:val="36"/>
        </w:rPr>
        <w:t xml:space="preserve">New Platform Eliminates Manual AIA Billing for Construction Contractors</w:t>
      </w:r>
    </w:p>
    <w:p>
      <w:pPr>
        <w:spacing w:before="0" w:after="180"/>
        <w:jc w:val="center"/>
      </w:pPr>
      <w:r>
        <w:rPr>
          <w:rFonts w:ascii="Arial" w:cs="Arial" w:eastAsia="Arial" w:hAnsi="Arial"/>
          <w:i/>
          <w:iCs/>
          <w:color w:val="555555"/>
          <w:sz w:val="22"/>
          <w:szCs w:val="22"/>
        </w:rPr>
        <w:t xml:space="preserve">Construction AI Billing automates G702/G703 pay applications — replacing error-prone spreadsheets with a fast, accurate, cloud-based workflow</w:t>
      </w:r>
    </w:p>
    <w:p>
      <w:pPr>
        <w:pBdr>
          <w:bottom w:val="single" w:color="185FA5" w:sz="4" w:space="4"/>
        </w:pBdr>
        <w:spacing w:before="160" w:after="160"/>
      </w:pPr>
    </w:p>
    <w:p>
      <w:pPr>
        <w:spacing w:before="160" w:after="80"/>
      </w:pPr>
      <w:r>
        <w:rPr>
          <w:rFonts w:ascii="Arial" w:cs="Arial" w:eastAsia="Arial" w:hAnsi="Arial"/>
          <w:b/>
          <w:bCs/>
          <w:sz w:val="22"/>
          <w:szCs w:val="22"/>
        </w:rPr>
        <w:t xml:space="preserve">San Jose, CA, March 2026 — </w:t>
      </w:r>
      <w:r>
        <w:rPr>
          <w:rFonts w:ascii="Arial" w:cs="Arial" w:eastAsia="Arial" w:hAnsi="Arial"/>
          <w:sz w:val="22"/>
          <w:szCs w:val="22"/>
        </w:rPr>
        <w:t xml:space="preserve">Construction AI Billing, a new cloud-based SaaS platform, launched today with a mission to eliminate the most error-prone task in commercial construction finance: the monthly AIA G702/G703 pay application. Built for subcontractors, general contractors, and specialty trades, the platform automates the entire billing workflow — from Schedule of Values import to a signed, print-ready PDF — in minutes instead of hours.</w:t>
      </w:r>
    </w:p>
    <w:p>
      <w:pPr>
        <w:spacing w:before="120" w:after="80"/>
      </w:pPr>
      <w:r>
        <w:rPr>
          <w:rFonts w:ascii="Arial" w:cs="Arial" w:eastAsia="Arial" w:hAnsi="Arial"/>
          <w:sz w:val="22"/>
          <w:szCs w:val="22"/>
        </w:rPr>
        <w:t xml:space="preserve">The AIA G702 Application for Payment and G703 Continuation Sheet are the industry-standard documents used to request payment on virtually every commercial construction project in the United States. Despite their critical importance, the vast majority of contractors still produce them manually — copying figures between spreadsheets, recalculating retainage by hand, and reformatting everything for each new pay period. A single transposed number can delay a payment by weeks and trigger costly disputes.</w:t>
      </w:r>
    </w:p>
    <w:p>
      <w:pPr>
        <w:pBdr>
          <w:left w:val="single" w:color="185FA5" w:sz="12" w:space="10"/>
        </w:pBdr>
        <w:spacing w:before="160" w:after="160"/>
        <w:ind w:left="720" w:right="720"/>
      </w:pPr>
      <w:r>
        <w:rPr>
          <w:rFonts w:ascii="Arial" w:cs="Arial" w:eastAsia="Arial" w:hAnsi="Arial"/>
          <w:i/>
          <w:iCs/>
          <w:sz w:val="22"/>
          <w:szCs w:val="22"/>
        </w:rPr>
        <w:t xml:space="preserve">“Contractors shouldn’t have to be accountants and formatting experts just to get paid for work they’ve already done. Construction AI Billing handles all the math, all the formatting, and all the audit trail — so you can focus on building.”</w:t>
      </w:r>
    </w:p>
    <w:p>
      <w:pPr>
        <w:spacing w:before="0" w:after="160"/>
        <w:ind w:left="720"/>
      </w:pPr>
      <w:r>
        <w:rPr>
          <w:rFonts w:ascii="Arial" w:cs="Arial" w:eastAsia="Arial" w:hAnsi="Arial"/>
          <w:b/>
          <w:bCs/>
          <w:color w:val="0C447C"/>
          <w:sz w:val="20"/>
          <w:szCs w:val="20"/>
        </w:rPr>
        <w:t xml:space="preserve">— Vagish Kapila, Founder, Construction AI Billing</w:t>
      </w:r>
    </w:p>
    <w:p>
      <w:pPr>
        <w:spacing w:before="80" w:after="80"/>
      </w:pPr>
      <w:r>
        <w:rPr>
          <w:rFonts w:ascii="Arial" w:cs="Arial" w:eastAsia="Arial" w:hAnsi="Arial"/>
          <w:sz w:val="22"/>
          <w:szCs w:val="22"/>
        </w:rPr>
        <w:t xml:space="preserve">The platform accepts Schedule of Values uploads in Excel, PDF, CSV, or Word format and maps line items automatically. Contractors enter their percent-complete figures for each billing period — individually or via a bulk-apply tool — and the system computes every G702 line (D through I) using the exact AIA methodology. Previous certified amounts, this-period billings, stored materials, retainage held, and balance to finish are all calculated without a single manual formula.</w:t>
      </w:r>
    </w:p>
    <w:p>
      <w:pPr>
        <w:spacing w:before="80" w:after="80"/>
      </w:pPr>
      <w:r>
        <w:rPr>
          <w:rFonts w:ascii="Arial" w:cs="Arial" w:eastAsia="Arial" w:hAnsi="Arial"/>
          <w:sz w:val="22"/>
          <w:szCs w:val="22"/>
        </w:rPr>
        <w:t xml:space="preserve">Submitted pay applications are locked in the system, creating a tamper-evident audit trail that protects contractors in disputes and satisfies lender documentation requirements. Company logos and digital signatures can be uploaded once and auto-populate on every document.</w:t>
      </w:r>
    </w:p>
    <w:p>
      <w:pPr>
        <w:spacing w:before="160" w:after="80"/>
      </w:pPr>
      <w:r>
        <w:rPr>
          <w:rFonts w:ascii="Arial" w:cs="Arial" w:eastAsia="Arial" w:hAnsi="Arial"/>
          <w:b/>
          <w:bCs/>
          <w:sz w:val="22"/>
          <w:szCs w:val="22"/>
        </w:rPr>
        <w:t xml:space="preserve">Key capabilities at launch include:</w:t>
      </w:r>
    </w:p>
    <w:p>
      <w:pPr>
        <w:pStyle w:val="ListParagraph"/>
        <w:numPr>
          <w:ilvl w:val="0"/>
          <w:numId w:val="2"/>
        </w:numPr>
        <w:spacing w:before="40" w:after="40"/>
      </w:pPr>
      <w:r>
        <w:rPr>
          <w:rFonts w:ascii="Arial" w:cs="Arial" w:eastAsia="Arial" w:hAnsi="Arial"/>
          <w:sz w:val="22"/>
          <w:szCs w:val="22"/>
        </w:rPr>
        <w:t xml:space="preserve">Automated G702/G703 math engine with no double-counting across pay periods</w:t>
      </w:r>
    </w:p>
    <w:p>
      <w:pPr>
        <w:pStyle w:val="ListParagraph"/>
        <w:numPr>
          <w:ilvl w:val="0"/>
          <w:numId w:val="2"/>
        </w:numPr>
        <w:spacing w:before="40" w:after="40"/>
      </w:pPr>
      <w:r>
        <w:rPr>
          <w:rFonts w:ascii="Arial" w:cs="Arial" w:eastAsia="Arial" w:hAnsi="Arial"/>
          <w:sz w:val="22"/>
          <w:szCs w:val="22"/>
        </w:rPr>
        <w:t xml:space="preserve">Multi-format SOV import (Excel, CSV, PDF, Word)</w:t>
      </w:r>
    </w:p>
    <w:p>
      <w:pPr>
        <w:pStyle w:val="ListParagraph"/>
        <w:numPr>
          <w:ilvl w:val="0"/>
          <w:numId w:val="2"/>
        </w:numPr>
        <w:spacing w:before="40" w:after="40"/>
      </w:pPr>
      <w:r>
        <w:rPr>
          <w:rFonts w:ascii="Arial" w:cs="Arial" w:eastAsia="Arial" w:hAnsi="Arial"/>
          <w:sz w:val="22"/>
          <w:szCs w:val="22"/>
        </w:rPr>
        <w:t xml:space="preserve">Per-line retainage and change order tracking</w:t>
      </w:r>
    </w:p>
    <w:p>
      <w:pPr>
        <w:pStyle w:val="ListParagraph"/>
        <w:numPr>
          <w:ilvl w:val="0"/>
          <w:numId w:val="2"/>
        </w:numPr>
        <w:spacing w:before="40" w:after="40"/>
      </w:pPr>
      <w:r>
        <w:rPr>
          <w:rFonts w:ascii="Arial" w:cs="Arial" w:eastAsia="Arial" w:hAnsi="Arial"/>
          <w:sz w:val="22"/>
          <w:szCs w:val="22"/>
        </w:rPr>
        <w:t xml:space="preserve">Professional PDF export with company branding</w:t>
      </w:r>
    </w:p>
    <w:p>
      <w:pPr>
        <w:pStyle w:val="ListParagraph"/>
        <w:numPr>
          <w:ilvl w:val="0"/>
          <w:numId w:val="2"/>
        </w:numPr>
        <w:spacing w:before="40" w:after="40"/>
      </w:pPr>
      <w:r>
        <w:rPr>
          <w:rFonts w:ascii="Arial" w:cs="Arial" w:eastAsia="Arial" w:hAnsi="Arial"/>
          <w:sz w:val="22"/>
          <w:szCs w:val="22"/>
        </w:rPr>
        <w:t xml:space="preserve">Immutable submission records and audit trail</w:t>
      </w:r>
    </w:p>
    <w:p>
      <w:pPr>
        <w:pStyle w:val="ListParagraph"/>
        <w:numPr>
          <w:ilvl w:val="0"/>
          <w:numId w:val="2"/>
        </w:numPr>
        <w:spacing w:before="40" w:after="40"/>
      </w:pPr>
      <w:r>
        <w:rPr>
          <w:rFonts w:ascii="Arial" w:cs="Arial" w:eastAsia="Arial" w:hAnsi="Arial"/>
          <w:sz w:val="22"/>
          <w:szCs w:val="22"/>
        </w:rPr>
        <w:t xml:space="preserve">Google and email authentication with full account security</w:t>
      </w:r>
    </w:p>
    <w:p>
      <w:pPr>
        <w:pStyle w:val="ListParagraph"/>
        <w:numPr>
          <w:ilvl w:val="0"/>
          <w:numId w:val="2"/>
        </w:numPr>
        <w:spacing w:before="40" w:after="40"/>
      </w:pPr>
      <w:r>
        <w:rPr>
          <w:rFonts w:ascii="Arial" w:cs="Arial" w:eastAsia="Arial" w:hAnsi="Arial"/>
          <w:sz w:val="22"/>
          <w:szCs w:val="22"/>
        </w:rPr>
        <w:t xml:space="preserve">Admin dashboard with AI-powered usage insights</w:t>
      </w:r>
    </w:p>
    <w:p>
      <w:pPr>
        <w:spacing w:before="0" w:after="80"/>
      </w:pPr>
    </w:p>
    <w:p>
      <w:pPr>
        <w:spacing w:before="80" w:after="80"/>
      </w:pPr>
      <w:r>
        <w:rPr>
          <w:rFonts w:ascii="Arial" w:cs="Arial" w:eastAsia="Arial" w:hAnsi="Arial"/>
          <w:sz w:val="22"/>
          <w:szCs w:val="22"/>
        </w:rPr>
        <w:t xml:space="preserve">Looking ahead, the company plans to expand into subcontractor invoicing, accounts payable, and ACH payment processing — positioning Construction AI Billing to become the financial operations hub for construction businesses of all sizes.</w:t>
      </w:r>
    </w:p>
    <w:p>
      <w:pPr>
        <w:spacing w:before="120" w:after="80"/>
      </w:pPr>
      <w:r>
        <w:rPr>
          <w:rFonts w:ascii="Arial" w:cs="Arial" w:eastAsia="Arial" w:hAnsi="Arial"/>
          <w:b/>
          <w:bCs/>
          <w:sz w:val="22"/>
          <w:szCs w:val="22"/>
        </w:rPr>
        <w:t xml:space="preserve">Availability &amp; Pricing</w:t>
      </w:r>
    </w:p>
    <w:p>
      <w:pPr>
        <w:spacing w:before="0" w:after="80"/>
      </w:pPr>
      <w:r>
        <w:rPr>
          <w:rFonts w:ascii="Arial" w:cs="Arial" w:eastAsia="Arial" w:hAnsi="Arial"/>
          <w:sz w:val="22"/>
          <w:szCs w:val="22"/>
        </w:rPr>
        <w:t xml:space="preserve">Construction AI Billing is available immediately at constructinv.varshyl.com. Plans start at $49/month for solo contractors with a free trial available at sign-up. Enterprise pricing is available for teams managing large project portfolios.</w:t>
      </w:r>
    </w:p>
    <w:p>
      <w:pPr>
        <w:spacing w:before="0" w:after="160"/>
      </w:pPr>
    </w:p>
    <w:p>
      <w:pPr>
        <w:pBdr>
          <w:bottom w:val="single" w:color="185FA5" w:sz="4" w:space="4"/>
        </w:pBdr>
        <w:spacing w:before="160" w:after="160"/>
      </w:pPr>
    </w:p>
    <w:p>
      <w:pPr>
        <w:spacing w:before="120" w:after="80"/>
      </w:pPr>
      <w:r>
        <w:rPr>
          <w:rFonts w:ascii="Arial" w:cs="Arial" w:eastAsia="Arial" w:hAnsi="Arial"/>
          <w:b/>
          <w:bCs/>
          <w:sz w:val="22"/>
          <w:szCs w:val="22"/>
        </w:rPr>
        <w:t xml:space="preserve">About Construction AI Billing</w:t>
      </w:r>
    </w:p>
    <w:p>
      <w:pPr>
        <w:spacing w:before="0" w:after="120"/>
      </w:pPr>
      <w:r>
        <w:rPr>
          <w:rFonts w:ascii="Arial" w:cs="Arial" w:eastAsia="Arial" w:hAnsi="Arial"/>
          <w:sz w:val="22"/>
          <w:szCs w:val="22"/>
        </w:rPr>
        <w:t xml:space="preserve">Construction AI Billing is a cloud-based financial technology platform for the construction industry, purpose-built to automate AIA G702/G703 pay application generation and track billing across multi-period projects. The platform is headquartered in San Jose, California and is available at constructinv.varshyl.com.</w:t>
      </w:r>
    </w:p>
    <w:p>
      <w:pPr>
        <w:spacing w:before="80" w:after="60"/>
      </w:pPr>
      <w:r>
        <w:rPr>
          <w:rFonts w:ascii="Arial" w:cs="Arial" w:eastAsia="Arial" w:hAnsi="Arial"/>
          <w:b/>
          <w:bCs/>
          <w:sz w:val="22"/>
          <w:szCs w:val="22"/>
        </w:rPr>
        <w:t xml:space="preserve">Media Contact</w:t>
      </w:r>
    </w:p>
    <w:p>
      <w:pPr>
        <w:spacing w:before="0" w:after="40"/>
      </w:pPr>
      <w:r>
        <w:rPr>
          <w:rFonts w:ascii="Arial" w:cs="Arial" w:eastAsia="Arial" w:hAnsi="Arial"/>
          <w:b/>
          <w:bCs/>
          <w:sz w:val="22"/>
          <w:szCs w:val="22"/>
        </w:rPr>
        <w:t xml:space="preserve">Vagish Kapila</w:t>
      </w:r>
    </w:p>
    <w:p>
      <w:pPr>
        <w:spacing w:before="0" w:after="40"/>
      </w:pPr>
      <w:r>
        <w:rPr>
          <w:rFonts w:ascii="Arial" w:cs="Arial" w:eastAsia="Arial" w:hAnsi="Arial"/>
          <w:sz w:val="22"/>
          <w:szCs w:val="22"/>
        </w:rPr>
        <w:t xml:space="preserve">Founder, Construction AI Billing</w:t>
      </w:r>
    </w:p>
    <w:p>
      <w:pPr>
        <w:spacing w:before="0" w:after="40"/>
      </w:pPr>
      <w:r>
        <w:rPr>
          <w:rFonts w:ascii="Arial" w:cs="Arial" w:eastAsia="Arial" w:hAnsi="Arial"/>
          <w:sz w:val="22"/>
          <w:szCs w:val="22"/>
        </w:rPr>
        <w:t xml:space="preserve">vaakapila@gmail.com</w:t>
      </w:r>
    </w:p>
    <w:p>
      <w:pPr>
        <w:spacing w:before="0" w:after="120"/>
      </w:pPr>
      <w:r>
        <w:rPr>
          <w:rFonts w:ascii="Arial" w:cs="Arial" w:eastAsia="Arial" w:hAnsi="Arial"/>
          <w:color w:val="185FA5"/>
          <w:sz w:val="22"/>
          <w:szCs w:val="22"/>
        </w:rPr>
        <w:t xml:space="preserve">constructinv.varshyl.com</w:t>
      </w:r>
    </w:p>
    <w:p>
      <w:pPr>
        <w:spacing w:before="180" w:after="0"/>
        <w:jc w:val="center"/>
      </w:pPr>
      <w:r>
        <w:rPr>
          <w:rFonts w:ascii="Arial" w:cs="Arial" w:eastAsia="Arial" w:hAnsi="Arial"/>
          <w:b/>
          <w:bCs/>
          <w:color w:val="888888"/>
          <w:sz w:val="22"/>
          <w:szCs w:val="22"/>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80" w:after="100"/>
      <w:outlineLvl w:val="0"/>
    </w:pPr>
    <w:rPr>
      <w:rFonts w:ascii="Arial" w:cs="Arial" w:eastAsia="Arial" w:hAnsi="Arial"/>
      <w:b/>
      <w:bCs/>
      <w:color w:val="0C44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2026-03-17T15:54:39.241Z</dcterms:created>
  <dcterms:modified xsi:type="dcterms:W3CDTF">2026-03-17T15:54:39.241Z</dcterms:modified>
</cp:coreProperties>
</file>

<file path=docProps/custom.xml><?xml version="1.0" encoding="utf-8"?>
<Properties xmlns="http://schemas.openxmlformats.org/officeDocument/2006/custom-properties" xmlns:vt="http://schemas.openxmlformats.org/officeDocument/2006/docPropsVTypes"/>
</file>