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0914-v3修订工作稿</w:t>
      </w:r>
    </w:p>
    <w:p>
      <w:pPr>
        <w:spacing w:before="300"/>
        <w:ind w:firstLine="0"/>
        <w:jc w:val="center"/>
      </w:pPr>
      <w:r>
        <w:t>2026年9月14日</w:t>
      </w:r>
    </w:p>
    <w:p>
      <w:pPr>
        <w:pStyle w:val="Heading1"/>
      </w:pPr>
      <w:r>
        <w:t>版本说明</w:t>
      </w:r>
    </w:p>
    <w:p>
      <w:commentRangeStart w:id="0"/>
      <w:r>
        <w:rPr>
          <w:rFonts w:ascii="Times New Roman" w:hAnsi="Times New Roman" w:eastAsia="Songti SC"/>
          <w:color w:val="000000"/>
        </w:rPr>
        <w:t>本稿在0914-v2基础上澄清两项贡献的输入、操作与输出，补齐局部增强的边集合、全文回填统计及异常到动作的对应规则，并加入可复算的构造示例和评分反例。相关工作补充至本次检索可核对的2026年公开成果。历史实验表格数值保持不变；新增示例仅用于解释机制，不是AAEC/CDCP实验。本轮未改变参考项目的训练或推理算法，也未运行真实数据实验。版本差异和建议取舍详见随稿《0914_v3评估与修改说明》。</w:t>
      </w:r>
      <w:commentRangeEnd w:id="0"/>
      <w:r>
        <w:commentReference w:id="0"/>
      </w:r>
    </w:p>
    <w:p>
      <w:r>
        <w:rPr>
          <w:rFonts w:ascii="Times New Roman" w:hAnsi="Times New Roman" w:eastAsia="Songti SC"/>
          <w:color w:val="000000"/>
        </w:rPr>
        <w:t>本稿使用三个证据层次：方法定义与代码检查说明算法如何执行；明确标注的构造例检验性质和反例；原稿结果记录保留已有实验信息。构造数值不得与真实实验成绩混同。原实验日志与划分材料仍缺失，Single-Pass的81.67和77.82及两处Full的83.71尚未绑定run ID。附录A集中列出14项历史证据待核验事项；正文保留影响结果解释的必要提示。当前稿为研究工作稿，正式送审还需补齐实验依据，并按学院适用模板完善封面、声明、授权页、致谢与成果页。</w:t>
      </w:r>
    </w:p>
    <w:p>
      <w:pPr>
        <w:pStyle w:val="Heading1"/>
      </w:pPr>
      <w:r>
        <w:t>摘要</w:t>
      </w:r>
    </w:p>
    <w:p>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p>
    <w:p>
      <w:r>
        <w:rPr>
          <w:rFonts w:ascii="Times New Roman" w:hAnsi="Times New Roman" w:eastAsia="Songti SC"/>
          <w:color w:val="000000"/>
        </w:rPr>
        <w:t>在训练阶段，本文设计面向结论类组件的局部论辩结构保持增强方法。从标注训练图中选取结论节点及其入邻居，以这些节点之间的已有关系约束组件改写；将变体回填原文并更新跨度，输出类型、编号与关系拓扑保持不变的增强文档，再通过分层检查筛选。该方法针对结论表达及其关系上下文的多样性，类型条件低秩适配、线索感知连续提示和句子级辅助目标提供配套表示能力。全文回填会同时复制未改写组件，因此样本增加不等同于类别比例改善。</w:t>
      </w:r>
    </w:p>
    <w:p>
      <w:r>
        <w:rPr>
          <w:rFonts w:ascii="Times New Roman" w:hAnsi="Times New Roman" w:eastAsia="Songti SC"/>
          <w:color w:val="000000"/>
        </w:rPr>
        <w:t>在推理阶段，本文提出基于完整候选图评估与异常驱动局部修正的方法MCR-BR。多个组件假设分别生成关系，形成可供整体比较的候选图；连接覆盖、边语义连贯性和输出合法性用于选择初始图，检测到的异常用于提出类型转换、组件替换、删边或限定源节点的关系重预测。修改通过合法性及代理评分检查后接受，否则回退。这里的完整候选指同时包含组件与关系，局部修正不具有任意遗漏节点恢复能力；覆盖评分与任务正确性的偏差通过构造反例明确说明。</w:t>
      </w:r>
    </w:p>
    <w:p>
      <w:r>
        <w:rPr>
          <w:rFonts w:ascii="Times New Roman" w:hAnsi="Times New Roman" w:eastAsia="Songti SC"/>
          <w:color w:val="000000"/>
        </w:rPr>
        <w:t>现有实验记录中，完整框架在AAEC上的Component-F1和Relation-F1分别为83.71和64.83，在CDCP上分别为76.45和38.17。在采用粗粒度组件标签及有向无标签连接的AAEC到CDCP零样本迁移设置下，完整框架的Link-F1为43.21，较同骨干Single-Pass记录提高9.79个F1点。上述记录呈现了训练增强与推理修正相结合的应用价值；两项方法的独立增益、等计算预算优势及更广泛的迁移能力，仍需在配置核验和相应消融基础上分别确定。</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 conclusion and its incoming neighbors define the editable nodes, and their annotated internal relations condition paraphrasing. Rewritten components are inserted into the original document with updated spans while preserving types, identifiers, and relation topology, followed by layered filtering. Type-conditioned low-rank adaptation, cue-aware continuous prompts, and a sentence-level auxiliary objective support representation learning. Whole-document reconstruction also duplicates unchanged components, so augmentation does not necessarily improve class balance.</w:t>
      </w:r>
    </w:p>
    <w:p>
      <w:pPr>
        <w:spacing w:line="360" w:lineRule="exact"/>
      </w:pPr>
      <w:r>
        <w:rPr>
          <w:rFonts w:ascii="Times New Roman" w:hAnsi="Times New Roman" w:eastAsia="Songti SC"/>
          <w:color w:val="000000"/>
        </w:rPr>
        <w:t>For inference-time repair, this thesis proposes MCR-BR. Multiple component hypotheses receive relation predictions to form complete candidate graphs. Argument-link coverage, edge-level semantic coherence, and output validity guide initial selection; detected anomalies trigger type changes, component replacement, edge removal, or relation regeneration over specified source nodes. Edits are accepted only after validity and surrogate-score checks; otherwise, they are rolled back. Complete candidates contain both components and relations, but local repair cannot generally recover missing nodes. Constructed counterexamples clarify why higher surrogate scores need not indicate more accurate extraction.</w:t>
      </w:r>
    </w:p>
    <w:p>
      <w:pPr>
        <w:spacing w:line="360" w:lineRule="exact"/>
      </w:pPr>
      <w:r>
        <w:rPr>
          <w:rFonts w:ascii="Times New Roman" w:hAnsi="Times New Roman" w:eastAsia="Songti SC"/>
          <w:color w:val="000000"/>
        </w:rPr>
        <w:t>The retained records report full-framework Component-F1/Relation-F1 scores of 83.71/64.83 on AAEC and 76.45/38.17 on CDCP. Under AAEC-to-CDCP zero-shot transfer with coarse component labels and directed unlabeled links, Link-F1 is 43.21, 9.79 points above the same-backbone Single-Pass baseline. These records indicate the potential value of combining enhancement and repair. Independent gains, matched-budget advantages, and broader transferability require configuration verification and corresponding ablations.</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基于候选图评估与异常驱动局部修正的论辩图生成</w:t>
      </w:r>
      <w:r>
        <w:rPr>
          <w:rFonts w:ascii="Times New Roman" w:hAnsi="Times New Roman" w:eastAsia="Songti SC"/>
          <w:color w:val="000000"/>
          <w:sz w:val="24"/>
        </w:rPr>
        <w:tab/>
        <w:t>20</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35</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39</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41</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44</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45</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47</w:t>
      </w:r>
    </w:p>
    <w:p>
      <w:pPr>
        <w:tabs>
          <w:tab w:pos="8504" w:val="right"/>
        </w:tabs>
        <w:spacing w:after="280" w:line="336" w:lineRule="auto"/>
        <w:ind w:firstLine="0"/>
      </w:pPr>
      <w:r>
        <w:rPr>
          <w:rFonts w:ascii="Times New Roman" w:hAnsi="Times New Roman" w:eastAsia="Songti SC"/>
          <w:color w:val="000000"/>
        </w:rPr>
        <w:t>附录D 新参考实现与复现实验接口</w:t>
      </w:r>
      <w:r>
        <w:rPr>
          <w:rFonts w:ascii="Times New Roman" w:hAnsi="Times New Roman" w:eastAsia="Songti SC"/>
          <w:color w:val="000000"/>
          <w:sz w:val="24"/>
        </w:rPr>
        <w:tab/>
        <w:t>48</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r>
        <w:rPr>
          <w:rFonts w:ascii="Times New Roman" w:hAnsi="Times New Roman" w:eastAsia="Songti SC"/>
          <w:color w:val="000000"/>
        </w:rPr>
        <w:t>2026年，Sun等针对LLM伪标注中的组件边界和关系噪声，分别引入边界细化与关系去噪[18]。其训练数据来源与本文从已标注局部结构生成变体的路径不同，但同样说明合成监督的可靠性需要专门处理。该文的IoU边界评价和关系分类指标不能直接替代本文的端到端精确匹配评价。</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未定义这类最小代价目标或形式语义保证，因此应将MCR-BR定位为面向抽取的有限预算启发式修正，不主张最小修改性质。</w:t>
      </w:r>
    </w:p>
    <w:p>
      <w:r>
        <w:rPr>
          <w:rFonts w:ascii="Times New Roman" w:hAnsi="Times New Roman" w:eastAsia="Songti SC"/>
          <w:color w:val="000000"/>
        </w:rPr>
        <w:t>完整图选择还应与逐节点、逐边投票区分：独立投票可能拼接出候选池中从未出现过的结构，但选择完整候选也可能保留其遗漏节点。本文以图级评分选择初始状态，再尝试异常驱动修改；评分中的软合法性项不构成硬保证，有限接受动作也不等于严格限制全部模型调用。这些边界在第四章逐项分析。</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r>
        <w:rPr>
          <w:rFonts w:ascii="Times New Roman" w:hAnsi="Times New Roman" w:eastAsia="Songti SC"/>
          <w:color w:val="000000"/>
        </w:rPr>
        <w:t>RQ2：在相同骨干和候选池下，完整图评估与异常驱动局部修正能否改善端到端组件和关系抽取？需要区分候选数量、选择器和修正动作的作用，并进一步与确定性后处理、通用自修正在可比计算预算下比较。</w:t>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pPr>
        <w:pStyle w:val="Heading3"/>
      </w:pPr>
      <w:r>
        <w:t>1.3.2 主要研究工作与贡献</w:t>
      </w:r>
    </w:p>
    <w:p>
      <w:commentRangeStart w:id="1"/>
      <w:r>
        <w:rPr>
          <w:rFonts w:ascii="Times New Roman" w:hAnsi="Times New Roman" w:eastAsia="Songti SC"/>
          <w:color w:val="000000"/>
        </w:rPr>
        <w:t>（1）设计结论中心的局部结构保持增强方法。输入为已标注训练文档；选取结论及其入邻居，用局部诱导子图中的关系约束组件改写，再回填全文、重算跨度并筛选，输出可用于联合抽取训练的增强文档。具体贡献在于将结论表达变化与关系标注保持连接起来。是否优于普通改写，需要在相同源文档、接受样本量及训练预算下验证；条件适配、线索提示和辅助目标作为配套模块，不分别计为独立创新。</w:t>
      </w:r>
      <w:commentRangeEnd w:id="1"/>
      <w:r>
        <w:commentReference w:id="1"/>
      </w:r>
    </w:p>
    <w:p>
      <w:r>
        <w:rPr>
          <w:rFonts w:ascii="Times New Roman" w:hAnsi="Times New Roman" w:eastAsia="Songti SC"/>
          <w:color w:val="000000"/>
        </w:rPr>
        <w:t>（2）提出完整候选图评估与异常驱动局部修正方法MCR-BR。输入为同一文档的多组预测组件及其关系；先整体评分选择初始图，再按异常对象提出有明确字段边界的动作，经过合法性及代理评分检查后接受或回退，输出最终预测图与修正轨迹。具体贡献在于整图选择与任务特定修正流程的衔接。独立收益应由固定候选池的重排序与BR对照确认，成本价值应由等预算比较确认；该方法不承诺最终语义正确、最小修改或补回所有遗漏节点。</w:t>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局部结构保持增强</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分类别表与配套模块消融记录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普通改写与结构条件对照、Premise表现、全文类别统计</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完整候选图评估与异常驱动局部修正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域内比较、评分反例、代码动作定义</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固定候选池、错误修改率、评分消融与等预算比较</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同协议评价与目标数据使用记录；双向迁移属扩展</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完整候选图评估与异常驱动局部修正方法MCR-BR，分析其性质并整理域内结果。第五章在粗粒度标签和有向无标签连接协议下分析跨语料迁移。第六章总结研究工作及后续验证方向。附录保留实现核验清单与待实验的算法修订建议，不将建议视为已实现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[30]。本文使用的骨干为原稿所述Qwen2.5-7B-Instruct；Qwen2.5技术报告可用于说明模型系列，但不能代替本文具体权重版本、训练配置和硬件记录[31]。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LoRA在冻结基础权重的条件下引入低秩增量[32]。对于一般线性投影，采用统一表示：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[33]。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0914-v2新评价脚本默认将端点跨度和类型共同纳入关系匹配，不依赖组件ID与金标准编号相同；重复预测按多重计数保留，多余项计入FP。解析或验证失败的文档保留，其金标准对象进入FN，不删除失败样本；漏交或重复文档ID则直接报错。分母为零时返回0并保留计数。跨种子汇总另报告均值和样本标准差，不把该新口径追认成原表“±”的含义。</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r>
        <w:t>2.6 训练增强与推理修正的接口</w:t>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选择与局部修改。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该上界对所有关系端点成立，并不单独证明Claim比Premise更值得优先增强。选择结论中心，是希望同一次改写同时约束结论表达和其关联关系；其合理性需要由训练集类型计数、关联边分布和分类别错误验证。本文据此关注结论边界与类型，以及含有标注关联边的结论节点召回；在缺少度分布统计时，不将其统一描述为高连接度节点。</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m:oMath>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r>
          <m:rPr>
            <m:sty m:val="p"/>
          </m:rPr>
          <m:t xml:space="preserve"> </m:t>
        </m:r>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oMath>
    </w:p>
    <w:p>
      <m:oMath>
        <m:sSub>
          <m:e>
            <m:r>
              <m:t xml:space="preserve">E</m:t>
            </m:r>
          </m:e>
          <m:sub>
            <m:r>
              <m:t xml:space="preserve">c</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c</m:t>
            </m:r>
          </m:sub>
        </m:sSub>
        <m:r>
          <m:t xml:space="preserve">,</m:t>
        </m:r>
        <m:r>
          <m:rPr>
            <m:sty m:val="p"/>
          </m:rPr>
          <m:t xml:space="preserve"> </m:t>
        </m:r>
        <m:r>
          <m:t xml:space="preserve">j</m:t>
        </m:r>
        <m:r>
          <m:t xml:space="preserve">∈</m:t>
        </m:r>
        <m:sSub>
          <m:e>
            <m:r>
              <m:t xml:space="preserve">V</m:t>
            </m:r>
          </m:e>
          <m:sub>
            <m:r>
              <m:t xml:space="preserve">c</m:t>
            </m:r>
          </m:sub>
        </m:sSub>
        <m:r>
          <m:rPr>
            <m:sty m:val="p"/>
          </m:rPr>
          <m:t xml:space="preserve">}</m:t>
        </m:r>
        <m:r>
          <m:t xml:space="preserve">.</m:t>
        </m:r>
      </m:oMath>
    </w:p>
    <w:p>
      <w:commentRangeStart w:id="2"/>
      <w:r>
        <w:rPr>
          <w:rFonts w:ascii="Times New Roman" w:hAnsi="Times New Roman" w:eastAsia="Songti SC"/>
          <w:color w:val="000000"/>
        </w:rPr>
        <w:t>邻域节点按结论的入边选取，边集合则取这些节点上的诱导子图。因此，若两个入邻居之间已有标注边，该边也属于生成条件，不能只保留指向中心的星形边。全文中恰有一个端点位于该节点集合的边称为边界边：回填时保留其端点、方向与标签，并在全文语义筛选中一并检查。结构保持指不改变已有标注，不意味着模型证明了所有未标注关系均不存在。</w:t>
      </w:r>
      <w:commentRangeEnd w:id="2"/>
      <w:r>
        <w:commentReference w:id="2"/>
      </w:r>
    </w:p>
    <w:p>
      <w:r>
        <w:rPr>
          <w:rFonts w:ascii="Times New Roman" w:hAnsi="Times New Roman" w:eastAsia="Songti SC"/>
          <w:color w:val="000000"/>
        </w:rPr>
        <w:t>在AAEC中，局部子图按已有关系标注构造，不将Claim—MajorClaim立场属性转为Support/Attack边。无关联入边的MajorClaim可能形成单节点单位，其增强仅增加结论表达变体。增强模型接收所选组件文本、类型及内部关系，输出各组件的替换文本；组件ID、类型和全部关系由原标注保留，跨度由回填后的统一分词重新计算。</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，以下条件生成式表示所选组件文本的联合改写；实际接口按组件ID返回替换文本，而不是让增强模型重新预测标注：</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为所选组件的原始文本集合，</w:t>
      </w:r>
      <m:oMath>
        <m:sSub>
          <m:e>
            <m:r>
              <m:t xml:space="preserve">𝒯</m:t>
            </m:r>
          </m:e>
          <m:sub>
            <m:r>
              <m:t xml:space="preserve">c</m:t>
            </m:r>
          </m:sub>
        </m:sSub>
      </m:oMath>
      <w:r>
        <w:rPr>
          <w:rFonts w:ascii="Times New Roman" w:hAnsi="Times New Roman" w:eastAsia="Songti SC"/>
          <w:color w:val="000000"/>
        </w:rPr>
        <w:t>为对应组件类型，</w:t>
      </w:r>
      <m:oMath>
        <m:sSub>
          <m:e>
            <m:r>
              <m:t xml:space="preserve">E</m:t>
            </m:r>
          </m:e>
          <m:sub>
            <m:r>
              <m:t xml:space="preserve">c</m:t>
            </m:r>
          </m:sub>
        </m:sSub>
      </m:oMath>
      <w:r>
        <w:rPr>
          <w:rFonts w:ascii="Times New Roman" w:hAnsi="Times New Roman" w:eastAsia="Songti SC"/>
          <w:color w:val="000000"/>
        </w:rPr>
        <w:t>为内部关系，</w:t>
      </w:r>
      <m:oMath>
        <m:r>
          <m:t xml:space="preserve">Π</m:t>
        </m:r>
      </m:oMath>
      <w:r>
        <w:rPr>
          <w:rFonts w:ascii="Times New Roman" w:hAnsi="Times New Roman" w:eastAsia="Songti SC"/>
          <w:color w:val="000000"/>
        </w:rPr>
        <w:t>为改写约束。生成必须保留各组件的论辩角色和原有含义。程序仅接受与请求ID完全对应的替换项，将其回填全文并重新计算跨度，不接受新增组件、类型或关系字段。所有生成来源限定为训练文档；格式检查不承担证明训练文本与测试文本完全无语义重合的功能。</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：单独调用验证器检查回填后的全文、组件角色和关系，包含因局部改写而可能受影响的边界边。该检查是模型判断，仍需人工抽检。</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三层筛选分别检查格式、标注结构与语义合理性。第三层的单独调用不等于独立模型、独立知识来源或人工验证。新参考实现由程序保留原关系表并检查全文语义；若局部改写损害边界边，应拒绝整个变体。验证器仍可能漏判，因此需报告边界边样本的人工抽检情况。</w:t>
      </w:r>
    </w:p>
    <w:p>
      <w:pPr>
        <w:pStyle w:val="Heading3"/>
      </w:pPr>
      <w:r>
        <w:t>3.2.4 增强效果的可识别性与数据追踪</w:t>
      </w:r>
    </w:p>
    <w:p>
      <w:r>
        <w:rPr>
          <w:rFonts w:ascii="Times New Roman" w:hAnsi="Times New Roman" w:eastAsia="Songti SC"/>
          <w:color w:val="000000"/>
        </w:rPr>
        <w:t>类别计数必须与训练实例的组织方式一致。仅当局部单位单独作为训练实例，且每个变体恰含一个Claim和</w:t>
      </w:r>
      <m:oMath>
        <m:r>
          <m:t xml:space="preserve">k</m:t>
        </m:r>
      </m:oMath>
      <w:r>
        <w:rPr>
          <w:rFonts w:ascii="Times New Roman" w:hAnsi="Times New Roman" w:eastAsia="Songti SC"/>
          <w:color w:val="000000"/>
        </w:rPr>
        <w:t>个Premise时，接受</w:t>
      </w:r>
      <m:oMath>
        <m:r>
          <m:t xml:space="preserve">u</m:t>
        </m:r>
      </m:oMath>
      <w:r>
        <w:rPr>
          <w:rFonts w:ascii="Times New Roman" w:hAnsi="Times New Roman" w:eastAsia="Songti SC"/>
          <w:color w:val="000000"/>
        </w:rPr>
        <w:t>个变体才对应</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；在</w:t>
      </w:r>
      <m:oMath>
        <m:r>
          <m:t xml:space="preserve">u</m:t>
        </m:r>
        <m:r>
          <m:t xml:space="preserve">&gt;</m:t>
        </m:r>
        <m:r>
          <m:t xml:space="preserve">0</m:t>
        </m:r>
      </m:oMath>
      <w:r>
        <w:rPr>
          <w:rFonts w:ascii="Times New Roman" w:hAnsi="Times New Roman" w:eastAsia="Songti SC"/>
          <w:color w:val="000000"/>
        </w:rPr>
        <w:t>且计数分母为正时，Claim/Premise比提高当且仅当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。这一条件不能直接用于全文回填方案。</w:t>
      </w:r>
    </w:p>
    <w:p>
      <w:commentRangeStart w:id="3"/>
      <w:r>
        <w:rPr>
          <w:rFonts w:ascii="Times New Roman" w:hAnsi="Times New Roman" w:eastAsia="Songti SC"/>
          <w:color w:val="000000"/>
        </w:rPr>
        <w:t>新参考实现每接受一个变体便增加一篇完整文档。设训练文档</w:t>
      </w:r>
      <m:oMath>
        <m:r>
          <m:t xml:space="preserve">d</m:t>
        </m:r>
      </m:oMath>
      <w:r>
        <w:rPr>
          <w:rFonts w:ascii="Times New Roman" w:hAnsi="Times New Roman" w:eastAsia="Songti SC"/>
          <w:color w:val="000000"/>
        </w:rPr>
        <w:t>含类型</w:t>
      </w:r>
      <m:oMath>
        <m:r>
          <m:t xml:space="preserve">τ</m:t>
        </m:r>
      </m:oMath>
      <w:r>
        <w:rPr>
          <w:rFonts w:ascii="Times New Roman" w:hAnsi="Times New Roman" w:eastAsia="Songti SC"/>
          <w:color w:val="000000"/>
        </w:rPr>
        <w:t>的组件数为</w:t>
      </w:r>
      <m:oMath>
        <m:sSub>
          <m:e>
            <m:r>
              <m:t xml:space="preserve">N</m:t>
            </m:r>
          </m:e>
          <m:sub>
            <m:r>
              <m:t xml:space="preserve">d</m:t>
            </m:r>
            <m:r>
              <m:t xml:space="preserve">,</m:t>
            </m:r>
            <m:r>
              <m:t xml:space="preserve">τ</m:t>
            </m:r>
          </m:sub>
        </m:sSub>
      </m:oMath>
      <w:r>
        <w:rPr>
          <w:rFonts w:ascii="Times New Roman" w:hAnsi="Times New Roman" w:eastAsia="Songti SC"/>
          <w:color w:val="000000"/>
        </w:rPr>
        <w:t>，该文档最终接受的变体数为</w:t>
      </w:r>
      <m:oMath>
        <m:sSub>
          <m:e>
            <m:r>
              <m:t xml:space="preserve">a</m:t>
            </m:r>
          </m:e>
          <m:sub>
            <m:r>
              <m:t xml:space="preserve">d</m:t>
            </m:r>
          </m:sub>
        </m:sSub>
      </m:oMath>
      <w:r>
        <w:rPr>
          <w:rFonts w:ascii="Times New Roman" w:hAnsi="Times New Roman" w:eastAsia="Songti SC"/>
          <w:color w:val="000000"/>
        </w:rPr>
        <w:t>，则增强后计数应为：</w:t>
      </w:r>
      <w:commentRangeEnd w:id="3"/>
      <w:r>
        <w:commentReference w:id="3"/>
      </w:r>
    </w:p>
    <w:p>
      <m:oMath>
        <m:sSub>
          <m:e>
            <m:r>
              <m:t xml:space="preserve">N</m:t>
            </m:r>
          </m:e>
          <m:sub>
            <m:r>
              <m:t xml:space="preserve">τ</m:t>
            </m:r>
          </m:sub>
        </m:sSub>
        <m:r>
          <m:t xml:space="preserve">'</m:t>
        </m:r>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r>
          <m:t xml:space="preserve">.</m:t>
        </m:r>
      </m:oMath>
    </w:p>
    <w:p>
      <w:r>
        <w:rPr>
          <w:rFonts w:ascii="Times New Roman" w:hAnsi="Times New Roman" w:eastAsia="Songti SC"/>
          <w:color w:val="000000"/>
        </w:rPr>
        <w:t>若每篇源文档接受相同数量的变体，则各类实例数按相同比例增加，IR不变；若接受数不同，类别比例变化来自源文档的重复权重及筛选结果。结论中心决定改写位置，不意味着只有结论进入新增训练样本。类别分布、表达多样性和测试效果因此需要分别统计。</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r>
        <w:rPr>
          <w:rFonts w:ascii="Times New Roman" w:hAnsi="Times New Roman" w:eastAsia="Songti SC"/>
          <w:color w:val="000000"/>
        </w:rPr>
        <w:t>新参考实现将上述要求落实为训练集专用接口：按结论及入邻居构造局部单位，使用固定组件槽位改写并回填全文，随后重算所有受位移影响的跨度，保持类型、ID和关系拓扑。默认每文档最多4个单位、每单位2次尝试、最多保留1个变体；通过格式、结构与模型语义筛选后再执行全局文本去重，实际混合比由输出统计。plain对照只隐藏生成提示中的局部边，保持槽位及后续筛选相同，用于隔离结构条件的作用；它不等同于任一外部增强方法的复现。这些是新计划，尚无真实筛选计数和人工审计结果。</w:t>
      </w:r>
    </w:p>
    <w:p>
      <w:pPr>
        <w:pStyle w:val="Heading3"/>
      </w:pPr>
      <w:r>
        <w:t>3.2.5 全文回填的构造示例</w:t>
      </w:r>
    </w:p>
    <w:p>
      <w:r>
        <w:rPr>
          <w:rFonts w:ascii="Times New Roman" w:hAnsi="Times New Roman" w:eastAsia="Songti SC"/>
          <w:color w:val="000000"/>
        </w:rPr>
        <w:t>下面的文本和标注为人工构造，仅用于解释接口。原文为“Libraries should stay open longer. Students need study space. Campus services need investment.”。按2.1节坐标，组件1是Claim，跨度[1,5]；组件2是Premise，跨度[7,10]；组件3是Claim，跨度[12,15]。设标注包含Support边2→1和2→3。</w:t>
      </w:r>
    </w:p>
    <w:p>
      <w:r>
        <w:rPr>
          <w:rFonts w:ascii="Times New Roman" w:hAnsi="Times New Roman" w:eastAsia="Songti SC"/>
          <w:color w:val="000000"/>
        </w:rPr>
        <w:t>以组件1为中心时，选取组件1与2，内部关系为2→1；2→3是边界边。将前两组件改写为“Libraries ought to remain open longer”和“Students require space for studying”，组件3文本保持不变。回填后的三个跨度分别为[1,6]、[8,12]和[14,17]，关系仍为2→1和2→3。组件3虽然没有被改写，也因前文长度变化而更新坐标，并随完整文档再次进入训练。</w:t>
      </w:r>
    </w:p>
    <w:p>
      <w:r>
        <w:rPr>
          <w:rFonts w:ascii="Times New Roman" w:hAnsi="Times New Roman" w:eastAsia="Songti SC"/>
          <w:color w:val="000000"/>
        </w:rPr>
        <w:t>该例说明需要同时做到文本回填、全体跨度更新和边界边复查。即使ID与边表完全相同，若把组件2改写为“不需要学习空间”，关系语义仍可能改变；确定性拓扑检查无法单独排除这类问题。</w:t>
      </w:r>
    </w:p>
    <w:p>
      <w:pPr>
        <w:pStyle w:val="Heading2"/>
      </w:pPr>
      <w:r>
        <w:t>3.3 面向结论组件的配套表示增强</w:t>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原稿提出在注意力投影层注入类型条件低秩分支。为明确0914-v2新参考实现，本节将全局分支与结论分支分别记为下标g和c，对基础权重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写为：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新实现固定id、type、span的字段顺序。门控仅在已生成前缀包含完整闭合的结论类型后开启，在当前组件对象结束时关闭；类型首token与关系区域均不开启条件分支。AAEC触发类型为Claim/MajorClaim，CDCP为Policy/Value。教师强制同样只使用当前位置可见前缀，不读取未来类型。基础全局LoRA与专项LoRA共同存在，并提供单一全局rank32对照以匹配两条rank16分支的LoRA参数量；参数相近不等于计算量相同。该定义通过因果前缀测试，但不能证明其改善边界或减少梯度覆盖，也不能将旧分数沿用为这一新实现的结果。</w:t>
      </w:r>
    </w:p>
    <w:p>
      <w:commentRangeStart w:id="4"/>
      <w:r>
        <w:rPr>
          <w:rFonts w:ascii="Times New Roman" w:hAnsi="Times New Roman" w:eastAsia="Songti SC"/>
          <w:color w:val="000000"/>
        </w:rPr>
        <w:t>该因果门控更准确的含义是“已生成结论类型条件下的后续字段适配”。它在当前类型闭合后才开启，不能直接利用该类型去纠正同一组件已经输出的类型字段；后续span生成会受该分支影响。对类型F1的可能作用只能来自共享参数训练或后续上下文等间接路径，不能把分类别分数提高直接解释为门控当场纠正了类型。</w:t>
      </w:r>
      <w:commentRangeEnd w:id="4"/>
      <w:r>
        <w:commentReference w:id="4"/>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r>
        <w:rPr>
          <w:rFonts w:ascii="Times New Roman" w:hAnsi="Times New Roman" w:eastAsia="Songti SC"/>
          <w:color w:val="000000"/>
        </w:rPr>
        <w:t>新实现的完整词典为therefore、thus、in conclusion、consequently、hence、to conclude，采用不区分大小写的词边界匹配；触发时在聊天模板输入嵌入之前插入4个可训练向量，无触发时不插入占位向量。该词典及插入位置为本次新增定义，原实验是否相同仍待核验。</w:t>
      </w:r>
    </w:p>
    <w:p>
      <w:pPr>
        <w:pStyle w:val="Heading3"/>
      </w:pPr>
      <w:r>
        <w:t>3.3.3 多目标训练</w:t>
      </w:r>
    </w:p>
    <w:p>
      <w:r>
        <w:rPr>
          <w:rFonts w:ascii="Times New Roman" w:hAnsi="Times New Roman" w:eastAsia="Songti SC"/>
          <w:color w:val="000000"/>
        </w:rPr>
        <w:t>以下公式明确新参考实现的归一化方式：生成项对单个任务样本的有效回答token（含EOS）求均值，提示token不参与生成损失。设有效输出长度为</w:t>
      </w:r>
      <m:oMath>
        <m:sSub>
          <m:e>
            <m:r>
              <m:t xml:space="preserve">T</m:t>
            </m:r>
          </m:e>
          <m:sub>
            <m:r>
              <m:t xml:space="preserve">y</m:t>
            </m:r>
          </m:sub>
        </m:sSub>
      </m:oMath>
      <w:r>
        <w:rPr>
          <w:rFonts w:ascii="Times New Roman" w:hAnsi="Times New Roman" w:eastAsia="Songti SC"/>
          <w:color w:val="000000"/>
        </w:rPr>
        <w:t>，则：</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新实现按句末标点及文本结尾确定性切分输入，使用最后一层输入原文token的句内均值表示和线性二分类头，不池化输出标签。设输入句子数为</w:t>
      </w:r>
      <m:oMath>
        <m:sSub>
          <m:e>
            <m:r>
              <m:t xml:space="preserve">N</m:t>
            </m:r>
          </m:e>
          <m:sub>
            <m:r>
              <m:t xml:space="preserve">s</m:t>
            </m:r>
          </m:sub>
        </m:sSub>
      </m:oMath>
      <w:r>
        <w:rPr>
          <w:rFonts w:ascii="Times New Roman" w:hAnsi="Times New Roman" w:eastAsia="Songti SC"/>
          <w:color w:val="000000"/>
        </w:rPr>
        <w:t>，与结论类金标准跨度有重叠的句子标签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，否则为0；跨句组件可标记多个句子。AAEC结论类为MajorClaim/Claim，CDCP为Policy/Value。辅助项为：</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（3-9）</w:t>
      </w:r>
    </w:p>
    <w:p>
      <w:pPr>
        <w:keepNext/>
      </w:pPr>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辅助目标只参与训练，推理时不增加JSON字段。此处</w:t>
      </w:r>
      <m:oMath>
        <m:r>
          <m:t xml:space="preserve">λ</m:t>
        </m:r>
        <m:r>
          <m:t xml:space="preserve">=</m:t>
        </m:r>
        <m:r>
          <m:t xml:space="preserve">0</m:t>
        </m:r>
        <m:r>
          <m:t xml:space="preserve">.</m:t>
        </m:r>
        <m:r>
          <m:t xml:space="preserve">5</m:t>
        </m:r>
      </m:oMath>
      <w:r>
        <w:rPr>
          <w:rFonts w:ascii="Times New Roman" w:hAnsi="Times New Roman" w:eastAsia="Songti SC"/>
          <w:color w:val="000000"/>
        </w:rPr>
        <w:t>是两项样本内均值的权重，不是两个未归一化总和的固定比例。原稿公式为求和且没有代码佐证，本次改为均值是新实验协议选择，不构成原损失实现已经核实的结论。梯度累积按任务样本求均值，最后不足一个累积批次时按实际样本数归一化。</w:t>
      </w:r>
    </w:p>
    <w:p>
      <w:pPr>
        <w:ind w:firstLine="0"/>
      </w:pPr>
      <w:r>
        <w:rPr>
          <w:rFonts w:ascii="Times New Roman" w:hAnsi="Times New Roman" w:eastAsia="Songti SC"/>
          <w:color w:val="000000"/>
          <w:sz w:val="22"/>
        </w:rPr>
        <w:t>待核验R04：上述新定义已写入参考代码并进行小模型测试，但原始实验采用的句子切分、池化、loss mask、归一化、词典和提示位置仍不可追溯；无显式线索样本的真实效果也尚未测量。重新训练后应报告这些选择及其消融，不能仅删除待核验标记。</w:t>
      </w:r>
    </w:p>
    <w:p>
      <w:pPr>
        <w:pStyle w:val="Heading2"/>
        <w:spacing w:before="120" w:after="60"/>
      </w:pPr>
      <w:r>
        <w:t>3.4 实验设置与结果分析</w:t>
      </w:r>
    </w:p>
    <w:p>
      <w:pPr>
        <w:pStyle w:val="Heading3"/>
        <w:spacing w:before="120" w:after="60"/>
      </w:pPr>
      <w:r>
        <w:t>3.4.1 设置与评价指标</w:t>
      </w:r>
    </w:p>
    <w:p>
      <w:pPr>
        <w:spacing w:after="0"/>
      </w:pPr>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pPr>
        <w:spacing w:after="0"/>
      </w:pPr>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spacing w:after="0"/>
        <w:ind w:firstLine="0"/>
      </w:pPr>
      <w:r>
        <w:rPr>
          <w:rFonts w:ascii="Times New Roman" w:hAnsi="Times New Roman" w:eastAsia="Songti SC"/>
          <w:color w:val="000000"/>
          <w:sz w:val="22"/>
        </w:rPr>
        <w:t>待核验R05：本表配置对应关系以及外部基线分类别分数来源未确定。</w:t>
      </w:r>
    </w:p>
    <w:p>
      <w:pPr>
        <w:pStyle w:val="Heading3"/>
        <w:spacing w:before="120" w:after="60"/>
      </w:pPr>
      <w:r>
        <w:t>3.4.2 主要结果</w:t>
      </w:r>
    </w:p>
    <w:p>
      <w:pPr>
        <w:keepNext/>
        <w:spacing w:after="0"/>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after="0"/>
      </w:pPr>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spacing w:before="120" w:after="60"/>
      </w:pPr>
      <w:r>
        <w:t>3.4.3 模块作用与解释边界</w:t>
      </w:r>
    </w:p>
    <w:p>
      <w:pPr>
        <w:spacing w:after="0"/>
      </w:pPr>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pPr>
        <w:spacing w:after="0"/>
      </w:pPr>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spacing w:before="120" w:after="60"/>
      </w:pPr>
      <w:r>
        <w:t>3.5 误差类型与讨论</w:t>
      </w:r>
    </w:p>
    <w:p>
      <w:pPr>
        <w:spacing w:after="0"/>
      </w:pPr>
      <w:r>
        <w:rPr>
          <w:rFonts w:ascii="Times New Roman" w:hAnsi="Times New Roman" w:eastAsia="Songti SC"/>
          <w:color w:val="000000"/>
        </w:rPr>
        <w:t>结论组件学习需要重点检验以下三类潜在错误；当前缺少逐例输出，尚不将其视为已完成标注的错误分布。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pPr>
        <w:spacing w:after="0"/>
      </w:pPr>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spacing w:before="120" w:after="60"/>
      </w:pPr>
      <w:r>
        <w:t>3.6 本章小结</w:t>
      </w:r>
    </w:p>
    <w:p>
      <w:pPr>
        <w:spacing w:after="0"/>
      </w:pPr>
      <w:r>
        <w:rPr>
          <w:rFonts w:ascii="Times New Roman" w:hAnsi="Times New Roman" w:eastAsia="Songti SC"/>
          <w:color w:val="000000"/>
        </w:rPr>
        <w:t>本章以结论中心局部子图保持组件类型及关系监督，并以条件适配、线索提示和辅助目标配合学习。与孤立改写相比，差异在于显式保留局部关系；独立收益仍需等预算对照。新代码已明确门控规则，但原稿分类别结果的配置、Premise表现与有效性证据仍待核验。</w:t>
      </w:r>
    </w:p>
    <w:p>
      <w:pPr>
        <w:pStyle w:val="Heading1"/>
      </w:pPr>
      <w:r>
        <w:t>第四章 基于候选图评估与异常驱动局部修正的论辩图生成</w:t>
      </w:r>
    </w:p>
    <w:p>
      <w:r>
        <w:rPr>
          <w:rFonts w:ascii="Times New Roman" w:hAnsi="Times New Roman" w:eastAsia="Songti SC"/>
          <w:color w:val="000000"/>
        </w:rPr>
        <w:t>本章提出基于完整候选图评估与异常驱动局部修正的MCR-BR方法。其评估对象包含组件和关系，先为多个组件假设构建完整图，再以结构检查和单独调用的语义验证信号选择初始状态；检测到的异常触发局部动作，并通过接受检查、回退、轮数和接受动作数限制控制修改。完整流程包括候选组件生成、候选图构建、一致性评分、初始解选择、异常检测和有界局部修正六个阶段。这里的“有界”特指所定义的修正步数约束，不代表已给出全部生成与验证调用的严格上界。</w:t>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仅删除非法边的后处理不能补回缺失组件；自由生成式修订则可能同时改变正确结构。MCR-BR据此限定修改对象和接受条件，但其当前动作集合同样不提供一般性的缺失节点插入能力。</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可解析性由候选生成与解析阶段处理，图级BR只接收已经解析为组件和关系对象的候选。其恢复目标是调整引用、边界或类型错误，以及验证器指出的边语义和连接覆盖问题。覆盖不足只是预设软偏好，未带显式理由的合法Claim也可能触发它。</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r>
        <w:rPr>
          <w:rFonts w:ascii="Times New Roman" w:hAnsi="Times New Roman" w:eastAsia="Songti SC"/>
          <w:color w:val="000000"/>
        </w:rPr>
        <w:t>新实现不臆测置信度消解顺序：保留原始输出，严格解析后不自动改写重叠跨度或重排ID，形式违规进入合法性检查；无法解析的候选明确记为失败。关系阶段要求原样复制固定组件，若模型改变组件则拒绝该候选。该处理不同于尚未明确的旧规范化算法，后续与外部方法比较必须使用相同协议。</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commentRangeStart w:id="5"/>
      <w:r>
        <w:rPr>
          <w:rFonts w:ascii="Times New Roman" w:hAnsi="Times New Roman" w:eastAsia="Songti SC"/>
          <w:color w:val="000000"/>
        </w:rPr>
        <w:t>新参考实现对JSON或必需字段解析失败的候选标记失败并跳过，不把它交给图级BR，也不在该槽位内自动重试。后续槽位可以在总预算内继续生成；若没有可解析候选，返回明确失败，评价时保留该文档及其金标准对象。失败调用仍计入成本。因而原表JSON错误从6.2%到0.0%的变化，在阶段和分母未明确前不能归因于四类图修改动作。</w:t>
      </w:r>
      <w:commentRangeEnd w:id="5"/>
      <w:r>
        <w:commentReference w:id="5"/>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r>
        <w:rPr>
          <w:rFonts w:ascii="Times New Roman" w:hAnsi="Times New Roman" w:eastAsia="Songti SC"/>
          <w:color w:val="000000"/>
        </w:rPr>
        <w:t>新参考实现将评价节点固定为AAEC的Claim及CDCP的Policy/Value；节点在预测图中无出边时按顶层角色取阈值2，否则取1，空评价集合得分为0。这一确定规则使新代码可执行，但是否对应原稿角色判定并无证据。新实现默认生成器与验证器共享同一检查点，仅使用不同提示；判断缓存绑定文本、关系上下文和模型身份，不把两次调用称为独立验证。</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commentRangeStart w:id="6"/>
      <w:r>
        <w:rPr>
          <w:rFonts w:ascii="Times New Roman" w:hAnsi="Times New Roman" w:eastAsia="Songti SC"/>
          <w:color w:val="000000"/>
        </w:rPr>
        <w:t>覆盖分量和连贯性分量复用同一组边判断</w:t>
      </w:r>
      <m:oMath>
        <m:sSub>
          <m:e>
            <m:r>
              <m:t xml:space="preserve">p</m:t>
            </m:r>
          </m:e>
          <m:sub>
            <m:r>
              <m:t xml:space="preserve">i</m:t>
            </m:r>
            <m:r>
              <m:t xml:space="preserve">j</m:t>
            </m:r>
          </m:sub>
        </m:sSub>
      </m:oMath>
      <w:r>
        <w:rPr>
          <w:rFonts w:ascii="Times New Roman" w:hAnsi="Times New Roman" w:eastAsia="Songti SC"/>
          <w:color w:val="000000"/>
        </w:rPr>
        <w:t>：前者按目标节点聚合，后者按预测边求平均。二者分别表达连接分布与边级通过比例，但不是两份独立语义证据。组合加权可能重复放大同一次验证错误，需要在固定候选池上分别移除覆盖项与连贯性项，观察最终F1及边数变化。</w:t>
      </w:r>
      <w:commentRangeEnd w:id="6"/>
      <w:r>
        <w:commentReference w:id="6"/>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表示图合法性、边语义连贯性或连接覆盖不足异常，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keepNext/>
        <w:ind w:firstLine="0"/>
        <w:jc w:val="center"/>
      </w:pPr>
      <w:r>
        <w:rPr>
          <w:rFonts w:ascii="Times New Roman" w:hAnsi="Times New Roman" w:eastAsia="Songti SC"/>
          <w:color w:val="000000"/>
          <w:sz w:val="22"/>
        </w:rPr>
        <w:t>表4-1 新参考实现中的异常与动作对应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665"/>
        <w:gridCol w:w="4479"/>
      </w:tblGrid>
      <w:tr>
        <w:trPr>
          <w:cantSplit/>
          <w:tblHeader/>
        </w:trPr>
        <w:tc>
          <w:tcPr>
            <w:tcW w:type="dxa" w:w="1757"/>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异常对象</w:t>
            </w:r>
          </w:p>
        </w:tc>
        <w:tc>
          <w:tcPr>
            <w:tcW w:type="dxa" w:w="266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候选动作与顺序</w:t>
            </w:r>
          </w:p>
        </w:tc>
        <w:tc>
          <w:tcPr>
            <w:tcW w:type="dxa" w:w="447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字段范围与执行限制</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边级VAL或COH</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先RemoveEdge，再LocalRerun</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删当前边；或重预测该边源节点的全部出边，源节点须存在</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节点级VAL</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类型转换、Replace、LocalRerun</w:t>
            </w:r>
          </w:p>
        </w:tc>
        <w:tc>
          <w:tcPr>
            <w:tcW w:type="dxa" w:w="447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类型转换限AAEC Claim/MajorClaim；Replace保留当前ID与节点数</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节点级DENS</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类型转换、Replace、LocalRerun</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重预测源集合为当前图中除该目标外的全部节点，不插入组件</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JSON或字段无法解析</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无图级动作</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候选阶段记失败并跳过，不进入BR</w:t>
            </w:r>
          </w:p>
        </w:tc>
      </w:tr>
    </w:tbl>
    <w:p>
      <w:pPr>
        <w:spacing w:after="0" w:line="240" w:lineRule="auto"/>
      </w:pPr>
    </w:p>
    <w:p>
      <w:r>
        <w:rPr>
          <w:rFonts w:ascii="Times New Roman" w:hAnsi="Times New Roman" w:eastAsia="Songti SC"/>
          <w:color w:val="000000"/>
        </w:rPr>
        <w:t>表4-1是参考代码的执行说明，不是已证明最优的动作顺序。Replace按候选池中与当前跨度有交集的组件产生替代项，依跨度交并比降序、起止位置及类型排序；没有交集的遗漏组件不能因此被插入。ID重复等问题也可能无法被现有保留ID的动作修好，此时保留失败原因而非宣称动作完备。</w:t>
      </w:r>
    </w:p>
    <w:p>
      <w:commentRangeStart w:id="7"/>
      <w:r>
        <w:rPr>
          <w:rFonts w:ascii="Times New Roman" w:hAnsi="Times New Roman" w:eastAsia="Songti SC"/>
          <w:color w:val="000000"/>
        </w:rPr>
        <w:t>LocalRerun固定全部组件，只替换指定源节点的出边，其余出边保留；目标可为当前任一有效组件，随后检查引用、自环和其他约束。对DENS异常，当前实现选择除问题目标以外的全部节点作为源集合，修改范围可能接近全图关系重预测。因此“局部”只说明字段和源集合受到限制，不保证修改只在目标的一跳邻域内；每异常最多4个动作候选还可能使排序靠后的LocalRerun未被尝试。</w:t>
      </w:r>
      <w:commentRangeEnd w:id="7"/>
      <w:r>
        <w:commentReference w:id="7"/>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r>
        <w:rPr>
          <w:rFonts w:ascii="Times New Roman" w:hAnsi="Times New Roman" w:eastAsia="Songti SC"/>
          <w:color w:val="000000"/>
        </w:rPr>
        <w:t>新参考实现补充每文档最多24次动作尝试、每异常最多4个动作候选、全部生成及验证合计最多128次调用、累计最多32768个输出token；普通单次生成上限1024，边级判断上限32。拒绝和失败调用均入账；复用候选池也保留候选生成的逻辑成本，实际新增调用另列。每次接受后更新异常并记录访问状态，避免等分往返。预算耗尽时保留最后已接受图或返回显式失败，不填入未验证输出。以上默认值是新工程配置，尚未由验证集成本曲线确定，也不提供硬墙钟超时保证。</w:t>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commentRangeStart w:id="8"/>
      <w:r>
        <w:rPr>
          <w:rFonts w:ascii="Times New Roman" w:hAnsi="Times New Roman" w:eastAsia="Songti SC"/>
          <w:color w:val="000000"/>
        </w:rPr>
        <w:t>反例四：改变覆盖集合可以提高代理分数而损害组件预测。构造含两个Claim和两个Premise的合法图，Claim 1孤立，两个Premise均以通过验证的Support边指向Claim 2。两Claim均无出边，阈值为2，因此覆盖分数为0.5，连贯性与合法性均为1，总分为0.8。仅将孤立Claim 1改为MajorClaim后，它退出覆盖集合，覆盖分数升至1，总分升至1；边集没有变化。该动作满足当前合法性和非下降接受条件，且位于DENS动作序列前部。</w:t>
      </w:r>
      <w:commentRangeEnd w:id="8"/>
      <w:r>
        <w:commentReference w:id="8"/>
      </w:r>
    </w:p>
    <w:p>
      <w:r>
        <w:rPr>
          <w:rFonts w:ascii="Times New Roman" w:hAnsi="Times New Roman" w:eastAsia="Songti SC"/>
          <w:color w:val="000000"/>
        </w:rPr>
        <w:t>若构造金标准中四个节点原本均正确，该修改使组件精确匹配F1由100降至75，关系F1保持100。数值来自同一构造图的确定性计数，不是测试集成绩。它证明当前接受规则不能排除这类错误修改，不能推断其在真实数据中的发生频率。修正方向及所需对照列于附录B.5。</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其中部分已在新项目提供独立选项或预算接口，仍未正式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3"/>
      </w:pPr>
      <w:r>
        <w:t>4.5.3 近期相关方法的比较边界</w:t>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[23]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3"/>
      </w:pPr>
      <w:r>
        <w:t>4.5.4 配置核对与新实验命名</w:t>
      </w:r>
    </w:p>
    <w:p>
      <w:r>
        <w:rPr>
          <w:rFonts w:ascii="Times New Roman" w:hAnsi="Times New Roman" w:eastAsia="Songti SC"/>
          <w:color w:val="000000"/>
        </w:rPr>
        <w:t>原稿明确列出的骨干、LoRA秩与缩放、提示长度、辅助权重、三项评分权重及K/T/M可以登记为“稿件声称的配置”，但没有日志就不能升级为“已执行并验证”。学习率、划分ID、目标层、dropout、种子、重复数及硬件等缺项不能用常见取值补作历史事实。附录D列出新项目的确定配置，供重新实验，不作为表3-1至表5-2的运行来源。</w:t>
      </w:r>
    </w:p>
    <w:p>
      <w:r>
        <w:rPr>
          <w:rFonts w:ascii="Times New Roman" w:hAnsi="Times New Roman" w:eastAsia="Songti SC"/>
          <w:color w:val="000000"/>
        </w:rPr>
        <w:t>新项目将Single-Pass限定为一次联合整图生成，将staged-K1限定为一次组件生成加一次固定组件的关系生成；K3-LogProb、K3-Rerank、K3-Rerank-BR则使用完整候选图，并可复用同一冻结候选池。训练模块及数据消融必须重新训练，推理消融则固定检查点。这一命名区分不能自行解释81.67与77.82的历史冲突，两个旧值仍保留待核验。</w:t>
      </w:r>
    </w:p>
    <w:p>
      <w:r>
        <w:rPr>
          <w:rFonts w:ascii="Times New Roman" w:hAnsi="Times New Roman" w:eastAsia="Songti SC"/>
          <w:color w:val="000000"/>
        </w:rPr>
        <w:t>公平比较需核对实际预算。同样3个epoch在增强后通常对应更多更新；新代码提供更新步数上限，但仍需检查实际步数、样本/token量和检查点选择是否匹配。移除软合法性评分不等于取消修正动作的硬合法性检查。新项目尚未实现所有旧表基线，未完成真实数据训练、多个种子重复或显著性检验。</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表4-2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按表4-2记录，Full相对FLAN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表4-3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按表4-3记录，CDCP上的Full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表4-4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表4-5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表4-6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按表4-6记录，Candidate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表4-7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下面给出可复算的成功路径作为机制示例，同样不代替真实错误分析。构造三个已正确识别的节点：一个无出边Claim和两个Premise；初始图含两条入边，其中一条Support为构造金标准关系，另一条Attack不在金标准中。固定验证器分别返回1和0，则覆盖、连贯性、合法性为0.5、0.5、1，总分0.6。COH异常触发RemoveEdge后，三分量变为0.5、1、1，总分0.8，图仍合法，因而接受。</w:t>
      </w:r>
    </w:p>
    <w:p>
      <w:r>
        <w:rPr>
          <w:rFonts w:ascii="Times New Roman" w:hAnsi="Times New Roman" w:eastAsia="Songti SC"/>
          <w:color w:val="000000"/>
        </w:rPr>
        <w:t>该例组件F1保持100，关系F1由66.67升至100，但DENS仍会因仅有一条通过验证的入边而触发。这说明一次正确删边不代表所有异常都应该继续消除；如果验证器随后误认第二条边，补边也可能提高代理分数而降低精确率。成功路径与反例四共同界定了该方法对验证器质量的依赖。</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r>
        <w:rPr>
          <w:rFonts w:ascii="Times New Roman" w:hAnsi="Times New Roman" w:eastAsia="Songti SC"/>
          <w:color w:val="000000"/>
        </w:rPr>
        <w:t>新项目现有预算接口只说明后续能够记录并限制哪些计算，不提供上述历史成本数据，也不证明在目标GPU上的效率优势。</w:t>
      </w:r>
    </w:p>
    <w:p>
      <w:pPr>
        <w:pStyle w:val="Heading2"/>
      </w:pPr>
      <w:r>
        <w:t>4.9 本章小结</w:t>
      </w:r>
    </w:p>
    <w:p>
      <w:r>
        <w:rPr>
          <w:rFonts w:ascii="Times New Roman" w:hAnsi="Times New Roman" w:eastAsia="Songti SC"/>
          <w:color w:val="000000"/>
        </w:rPr>
        <w:t>本章以完整候选图为评估对象，将多候选选择与异常驱动局部修正连接起来，明确了异常、动作、接受条件和回退的关系。这是相对于一般多采样和自由文本自修正的具体设计差异，而不是对两类已有思想的首次提出。现有域内、消融、验证器替换和Oracle记录为分析完整配置提供依据；BR的净收益需在固定候选池下解释，额外计算的价值需经预算匹配比较。软合法性、非法初始图恢复和遗漏节点操作仍限定着当前方法的适用范围。</w:t>
      </w:r>
    </w:p>
    <w:p>
      <w:pPr>
        <w:pStyle w:val="Heading1"/>
      </w:pPr>
      <w:r>
        <w:t>第五章 粗粒度标签协议下的跨语料迁移分析</w:t>
      </w:r>
    </w:p>
    <w:p>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[25]不同，本章声明的零样本设定仅使用源域训练监督。鉴于近期句子级论辩识别研究揭示了词汇线索与跨数据集泛化之间的风险[27]，本章特别区分领域变化、标签归约和评价口径，避免将域内正向结果直接外推到目标域。</w:t>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原稿对迁移时输出源标签还是目标标签没有提供可核验记录。新参考实现明确继续输出AAEC源标签，并只在评价阶段把预测与CDCP金标准分别映射为粗类型及有向Link；不向生成器提供目标域标注示例，也不切换为目标细粒度输出Schema。候选数、评分权重、连接覆盖阈值和修正预算均沿用源域配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新实现把标签对齐限制在评价阶段的确定性映射，Link端点默认要求边界及粗类型一致；不使用目标测试结果调节阈值。源域Schema和图约束可能限制目标域输出，是需要评估的协议选择。所有指标基于预测组件计算；旧表是否遵循该新定义仍待R14核验。</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r>
        <w:rPr>
          <w:rFonts w:ascii="Times New Roman" w:hAnsi="Times New Roman" w:eastAsia="Songti SC"/>
          <w:color w:val="000000"/>
        </w:rPr>
        <w:t>本章明确了AAEC到CDCP零样本迁移的标签映射和无标签连接评价范围，并分析原稿保留记录。Full的组件和连接分数高于表中基线，但这一比较仅限所声明的单向粗粒度协议，仍需核验实际数据使用与评价脚本。双向迁移可作为后续扩展，不是回答本章限定问题的必要条件。</w:t>
      </w:r>
    </w:p>
    <w:p>
      <w:pPr>
        <w:pStyle w:val="Heading1"/>
      </w:pPr>
      <w:r>
        <w:t>第六章 总结与展望</w:t>
      </w:r>
    </w:p>
    <w:p>
      <w:pPr>
        <w:pStyle w:val="Heading2"/>
      </w:pPr>
      <w:r>
        <w:t>6.1 工作总结</w:t>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基于完整候选图评估与异常驱动局部修正的MCR-BR方法。多个组件假设分别生成候选论辩图，图级评分用于选择初始结构，异常检测用于触发局部动作，接受检查与回退用于控制修改过程。与仅增加采样次数或自由文本自修正相比，该方法明确了候选对象、反馈粒度和修改边界。其当前性质限于给定前提下的修正步数限制和固定代理评分下的接受状态非下降，不包括全局最优、最终必然合法或任意遗漏节点恢复的保证。</w:t>
      </w:r>
    </w:p>
    <w:p>
      <w:r>
        <w:rPr>
          <w:rFonts w:ascii="Times New Roman" w:hAnsi="Times New Roman" w:eastAsia="Songti SC"/>
          <w:color w:val="000000"/>
        </w:rPr>
        <w:t>第三，在域内和规定的跨语料协议下分析方法表现。原稿记录中，Full在AAEC上的Component-F1和Relation-F1为83.71和64.83，在CDCP上为76.45和38.17；在AAEC到CDCP的粗粒度组件与有向无标签连接协议下，两项指标分别为60.78和43.21。上述结果保留为完整配置的实验记录，不将总增益分配给某一模块，也不将不同标签协议的分数直接相减解释领域退化。</w:t>
      </w:r>
    </w:p>
    <w:p>
      <w:r>
        <w:rPr>
          <w:rFonts w:ascii="Times New Roman" w:hAnsi="Times New Roman" w:eastAsia="Songti SC"/>
          <w:color w:val="000000"/>
        </w:rPr>
        <w:t>相关工作比较表明，生成式联合抽取、篇章结构引导和论辩候选判断已有相邻研究。本文可主张的具体贡献应落在结论中心局部结构保持增强，以及完整候选图评估与异常驱动局部修正的设计和实证分析上。当前工作仍需完成配置对应、增强独立消融和预算匹配验证，才能进一步确认两项方法各自的增量价值；跨语料结果则仅支持所采用迁移方向与标签归约下的适用性判断。</w:t>
      </w:r>
    </w:p>
    <w:p>
      <w:r>
        <w:rPr>
          <w:rFonts w:ascii="Times New Roman" w:hAnsi="Times New Roman" w:eastAsia="Songti SC"/>
          <w:color w:val="000000"/>
        </w:rPr>
        <w:t>对应RQ1，现有记录尚不能分离结构增强的独立作用，需要同规模普通改写对照及Premise结果；对应RQ2，现有表格给出组合配置的正向差值，固定候选池与等预算结果仍缺，评分反例说明接受规则不保证任务指标提高；对应RQ3，结论限于原稿单向粗粒度迁移记录，不能外推到未测试的语言或领域。三项问题的回答强度以各自证据为准。</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本轮已补充独立参考实现和配置说明，使重新实验具有代码起点；但软件测试不是方法有效性验证。在取得真实数据及模型、完成原始标注抽检并运行正式对照前，仍不能将新项目视为表格结果的复现证据。</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历史结果的14项未决事项。新项目已提供若干对应接口和测试，但不是原实验材料，因此下列事项不自动关闭。每项应以原始记录，或明确另列的新实验配置、日志、数据清单与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本附录给出针对第四章逻辑缺口的可实验建议。新项目已提供合法优先选择选项、尝试/调用/token上限及逐次日志；没有实现非法中间状态的分阶段修复或Insert。所有建议均未使用原稿分数验证。</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新项目采用的默认值见4.4.3节，属于待验证的新工程上限，而不是对原实验的补填；最终仍应依据验证集性能—成本曲线选择。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本节日志亦应用于识别4.4.4节的评分反例：保留类型修改前后的覆盖集合、各节点阈值及任务匹配计数，避免只记录总分。</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2"/>
      </w:pPr>
      <w:commentRangeStart w:id="9"/>
      <w:r>
        <w:t>B.5 覆盖评分投机的保守修订方向</w:t>
      </w:r>
      <w:commentRangeEnd w:id="9"/>
      <w:r>
        <w:commentReference w:id="9"/>
      </w:r>
    </w:p>
    <w:p>
      <w:pPr>
        <w:spacing w:line="380" w:lineRule="exact"/>
      </w:pPr>
      <w:r>
        <w:rPr>
          <w:rFonts w:ascii="Times New Roman" w:hAnsi="Times New Roman" w:eastAsia="Songti SC"/>
          <w:color w:val="000000"/>
          <w:sz w:val="22"/>
        </w:rPr>
        <w:t>优先评估将“关系修正”与“类型修正”分开：关系修正阶段固定初始图的覆盖节点ID和阈值，仅允许不改变组件类型的动作；类型修正另需基于文本的类型判断依据，并单列其错误修改率。当前仅关闭Promote/Demote仍不充分，因为Replace也能改变类型；仅固定覆盖分母也不充分，因为非下降接受允许等分的错误类型修改。</w:t>
      </w:r>
    </w:p>
    <w:p>
      <w:pPr>
        <w:spacing w:line="380" w:lineRule="exact"/>
      </w:pPr>
      <w:r>
        <w:rPr>
          <w:rFonts w:ascii="Times New Roman" w:hAnsi="Times New Roman" w:eastAsia="Songti SC"/>
          <w:color w:val="000000"/>
          <w:sz w:val="22"/>
        </w:rPr>
        <w:t>这一建议会改变现有动作空间与接受条件，本轮未将其写成已实现方法，也未替换旧表结果。应设置原规则、禁止类型变化、固定覆盖集合及阈值、两者结合的对照，先检查构造反例，再在冻结候选池上比较类型F1、关系F1、错误修改率和成本。跨候选重排序中不同候选的覆盖集合仍可能不同，固定BR初始集合不能自动解决选择阶段的偏差。</w:t>
      </w:r>
    </w:p>
    <w:p>
      <w:pPr>
        <w:pStyle w:val="Heading2"/>
      </w:pPr>
      <w:r>
        <w:t>B.6 两项贡献的最小独立验证</w:t>
      </w:r>
    </w:p>
    <w:p>
      <w:pPr>
        <w:spacing w:line="380" w:lineRule="exact"/>
      </w:pPr>
      <w:r>
        <w:rPr>
          <w:rFonts w:ascii="Times New Roman" w:hAnsi="Times New Roman" w:eastAsia="Songti SC"/>
          <w:color w:val="000000"/>
          <w:sz w:val="22"/>
        </w:rPr>
        <w:t>训练增强首先比较无增强、普通改写、结构条件改写。后两者使用相同源文档、目标单位、全文筛选和尽可能匹配的接受样本量及优化步数；若两组筛选导致源文档分布不同，应报告这种差异。此处plain只隔离生成提示是否含局部边，不能代表完全不使用结构信息的增强基线。另加结论中心与随机组件中心的预算匹配对照，才能检验为何优先选择结论。</w:t>
      </w:r>
    </w:p>
    <w:p>
      <w:pPr>
        <w:spacing w:line="380" w:lineRule="exact"/>
      </w:pPr>
      <w:r>
        <w:rPr>
          <w:rFonts w:ascii="Times New Roman" w:hAnsi="Times New Roman" w:eastAsia="Songti SC"/>
          <w:color w:val="000000"/>
          <w:sz w:val="22"/>
        </w:rPr>
        <w:t>推理实验在每个固定检查点下缓存同一批候选，比较长度归一化序列概率选择、图级重排序、重排序加BR；随后比较删边后处理和等调用或等token预算的通用修订。训练增强与BR可组成2×2对照：原始数据/结构增强分别配合重排序/重排序加BR。候选池在同一检查点的两种推理策略间固定，不要求不同训练检查点产生相同候选。</w:t>
      </w:r>
    </w:p>
    <w:p>
      <w:pPr>
        <w:spacing w:line="380" w:lineRule="exact"/>
      </w:pPr>
      <w:r>
        <w:rPr>
          <w:rFonts w:ascii="Times New Roman" w:hAnsi="Times New Roman" w:eastAsia="Songti SC"/>
          <w:color w:val="000000"/>
          <w:sz w:val="22"/>
        </w:rPr>
        <w:t>报告分类别Precision、Recall、F1、多个种子的结果和差值不确定性；若开展逐文档重采样，应在每次抽样后重新汇总TP/FP/FN再计算micro-F1。真实成功与错误修改案例需附原文、金标准、候选、动作和成本。若结构增强没有稳定优于plain，或BR没有在预算匹配下优于重排序，应相应收缩贡献表述，保留可复核的负结果与适用边界。</w:t>
      </w:r>
    </w:p>
    <w:p>
      <w:pPr>
        <w:pStyle w:val="Heading1"/>
      </w:pPr>
      <w:r>
        <w:t>附录C 修订与辅助工具使用说明</w:t>
      </w:r>
    </w:p>
    <w:p>
      <w:pPr>
        <w:spacing w:line="380" w:lineRule="exact"/>
      </w:pPr>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p>
      <w:pPr>
        <w:spacing w:line="380" w:lineRule="exact"/>
      </w:pPr>
      <w:r>
        <w:rPr>
          <w:rFonts w:ascii="Times New Roman" w:hAnsi="Times New Roman" w:eastAsia="Songti SC"/>
          <w:color w:val="000000"/>
          <w:sz w:val="22"/>
        </w:rPr>
        <w:t>0914-v2轮次在作者明确授权后新建实验代码，并完成构造数据与随机初始化小模型的前向、反向、短训练、保存和重载测试。上一段“未运行训练实验”对应0914文稿修订轮次；本轮运行的是软件测试，未进行真实语料上的正式模型训练、效能比较或人工标注。参考实现中新增的超参数与协议均有来源分级及代码记录；作者仍需审阅生成代码、核对理论定义并对最终研究事实负责。</w:t>
      </w:r>
    </w:p>
    <w:p>
      <w:pPr>
        <w:spacing w:line="380" w:lineRule="exact"/>
      </w:pPr>
      <w:r>
        <w:rPr>
          <w:rFonts w:ascii="Times New Roman" w:hAnsi="Times New Roman" w:eastAsia="Songti SC"/>
          <w:color w:val="000000"/>
          <w:sz w:val="22"/>
        </w:rPr>
        <w:t>0914-v3依据作者“评估后可直接修改”的授权执行局部修订，沿用academic-research-suite的证据分级与贡献审查原则。新增内容包括方法定义澄清、2026年相关文献的定向核查、构造示例及评分反例诊断；未将软件诊断作为正式实验。本轮保存逐项替换、完整差异与文件核对记录，不生成或追认缺失的历史实验日志，也不声称完成全套ARS授权链或独立校准的专家评审。</w:t>
      </w:r>
    </w:p>
    <w:p>
      <w:pPr>
        <w:pStyle w:val="Heading1"/>
      </w:pPr>
      <w:r>
        <w:t>附录D 新参考实现与复现实验接口</w:t>
      </w:r>
    </w:p>
    <w:p>
      <w:pPr>
        <w:pStyle w:val="Heading2"/>
      </w:pPr>
      <w:r>
        <w:t>D.1 身份与配置来源</w:t>
      </w:r>
    </w:p>
    <w:p>
      <w:pPr>
        <w:spacing w:line="380" w:lineRule="exact"/>
      </w:pPr>
      <w:r>
        <w:rPr>
          <w:rFonts w:ascii="Times New Roman" w:hAnsi="Times New Roman" w:eastAsia="Songti SC"/>
          <w:color w:val="000000"/>
          <w:sz w:val="22"/>
        </w:rPr>
        <w:t>项目名为argument_mining_0914，实现标识为0914-reference-v1。其来源是本次依据论文进行的新开发，不是原实验仓库。项目含数据转换、精确匹配评价、训练与增强、五种推理策略、四类局部动作、19份具名配置及运行说明；不存在与旧表分数绑定的真实运行记录。表D-1中“沿用原稿取值”仅指文字取值一致，不代表原实验已经验证。</w:t>
      </w:r>
    </w:p>
    <w:p>
      <w:pPr>
        <w:keepNext/>
        <w:spacing w:line="380" w:lineRule="exact"/>
        <w:ind w:firstLine="0"/>
        <w:jc w:val="center"/>
      </w:pPr>
      <w:r>
        <w:rPr>
          <w:rFonts w:ascii="Times New Roman" w:hAnsi="Times New Roman" w:eastAsia="Songti SC"/>
          <w:color w:val="000000"/>
          <w:sz w:val="22"/>
        </w:rPr>
        <w:t>表D-1 新参考实现配置与证据来源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配置组</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新实现取值或规则</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来源及限制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骨干与核心参数</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Qwen2.5-7B-Instruct；r=16，alpha=32；m=4；辅助权重0.5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沿用原稿取值；本地未提供该模型权重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评分与修正</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权重0.4/0.4/0.2；K=3；T=3；M=2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沿用原稿取值；M计接受动作，不计总调用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训练优化</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AdamW；lr=0.0002；3轮；微批1、累积8；dev生成损失早停</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学习率、轮数、累积数及选择细则为本次新设；未运行正式训练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目标层与随机性</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q_proj/v_proj；dropout=0.05；默认seed=17</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新实现选择；不填作旧实验种子或目标层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生成与长度</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temperature=0.7；top-p=0.9；单次最多1024新token；上下文8192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新实现选择；超长显式失败，不静默截断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设备与软件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具名训练配置为CUDA/bfloat16；Torch 2.8.0、Transformers 4.57.6</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目标GPU未验证；本机仅CPU小模型测试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总预算与缓存</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每文档24次动作尝试；128次调用；32768输出token</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新预算接口；复用候选生成成本仍计逻辑预算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评价与划分</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显式train/dev/test ID；跨度与类型精确匹配micro-F1</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新评价协议；不能追认原表指标与划分</w:t>
            </w:r>
          </w:p>
        </w:tc>
      </w:tr>
    </w:tbl>
    <w:p>
      <w:pPr>
        <w:spacing w:after="0" w:line="240" w:lineRule="auto"/>
      </w:pPr>
    </w:p>
    <w:p>
      <w:pPr>
        <w:spacing w:line="380" w:lineRule="exact"/>
      </w:pPr>
      <w:r>
        <w:rPr>
          <w:rFonts w:ascii="Times New Roman" w:hAnsi="Times New Roman" w:eastAsia="Songti SC"/>
          <w:color w:val="000000"/>
          <w:sz w:val="22"/>
        </w:rPr>
        <w:t>默认训练数据为原始训练集，结构增强并不因使用名为Full的配置自动发生；需显式将增强后的train文件传入并记录哈希。模块配置和数据版本共同决定实验身份。更多取值、提示、句子切分、数据格式及动作字段见项目实现说明。</w:t>
      </w:r>
    </w:p>
    <w:p>
      <w:pPr>
        <w:pStyle w:val="Heading2"/>
      </w:pPr>
      <w:r>
        <w:t>D.2 输入输出与可追溯性</w:t>
      </w:r>
    </w:p>
    <w:p>
      <w:pPr>
        <w:spacing w:line="380" w:lineRule="exact"/>
      </w:pPr>
      <w:r>
        <w:rPr>
          <w:rFonts w:ascii="Times New Roman" w:hAnsi="Times New Roman" w:eastAsia="Songti SC"/>
          <w:color w:val="000000"/>
          <w:sz w:val="22"/>
        </w:rPr>
        <w:t>AAEC入口接受BRAT标注；stance属性不转换为Claim到MajorClaim的关系。CDCP入口接受显式组件偏移与Reason/Evidence区间边，多前提默认拒绝，只有选定expand选项才展开为二元边。该选项改变表示，需单列协议。转换器使用明确的Unicode评价分词与字符到token映射；分词不同于骨干子词切分，边界不精确对齐时拒绝。真实发布数据尚未导入，首次使用必须抽样检查转换后的原文、跨度及边，不能认为构造样例测试已经验证全部语料兼容性。</w:t>
      </w:r>
    </w:p>
    <w:p>
      <w:pPr>
        <w:spacing w:line="380" w:lineRule="exact"/>
      </w:pPr>
      <w:r>
        <w:rPr>
          <w:rFonts w:ascii="Times New Roman" w:hAnsi="Times New Roman" w:eastAsia="Songti SC"/>
          <w:color w:val="000000"/>
          <w:sz w:val="22"/>
        </w:rPr>
        <w:t>每次运行输出配置、代码、数据和模型身份哈希，训练记录验证集检查点选择，推理记录候选原始输出、评分、选择与修正历史、失败原因及预算。已有输出目录不会自动覆盖。候选缓存绑定文档和生成配置，支持同池比较；失效缓存不能作为复现实验输入。配置可设更新步数上限，实际更新量仍由日志确认。新多种子汇总以不同seed且相同非种子配置为必要条件，报告样本标准差，不自动给出统计显著性。</w:t>
      </w:r>
    </w:p>
    <w:p>
      <w:pPr>
        <w:pStyle w:val="Heading2"/>
      </w:pPr>
      <w:r>
        <w:t>D.3 当前验证范围与未完成工作</w:t>
      </w:r>
    </w:p>
    <w:p>
      <w:pPr>
        <w:spacing w:line="380" w:lineRule="exact"/>
      </w:pPr>
      <w:r>
        <w:rPr>
          <w:rFonts w:ascii="Times New Roman" w:hAnsi="Times New Roman" w:eastAsia="Songti SC"/>
          <w:color w:val="000000"/>
          <w:sz w:val="22"/>
        </w:rPr>
        <w:t>本轮55项自动测试全部通过、无跳过，覆盖坐标、标注转换构造样例、数据泄漏检查、重复预测与失败分母、因果门控、四类动作、缓存成本及预算等。随机初始化的小型Qwen结构验证了响应损失mask、梯度流、冻结骨干、一个优化步骤、短训练和检查点重载；这不是Qwen2.5-7B或真实数据上的效果验证。完整验证报告保存在项目validation目录，运行时间与软件版本亦被记录。</w:t>
      </w:r>
    </w:p>
    <w:p>
      <w:pPr>
        <w:spacing w:line="380" w:lineRule="exact"/>
      </w:pPr>
      <w:r>
        <w:rPr>
          <w:rFonts w:ascii="Times New Roman" w:hAnsi="Times New Roman" w:eastAsia="Songti SC"/>
          <w:color w:val="000000"/>
          <w:sz w:val="22"/>
        </w:rPr>
        <w:t>仍未完成真实数据训练和评价、外部基线复现、语法约束解码、Self-Refine、Llama验证器、金标准组件替换Oracle、Insert、分阶段非法状态修复，以及目标GPU的显存和时延测试。代码中逐token无缓存生成路径便于核验门控但较慢，不作为高性能部署方案。上述边界决定了本次只能交付“可测试的新实验起点”，不能据此确认创新收益、论文全部分数或送审资格。</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14-v3 修订" w:date="2026-09-14T12:06:25Z">
    <w:p>
      <w:r>
        <w:t>v3：已澄清方法和新增构造诊断，未更改历史成绩或运行正式实验。</w:t>
      </w:r>
    </w:p>
  </w:comment>
  <w:comment w:id="1" w:author="Codex 0914-v3 修订" w:date="2026-09-14T12:06:25Z">
    <w:p>
      <w:r>
        <w:t>v3：贡献落实为输入、改写单位、保持对象与输出。独立增益仍需与普通改写和随机中心对照。</w:t>
      </w:r>
    </w:p>
  </w:comment>
  <w:comment w:id="2" w:author="Codex 0914-v3 修订" w:date="2026-09-14T12:06:25Z">
    <w:p>
      <w:r>
        <w:t>v3：按现有代码补齐诱导边集合与边界边的处理，不再把邻域理解成只有中心入边的星形结构。</w:t>
      </w:r>
    </w:p>
  </w:comment>
  <w:comment w:id="3" w:author="Codex 0914-v3 修订" w:date="2026-09-14T12:06:25Z">
    <w:p>
      <w:r>
        <w:t>v3：这是全文回填协议的正确计数单位，未改写组件也会随整篇样本再次进入训练。</w:t>
      </w:r>
    </w:p>
  </w:comment>
  <w:comment w:id="4" w:author="Codex 0914-v3 修订" w:date="2026-09-14T12:06:25Z">
    <w:p>
      <w:r>
        <w:t>v3：条件分支只在类型闭合后开启，不应解释为直接纠正当前类型字段。</w:t>
      </w:r>
    </w:p>
  </w:comment>
  <w:comment w:id="5" w:author="Codex 0914-v3 修订" w:date="2026-09-14T12:06:25Z">
    <w:p>
      <w:r>
        <w:t>v3：解析失败不能交给图级BR；原表JSON错误变化的归因仍待核验。</w:t>
      </w:r>
    </w:p>
  </w:comment>
  <w:comment w:id="6" w:author="Codex 0914-v3 修订" w:date="2026-09-14T12:06:25Z">
    <w:p>
      <w:r>
        <w:t>v3：两个聚合指标不是独立语义证据，需做各自消融。</w:t>
      </w:r>
    </w:p>
  </w:comment>
  <w:comment w:id="7" w:author="Codex 0914-v3 修订" w:date="2026-09-14T12:06:25Z">
    <w:p>
      <w:r>
        <w:t>v3：DENS的源集合可能包含几乎全图节点，不宜宣称只修改一跳邻域。</w:t>
      </w:r>
    </w:p>
  </w:comment>
  <w:comment w:id="8" w:author="Codex 0914-v3 修订" w:date="2026-09-14T12:06:25Z">
    <w:p>
      <w:r>
        <w:t>v3：已用现有BR代码复现接受错误类型修改的构造反例；不代表真实测试频率。</w:t>
      </w:r>
    </w:p>
  </w:comment>
  <w:comment w:id="9" w:author="Codex 0914-v3 修订" w:date="2026-09-14T12:06:25Z">
    <w:p>
      <w:r>
        <w:t>v3：新接受条件及动作约束属于建议变体，未更改现有算法或以旧结果背书。</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0914-v3修订工作稿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