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1007-v2 修订稿　含非实测占位　勿送审</w:t>
      </w:r>
    </w:p>
    <w:p>
      <w:pPr>
        <w:spacing w:before="300"/>
        <w:ind w:firstLine="0"/>
        <w:jc w:val="center"/>
      </w:pPr>
      <w:r>
        <w:rPr>
          <w:rFonts w:ascii="Times New Roman" w:hAnsi="Times New Roman" w:eastAsia="Songti SC"/>
          <w:color w:val="000000"/>
        </w:rPr>
        <w:t>2026年10月</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2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面向结论组件的关系感知增强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本文以AAEC与CDCP为验证对象，保留CDCP原生多前提关系，通过独立方法对照、训练与推理组合、误改风险及计算成本分析区分两项研究的作用。前期成果用于说明研究基础，新增方法的验证框架已明确。当前版本所列P后缀数值均为人工占位，尚不构成新增方法的实测结论；方法性质也不保证真实抽取F1提高。</w:t>
      </w:r>
    </w:p>
    <w:p>
      <w:pPr>
        <w:ind w:firstLine="0"/>
      </w:pPr>
      <w:r>
        <w:rPr>
          <w:rFonts w:ascii="Times New Roman" w:hAnsi="Times New Roman" w:eastAsia="Songti SC"/>
          <w:color w:val="000000"/>
          <w:sz w:val="22"/>
        </w:rPr>
        <w:t>关键词：端到端论辩挖掘；关系感知增强；结论组件；依赖闭合；图修正；代价敏感评分</w:t>
      </w:r>
    </w:p>
    <w:p>
      <w:pPr>
        <w:pStyle w:val="FrontContents"/>
      </w:pPr>
      <w:r>
        <w:t>Abstract</w:t>
      </w:r>
      <w:bookmarkStart w:id="11" w:name="v2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is relation-aware augmentation learning for conclusion components.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The evaluation framework uses AAEC and CDCP, retaining CDCP multi-premise relations as native hyperedges. Independent comparisons, a training-by-inference factorial design, harmful-edit analysis, and cost measurements separate the two methods and their combined effects. Prior results establish the research basis. Values marked with a P suffix in this revision are manually specified placeholders, not measurements; empirical conclusions for the new methods remain pending.</w:t>
      </w:r>
    </w:p>
    <w:p>
      <w:pPr>
        <w:spacing w:line="320" w:lineRule="exact" w:after="100"/>
        <w:ind w:firstLine="0"/>
      </w:pPr>
      <w:r>
        <w:rPr>
          <w:rFonts w:ascii="Times New Roman" w:hAnsi="Times New Roman" w:eastAsia="Songti SC"/>
          <w:color w:val="000000"/>
          <w:sz w:val="22"/>
        </w:rPr>
        <w:t>Keywords: End-to-End Argument Mining; Relation-Aware Augmentation; Conclusion Components; Dependency Closure; Graph Repair; Cost-Sensitive Scoring</w:t>
      </w:r>
    </w:p>
    <w:p>
      <w:pPr>
        <w:pStyle w:val="FrontHeading"/>
      </w:pPr>
      <w:r>
        <w:t>目录</w:t>
      </w:r>
    </w:p>
    <w:p>
      <w:pPr>
        <w:pStyle w:val="TOC1"/>
      </w:pPr>
      <w:r>
        <w:fldChar w:fldCharType="begin"/>
      </w:r>
      <w:r>
        <w:instrText xml:space="preserve"> TOC \o "1-3" \h \z \t "Front Contents,1" </w:instrText>
      </w:r>
      <w:r>
        <w:fldChar w:fldCharType="separate"/>
      </w:r>
      <w:hyperlink w:anchor="v2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pPr>
      <w:hyperlink w:anchor="v2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pPr>
      <w:hyperlink w:anchor="v2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2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2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2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2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2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3</w:t>
        </w:r>
      </w:hyperlink>
    </w:p>
    <w:p>
      <w:pPr>
        <w:pStyle w:val="TOC3"/>
      </w:pPr>
      <w:hyperlink w:anchor="v2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4</w:t>
        </w:r>
      </w:hyperlink>
    </w:p>
    <w:p>
      <w:pPr>
        <w:pStyle w:val="TOC2"/>
      </w:pPr>
      <w:hyperlink w:anchor="v2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5</w:t>
        </w:r>
      </w:hyperlink>
    </w:p>
    <w:p>
      <w:pPr>
        <w:pStyle w:val="TOC3"/>
      </w:pPr>
      <w:hyperlink w:anchor="v2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2_21" w:history="1">
        <w:r>
          <w:rPr>
            <w:rFonts w:ascii="Times New Roman" w:hAnsi="Times New Roman" w:eastAsia="Songti SC"/>
            <w:color w:val="000000"/>
            <w:sz w:val="22"/>
          </w:rPr>
          <w:t>1.3.2 主要研究内容</w:t>
        </w:r>
        <w:r>
          <w:rPr>
            <w:rFonts w:ascii="Times New Roman" w:hAnsi="Times New Roman" w:eastAsia="Songti SC"/>
            <w:color w:val="000000"/>
            <w:sz w:val="22"/>
          </w:rPr>
          <w:tab/>
          <w:t>6</w:t>
        </w:r>
      </w:hyperlink>
    </w:p>
    <w:p>
      <w:pPr>
        <w:pStyle w:val="TOC3"/>
      </w:pPr>
      <w:hyperlink w:anchor="v2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2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pPr>
      <w:hyperlink w:anchor="v2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2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2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2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2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2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2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10</w:t>
        </w:r>
      </w:hyperlink>
    </w:p>
    <w:p>
      <w:pPr>
        <w:pStyle w:val="TOC2"/>
      </w:pPr>
      <w:hyperlink w:anchor="v2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2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2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2_34" w:history="1">
        <w:r>
          <w:rPr>
            <w:rFonts w:ascii="Times New Roman" w:hAnsi="Times New Roman" w:eastAsia="Songti SC"/>
            <w:color w:val="000000"/>
            <w:sz w:val="22"/>
          </w:rPr>
          <w:t>2.6 公共实验协议</w:t>
        </w:r>
        <w:r>
          <w:rPr>
            <w:rFonts w:ascii="Times New Roman" w:hAnsi="Times New Roman" w:eastAsia="Songti SC"/>
            <w:color w:val="000000"/>
            <w:sz w:val="22"/>
          </w:rPr>
          <w:tab/>
          <w:t>12</w:t>
        </w:r>
      </w:hyperlink>
    </w:p>
    <w:p>
      <w:pPr>
        <w:pStyle w:val="TOC3"/>
      </w:pPr>
      <w:hyperlink w:anchor="v2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12</w:t>
        </w:r>
      </w:hyperlink>
    </w:p>
    <w:p>
      <w:pPr>
        <w:pStyle w:val="TOC3"/>
      </w:pPr>
      <w:hyperlink w:anchor="v2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2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14</w:t>
        </w:r>
      </w:hyperlink>
    </w:p>
    <w:p>
      <w:pPr>
        <w:pStyle w:val="TOC2"/>
      </w:pPr>
      <w:hyperlink w:anchor="v2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2_39" w:history="1">
        <w:r>
          <w:rPr>
            <w:rFonts w:ascii="Times New Roman" w:hAnsi="Times New Roman" w:eastAsia="Songti SC"/>
            <w:color w:val="000000"/>
            <w:sz w:val="22"/>
          </w:rPr>
          <w:t>2.8 本章小结</w:t>
        </w:r>
        <w:r>
          <w:rPr>
            <w:rFonts w:ascii="Times New Roman" w:hAnsi="Times New Roman" w:eastAsia="Songti SC"/>
            <w:color w:val="000000"/>
            <w:sz w:val="22"/>
          </w:rPr>
          <w:tab/>
          <w:t>15</w:t>
        </w:r>
      </w:hyperlink>
    </w:p>
    <w:p>
      <w:pPr>
        <w:pStyle w:val="TOC1"/>
      </w:pPr>
      <w:hyperlink w:anchor="v2_40" w:history="1">
        <w:r>
          <w:rPr>
            <w:rFonts w:ascii="Times New Roman" w:hAnsi="Times New Roman" w:eastAsia="Songti SC"/>
            <w:color w:val="000000"/>
            <w:sz w:val="22"/>
          </w:rPr>
          <w:t>第三章 面向结论组件的关系感知增强学习</w:t>
        </w:r>
        <w:r>
          <w:rPr>
            <w:rFonts w:ascii="Times New Roman" w:hAnsi="Times New Roman" w:eastAsia="Songti SC"/>
            <w:color w:val="000000"/>
            <w:sz w:val="22"/>
          </w:rPr>
          <w:tab/>
          <w:t>16</w:t>
        </w:r>
      </w:hyperlink>
    </w:p>
    <w:p>
      <w:pPr>
        <w:pStyle w:val="TOC2"/>
      </w:pPr>
      <w:hyperlink w:anchor="v2_41" w:history="1">
        <w:r>
          <w:rPr>
            <w:rFonts w:ascii="Times New Roman" w:hAnsi="Times New Roman" w:eastAsia="Songti SC"/>
            <w:color w:val="000000"/>
            <w:sz w:val="22"/>
          </w:rPr>
          <w:t>3.1 引言</w:t>
        </w:r>
        <w:r>
          <w:rPr>
            <w:rFonts w:ascii="Times New Roman" w:hAnsi="Times New Roman" w:eastAsia="Songti SC"/>
            <w:color w:val="000000"/>
            <w:sz w:val="22"/>
          </w:rPr>
          <w:tab/>
          <w:t>16</w:t>
        </w:r>
      </w:hyperlink>
    </w:p>
    <w:p>
      <w:pPr>
        <w:pStyle w:val="TOC2"/>
      </w:pPr>
      <w:hyperlink w:anchor="v2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17</w:t>
        </w:r>
      </w:hyperlink>
    </w:p>
    <w:p>
      <w:pPr>
        <w:pStyle w:val="TOC3"/>
      </w:pPr>
      <w:hyperlink w:anchor="v2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17</w:t>
        </w:r>
      </w:hyperlink>
    </w:p>
    <w:p>
      <w:pPr>
        <w:pStyle w:val="TOC3"/>
      </w:pPr>
      <w:hyperlink w:anchor="v2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17</w:t>
        </w:r>
      </w:hyperlink>
    </w:p>
    <w:p>
      <w:pPr>
        <w:pStyle w:val="TOC2"/>
      </w:pPr>
      <w:hyperlink w:anchor="v2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18</w:t>
        </w:r>
      </w:hyperlink>
    </w:p>
    <w:p>
      <w:pPr>
        <w:pStyle w:val="TOC3"/>
      </w:pPr>
      <w:hyperlink w:anchor="v2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18</w:t>
        </w:r>
      </w:hyperlink>
    </w:p>
    <w:p>
      <w:pPr>
        <w:pStyle w:val="TOC3"/>
      </w:pPr>
      <w:hyperlink w:anchor="v2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20</w:t>
        </w:r>
      </w:hyperlink>
    </w:p>
    <w:p>
      <w:pPr>
        <w:pStyle w:val="TOC3"/>
      </w:pPr>
      <w:hyperlink w:anchor="v2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21</w:t>
        </w:r>
      </w:hyperlink>
    </w:p>
    <w:p>
      <w:pPr>
        <w:pStyle w:val="TOC2"/>
      </w:pPr>
      <w:hyperlink w:anchor="v2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21</w:t>
        </w:r>
      </w:hyperlink>
    </w:p>
    <w:p>
      <w:pPr>
        <w:pStyle w:val="TOC3"/>
      </w:pPr>
      <w:hyperlink w:anchor="v2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22</w:t>
        </w:r>
      </w:hyperlink>
    </w:p>
    <w:p>
      <w:pPr>
        <w:pStyle w:val="TOC3"/>
      </w:pPr>
      <w:hyperlink w:anchor="v2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23</w:t>
        </w:r>
      </w:hyperlink>
    </w:p>
    <w:p>
      <w:pPr>
        <w:pStyle w:val="TOC3"/>
      </w:pPr>
      <w:hyperlink w:anchor="v2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24</w:t>
        </w:r>
      </w:hyperlink>
    </w:p>
    <w:p>
      <w:pPr>
        <w:pStyle w:val="TOC2"/>
      </w:pPr>
      <w:hyperlink w:anchor="v2_53" w:history="1">
        <w:r>
          <w:rPr>
            <w:rFonts w:ascii="Times New Roman" w:hAnsi="Times New Roman" w:eastAsia="Songti SC"/>
            <w:color w:val="000000"/>
            <w:sz w:val="22"/>
          </w:rPr>
          <w:t>3.5 算法及性质</w:t>
        </w:r>
        <w:r>
          <w:rPr>
            <w:rFonts w:ascii="Times New Roman" w:hAnsi="Times New Roman" w:eastAsia="Songti SC"/>
            <w:color w:val="000000"/>
            <w:sz w:val="22"/>
          </w:rPr>
          <w:tab/>
          <w:t>25</w:t>
        </w:r>
      </w:hyperlink>
    </w:p>
    <w:p>
      <w:pPr>
        <w:pStyle w:val="TOC3"/>
      </w:pPr>
      <w:hyperlink w:anchor="v2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25</w:t>
        </w:r>
      </w:hyperlink>
    </w:p>
    <w:p>
      <w:pPr>
        <w:pStyle w:val="TOC3"/>
      </w:pPr>
      <w:hyperlink w:anchor="v2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26</w:t>
        </w:r>
      </w:hyperlink>
    </w:p>
    <w:p>
      <w:pPr>
        <w:pStyle w:val="TOC2"/>
      </w:pPr>
      <w:hyperlink w:anchor="v2_56" w:history="1">
        <w:r>
          <w:rPr>
            <w:rFonts w:ascii="Times New Roman" w:hAnsi="Times New Roman" w:eastAsia="Songti SC"/>
            <w:color w:val="000000"/>
            <w:sz w:val="22"/>
          </w:rPr>
          <w:t>3.6 实验与分析</w:t>
        </w:r>
        <w:r>
          <w:rPr>
            <w:rFonts w:ascii="Times New Roman" w:hAnsi="Times New Roman" w:eastAsia="Songti SC"/>
            <w:color w:val="000000"/>
            <w:sz w:val="22"/>
          </w:rPr>
          <w:tab/>
          <w:t>26</w:t>
        </w:r>
      </w:hyperlink>
    </w:p>
    <w:p>
      <w:pPr>
        <w:pStyle w:val="TOC3"/>
      </w:pPr>
      <w:hyperlink w:anchor="v2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26</w:t>
        </w:r>
      </w:hyperlink>
    </w:p>
    <w:p>
      <w:pPr>
        <w:pStyle w:val="TOC3"/>
      </w:pPr>
      <w:hyperlink w:anchor="v2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28</w:t>
        </w:r>
      </w:hyperlink>
    </w:p>
    <w:p>
      <w:pPr>
        <w:pStyle w:val="TOC3"/>
      </w:pPr>
      <w:hyperlink w:anchor="v2_59" w:history="1">
        <w:r>
          <w:rPr>
            <w:rFonts w:ascii="Times New Roman" w:hAnsi="Times New Roman" w:eastAsia="Songti SC"/>
            <w:color w:val="000000"/>
            <w:sz w:val="22"/>
          </w:rPr>
          <w:t>3.6.3 主结果及学习消融</w:t>
        </w:r>
        <w:r>
          <w:rPr>
            <w:rFonts w:ascii="Times New Roman" w:hAnsi="Times New Roman" w:eastAsia="Songti SC"/>
            <w:color w:val="000000"/>
            <w:sz w:val="22"/>
          </w:rPr>
          <w:tab/>
          <w:t>28</w:t>
        </w:r>
      </w:hyperlink>
    </w:p>
    <w:p>
      <w:pPr>
        <w:pStyle w:val="TOC3"/>
      </w:pPr>
      <w:hyperlink w:anchor="v2_60" w:history="1">
        <w:r>
          <w:rPr>
            <w:rFonts w:ascii="Times New Roman" w:hAnsi="Times New Roman" w:eastAsia="Songti SC"/>
            <w:color w:val="000000"/>
            <w:sz w:val="22"/>
          </w:rPr>
          <w:t>3.6.4 中心选择与线索依赖</w:t>
        </w:r>
        <w:r>
          <w:rPr>
            <w:rFonts w:ascii="Times New Roman" w:hAnsi="Times New Roman" w:eastAsia="Songti SC"/>
            <w:color w:val="000000"/>
            <w:sz w:val="22"/>
          </w:rPr>
          <w:tab/>
          <w:t>30</w:t>
        </w:r>
      </w:hyperlink>
    </w:p>
    <w:p>
      <w:pPr>
        <w:pStyle w:val="TOC3"/>
      </w:pPr>
      <w:hyperlink w:anchor="v2_61" w:history="1">
        <w:r>
          <w:rPr>
            <w:rFonts w:ascii="Times New Roman" w:hAnsi="Times New Roman" w:eastAsia="Songti SC"/>
            <w:color w:val="000000"/>
            <w:sz w:val="22"/>
          </w:rPr>
          <w:t>3.6.5 构造成本与案例分析</w:t>
        </w:r>
        <w:r>
          <w:rPr>
            <w:rFonts w:ascii="Times New Roman" w:hAnsi="Times New Roman" w:eastAsia="Songti SC"/>
            <w:color w:val="000000"/>
            <w:sz w:val="22"/>
          </w:rPr>
          <w:tab/>
          <w:t>30</w:t>
        </w:r>
      </w:hyperlink>
    </w:p>
    <w:p>
      <w:pPr>
        <w:pStyle w:val="TOC2"/>
      </w:pPr>
      <w:hyperlink w:anchor="v2_62" w:history="1">
        <w:r>
          <w:rPr>
            <w:rFonts w:ascii="Times New Roman" w:hAnsi="Times New Roman" w:eastAsia="Songti SC"/>
            <w:color w:val="000000"/>
            <w:sz w:val="22"/>
          </w:rPr>
          <w:t>3.7 本章小结</w:t>
        </w:r>
        <w:r>
          <w:rPr>
            <w:rFonts w:ascii="Times New Roman" w:hAnsi="Times New Roman" w:eastAsia="Songti SC"/>
            <w:color w:val="000000"/>
            <w:sz w:val="22"/>
          </w:rPr>
          <w:tab/>
          <w:t>31</w:t>
        </w:r>
      </w:hyperlink>
    </w:p>
    <w:p>
      <w:pPr>
        <w:pStyle w:val="TOC1"/>
      </w:pPr>
      <w:hyperlink w:anchor="v2_63"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32</w:t>
        </w:r>
      </w:hyperlink>
    </w:p>
    <w:p>
      <w:pPr>
        <w:pStyle w:val="TOC2"/>
      </w:pPr>
      <w:hyperlink w:anchor="v2_64" w:history="1">
        <w:r>
          <w:rPr>
            <w:rFonts w:ascii="Times New Roman" w:hAnsi="Times New Roman" w:eastAsia="Songti SC"/>
            <w:color w:val="000000"/>
            <w:sz w:val="22"/>
          </w:rPr>
          <w:t>4.1 引言</w:t>
        </w:r>
        <w:r>
          <w:rPr>
            <w:rFonts w:ascii="Times New Roman" w:hAnsi="Times New Roman" w:eastAsia="Songti SC"/>
            <w:color w:val="000000"/>
            <w:sz w:val="22"/>
          </w:rPr>
          <w:tab/>
          <w:t>32</w:t>
        </w:r>
      </w:hyperlink>
    </w:p>
    <w:p>
      <w:pPr>
        <w:pStyle w:val="TOC2"/>
      </w:pPr>
      <w:hyperlink w:anchor="v2_65"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34</w:t>
        </w:r>
      </w:hyperlink>
    </w:p>
    <w:p>
      <w:pPr>
        <w:pStyle w:val="TOC3"/>
      </w:pPr>
      <w:hyperlink w:anchor="v2_66"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34</w:t>
        </w:r>
      </w:hyperlink>
    </w:p>
    <w:p>
      <w:pPr>
        <w:pStyle w:val="TOC3"/>
      </w:pPr>
      <w:hyperlink w:anchor="v2_67"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34</w:t>
        </w:r>
      </w:hyperlink>
    </w:p>
    <w:p>
      <w:pPr>
        <w:pStyle w:val="TOC3"/>
      </w:pPr>
      <w:hyperlink w:anchor="v2_68"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35</w:t>
        </w:r>
      </w:hyperlink>
    </w:p>
    <w:p>
      <w:pPr>
        <w:pStyle w:val="TOC3"/>
      </w:pPr>
      <w:hyperlink w:anchor="v2_69"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35</w:t>
        </w:r>
      </w:hyperlink>
    </w:p>
    <w:p>
      <w:pPr>
        <w:pStyle w:val="TOC2"/>
      </w:pPr>
      <w:hyperlink w:anchor="v2_70"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36</w:t>
        </w:r>
      </w:hyperlink>
    </w:p>
    <w:p>
      <w:pPr>
        <w:pStyle w:val="TOC3"/>
      </w:pPr>
      <w:hyperlink w:anchor="v2_71"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36</w:t>
        </w:r>
      </w:hyperlink>
    </w:p>
    <w:p>
      <w:pPr>
        <w:pStyle w:val="TOC3"/>
      </w:pPr>
      <w:hyperlink w:anchor="v2_72"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36</w:t>
        </w:r>
      </w:hyperlink>
    </w:p>
    <w:p>
      <w:pPr>
        <w:pStyle w:val="TOC2"/>
      </w:pPr>
      <w:hyperlink w:anchor="v2_73"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37</w:t>
        </w:r>
      </w:hyperlink>
    </w:p>
    <w:p>
      <w:pPr>
        <w:pStyle w:val="TOC3"/>
      </w:pPr>
      <w:hyperlink w:anchor="v2_74"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37</w:t>
        </w:r>
      </w:hyperlink>
    </w:p>
    <w:p>
      <w:pPr>
        <w:pStyle w:val="TOC3"/>
      </w:pPr>
      <w:hyperlink w:anchor="v2_75"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38</w:t>
        </w:r>
      </w:hyperlink>
    </w:p>
    <w:p>
      <w:pPr>
        <w:pStyle w:val="TOC3"/>
      </w:pPr>
      <w:hyperlink w:anchor="v2_76" w:history="1">
        <w:r>
          <w:rPr>
            <w:rFonts w:ascii="Times New Roman" w:hAnsi="Times New Roman" w:eastAsia="Songti SC"/>
            <w:color w:val="000000"/>
            <w:sz w:val="22"/>
          </w:rPr>
          <w:t>4.4.3 固定计数效用</w:t>
        </w:r>
        <w:r>
          <w:rPr>
            <w:rFonts w:ascii="Times New Roman" w:hAnsi="Times New Roman" w:eastAsia="Songti SC"/>
            <w:color w:val="000000"/>
            <w:sz w:val="22"/>
          </w:rPr>
          <w:tab/>
          <w:t>38</w:t>
        </w:r>
      </w:hyperlink>
    </w:p>
    <w:p>
      <w:pPr>
        <w:pStyle w:val="TOC3"/>
      </w:pPr>
      <w:hyperlink w:anchor="v2_77"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39</w:t>
        </w:r>
      </w:hyperlink>
    </w:p>
    <w:p>
      <w:pPr>
        <w:pStyle w:val="TOC2"/>
      </w:pPr>
      <w:hyperlink w:anchor="v2_78" w:history="1">
        <w:r>
          <w:rPr>
            <w:rFonts w:ascii="Times New Roman" w:hAnsi="Times New Roman" w:eastAsia="Songti SC"/>
            <w:color w:val="000000"/>
            <w:sz w:val="22"/>
          </w:rPr>
          <w:t>4.5 求解算法及性质</w:t>
        </w:r>
        <w:r>
          <w:rPr>
            <w:rFonts w:ascii="Times New Roman" w:hAnsi="Times New Roman" w:eastAsia="Songti SC"/>
            <w:color w:val="000000"/>
            <w:sz w:val="22"/>
          </w:rPr>
          <w:tab/>
          <w:t>39</w:t>
        </w:r>
      </w:hyperlink>
    </w:p>
    <w:p>
      <w:pPr>
        <w:pStyle w:val="TOC3"/>
      </w:pPr>
      <w:hyperlink w:anchor="v2_79"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40</w:t>
        </w:r>
      </w:hyperlink>
    </w:p>
    <w:p>
      <w:pPr>
        <w:pStyle w:val="TOC3"/>
      </w:pPr>
      <w:hyperlink w:anchor="v2_80"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40</w:t>
        </w:r>
      </w:hyperlink>
    </w:p>
    <w:p>
      <w:pPr>
        <w:pStyle w:val="TOC3"/>
      </w:pPr>
      <w:hyperlink w:anchor="v2_81"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43</w:t>
        </w:r>
      </w:hyperlink>
    </w:p>
    <w:p>
      <w:pPr>
        <w:pStyle w:val="TOC3"/>
      </w:pPr>
      <w:hyperlink w:anchor="v2_82"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43</w:t>
        </w:r>
      </w:hyperlink>
    </w:p>
    <w:p>
      <w:pPr>
        <w:pStyle w:val="TOC3"/>
      </w:pPr>
      <w:hyperlink w:anchor="v2_83"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43</w:t>
        </w:r>
      </w:hyperlink>
    </w:p>
    <w:p>
      <w:pPr>
        <w:pStyle w:val="TOC2"/>
      </w:pPr>
      <w:hyperlink w:anchor="v2_84" w:history="1">
        <w:r>
          <w:rPr>
            <w:rFonts w:ascii="Times New Roman" w:hAnsi="Times New Roman" w:eastAsia="Songti SC"/>
            <w:color w:val="000000"/>
            <w:sz w:val="22"/>
          </w:rPr>
          <w:t>4.6 实验与分析</w:t>
        </w:r>
        <w:r>
          <w:rPr>
            <w:rFonts w:ascii="Times New Roman" w:hAnsi="Times New Roman" w:eastAsia="Songti SC"/>
            <w:color w:val="000000"/>
            <w:sz w:val="22"/>
          </w:rPr>
          <w:tab/>
          <w:t>44</w:t>
        </w:r>
      </w:hyperlink>
    </w:p>
    <w:p>
      <w:pPr>
        <w:pStyle w:val="TOC3"/>
      </w:pPr>
      <w:hyperlink w:anchor="v2_85"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44</w:t>
        </w:r>
      </w:hyperlink>
    </w:p>
    <w:p>
      <w:pPr>
        <w:pStyle w:val="TOC3"/>
      </w:pPr>
      <w:hyperlink w:anchor="v2_86" w:history="1">
        <w:r>
          <w:rPr>
            <w:rFonts w:ascii="Times New Roman" w:hAnsi="Times New Roman" w:eastAsia="Songti SC"/>
            <w:color w:val="000000"/>
            <w:sz w:val="22"/>
          </w:rPr>
          <w:t>4.6.2 组件与关系联合修正的独立作用</w:t>
        </w:r>
        <w:r>
          <w:rPr>
            <w:rFonts w:ascii="Times New Roman" w:hAnsi="Times New Roman" w:eastAsia="Songti SC"/>
            <w:color w:val="000000"/>
            <w:sz w:val="22"/>
          </w:rPr>
          <w:tab/>
          <w:t>47</w:t>
        </w:r>
      </w:hyperlink>
    </w:p>
    <w:p>
      <w:pPr>
        <w:pStyle w:val="TOC3"/>
      </w:pPr>
      <w:hyperlink w:anchor="v2_87" w:history="1">
        <w:r>
          <w:rPr>
            <w:rFonts w:ascii="Times New Roman" w:hAnsi="Times New Roman" w:eastAsia="Songti SC"/>
            <w:color w:val="000000"/>
            <w:sz w:val="22"/>
          </w:rPr>
          <w:t>4.6.3 候选覆盖与预算内可达性</w:t>
        </w:r>
        <w:r>
          <w:rPr>
            <w:rFonts w:ascii="Times New Roman" w:hAnsi="Times New Roman" w:eastAsia="Songti SC"/>
            <w:color w:val="000000"/>
            <w:sz w:val="22"/>
          </w:rPr>
          <w:tab/>
          <w:t>48</w:t>
        </w:r>
      </w:hyperlink>
    </w:p>
    <w:p>
      <w:pPr>
        <w:pStyle w:val="TOC3"/>
      </w:pPr>
      <w:hyperlink w:anchor="v2_88" w:history="1">
        <w:r>
          <w:rPr>
            <w:rFonts w:ascii="Times New Roman" w:hAnsi="Times New Roman" w:eastAsia="Songti SC"/>
            <w:color w:val="000000"/>
            <w:sz w:val="22"/>
          </w:rPr>
          <w:t>4.6.4 完整对象评分的可靠性</w:t>
        </w:r>
        <w:r>
          <w:rPr>
            <w:rFonts w:ascii="Times New Roman" w:hAnsi="Times New Roman" w:eastAsia="Songti SC"/>
            <w:color w:val="000000"/>
            <w:sz w:val="22"/>
          </w:rPr>
          <w:tab/>
          <w:t>49</w:t>
        </w:r>
      </w:hyperlink>
    </w:p>
    <w:p>
      <w:pPr>
        <w:pStyle w:val="TOC3"/>
      </w:pPr>
      <w:hyperlink w:anchor="v2_89" w:history="1">
        <w:r>
          <w:rPr>
            <w:rFonts w:ascii="Times New Roman" w:hAnsi="Times New Roman" w:eastAsia="Songti SC"/>
            <w:color w:val="000000"/>
            <w:sz w:val="22"/>
          </w:rPr>
          <w:t>4.6.5 误改风险与计算预算</w:t>
        </w:r>
        <w:r>
          <w:rPr>
            <w:rFonts w:ascii="Times New Roman" w:hAnsi="Times New Roman" w:eastAsia="Songti SC"/>
            <w:color w:val="000000"/>
            <w:sz w:val="22"/>
          </w:rPr>
          <w:tab/>
          <w:t>50</w:t>
        </w:r>
      </w:hyperlink>
    </w:p>
    <w:p>
      <w:pPr>
        <w:pStyle w:val="TOC3"/>
      </w:pPr>
      <w:hyperlink w:anchor="v2_90" w:history="1">
        <w:r>
          <w:rPr>
            <w:rFonts w:ascii="Times New Roman" w:hAnsi="Times New Roman" w:eastAsia="Songti SC"/>
            <w:color w:val="000000"/>
            <w:sz w:val="22"/>
          </w:rPr>
          <w:t>4.6.6 真实案例的对照与失败分析</w:t>
        </w:r>
        <w:r>
          <w:rPr>
            <w:rFonts w:ascii="Times New Roman" w:hAnsi="Times New Roman" w:eastAsia="Songti SC"/>
            <w:color w:val="000000"/>
            <w:sz w:val="22"/>
          </w:rPr>
          <w:tab/>
          <w:t>51</w:t>
        </w:r>
      </w:hyperlink>
    </w:p>
    <w:p>
      <w:pPr>
        <w:pStyle w:val="TOC2"/>
      </w:pPr>
      <w:hyperlink w:anchor="v2_91" w:history="1">
        <w:r>
          <w:rPr>
            <w:rFonts w:ascii="Times New Roman" w:hAnsi="Times New Roman" w:eastAsia="Songti SC"/>
            <w:color w:val="000000"/>
            <w:sz w:val="22"/>
          </w:rPr>
          <w:t>4.7 本章小结</w:t>
        </w:r>
        <w:r>
          <w:rPr>
            <w:rFonts w:ascii="Times New Roman" w:hAnsi="Times New Roman" w:eastAsia="Songti SC"/>
            <w:color w:val="000000"/>
            <w:sz w:val="22"/>
          </w:rPr>
          <w:tab/>
          <w:t>53</w:t>
        </w:r>
      </w:hyperlink>
    </w:p>
    <w:p>
      <w:pPr>
        <w:pStyle w:val="TOC1"/>
      </w:pPr>
      <w:hyperlink w:anchor="v2_92"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54</w:t>
        </w:r>
      </w:hyperlink>
    </w:p>
    <w:p>
      <w:pPr>
        <w:pStyle w:val="TOC2"/>
      </w:pPr>
      <w:hyperlink w:anchor="v2_93" w:history="1">
        <w:r>
          <w:rPr>
            <w:rFonts w:ascii="Times New Roman" w:hAnsi="Times New Roman" w:eastAsia="Songti SC"/>
            <w:color w:val="000000"/>
            <w:sz w:val="22"/>
          </w:rPr>
          <w:t>5.1 两阶段组合设计</w:t>
        </w:r>
        <w:r>
          <w:rPr>
            <w:rFonts w:ascii="Times New Roman" w:hAnsi="Times New Roman" w:eastAsia="Songti SC"/>
            <w:color w:val="000000"/>
            <w:sz w:val="22"/>
          </w:rPr>
          <w:tab/>
          <w:t>54</w:t>
        </w:r>
      </w:hyperlink>
    </w:p>
    <w:p>
      <w:pPr>
        <w:pStyle w:val="TOC3"/>
      </w:pPr>
      <w:hyperlink w:anchor="v2_94" w:history="1">
        <w:r>
          <w:rPr>
            <w:rFonts w:ascii="Times New Roman" w:hAnsi="Times New Roman" w:eastAsia="Songti SC"/>
            <w:color w:val="000000"/>
            <w:sz w:val="22"/>
          </w:rPr>
          <w:t>5.1.1 训练与推理开关</w:t>
        </w:r>
        <w:r>
          <w:rPr>
            <w:rFonts w:ascii="Times New Roman" w:hAnsi="Times New Roman" w:eastAsia="Songti SC"/>
            <w:color w:val="000000"/>
            <w:sz w:val="22"/>
          </w:rPr>
          <w:tab/>
          <w:t>54</w:t>
        </w:r>
      </w:hyperlink>
    </w:p>
    <w:p>
      <w:pPr>
        <w:pStyle w:val="TOC3"/>
      </w:pPr>
      <w:hyperlink w:anchor="v2_95" w:history="1">
        <w:r>
          <w:rPr>
            <w:rFonts w:ascii="Times New Roman" w:hAnsi="Times New Roman" w:eastAsia="Songti SC"/>
            <w:color w:val="000000"/>
            <w:sz w:val="22"/>
          </w:rPr>
          <w:t>5.1.2 主效应与相互作用</w:t>
        </w:r>
        <w:r>
          <w:rPr>
            <w:rFonts w:ascii="Times New Roman" w:hAnsi="Times New Roman" w:eastAsia="Songti SC"/>
            <w:color w:val="000000"/>
            <w:sz w:val="22"/>
          </w:rPr>
          <w:tab/>
          <w:t>54</w:t>
        </w:r>
      </w:hyperlink>
    </w:p>
    <w:p>
      <w:pPr>
        <w:pStyle w:val="TOC2"/>
      </w:pPr>
      <w:hyperlink w:anchor="v2_96" w:history="1">
        <w:r>
          <w:rPr>
            <w:rFonts w:ascii="Times New Roman" w:hAnsi="Times New Roman" w:eastAsia="Songti SC"/>
            <w:color w:val="000000"/>
            <w:sz w:val="22"/>
          </w:rPr>
          <w:t>5.2 组合表现与误差分析</w:t>
        </w:r>
        <w:r>
          <w:rPr>
            <w:rFonts w:ascii="Times New Roman" w:hAnsi="Times New Roman" w:eastAsia="Songti SC"/>
            <w:color w:val="000000"/>
            <w:sz w:val="22"/>
          </w:rPr>
          <w:tab/>
          <w:t>55</w:t>
        </w:r>
      </w:hyperlink>
    </w:p>
    <w:p>
      <w:pPr>
        <w:pStyle w:val="TOC3"/>
      </w:pPr>
      <w:hyperlink w:anchor="v2_97" w:history="1">
        <w:r>
          <w:rPr>
            <w:rFonts w:ascii="Times New Roman" w:hAnsi="Times New Roman" w:eastAsia="Songti SC"/>
            <w:color w:val="000000"/>
            <w:sz w:val="22"/>
          </w:rPr>
          <w:t>5.2.1 四格结果与解释范围</w:t>
        </w:r>
        <w:r>
          <w:rPr>
            <w:rFonts w:ascii="Times New Roman" w:hAnsi="Times New Roman" w:eastAsia="Songti SC"/>
            <w:color w:val="000000"/>
            <w:sz w:val="22"/>
          </w:rPr>
          <w:tab/>
          <w:t>55</w:t>
        </w:r>
      </w:hyperlink>
    </w:p>
    <w:p>
      <w:pPr>
        <w:pStyle w:val="TOC3"/>
      </w:pPr>
      <w:hyperlink w:anchor="v2_98" w:history="1">
        <w:r>
          <w:rPr>
            <w:rFonts w:ascii="Times New Roman" w:hAnsi="Times New Roman" w:eastAsia="Songti SC"/>
            <w:color w:val="000000"/>
            <w:sz w:val="22"/>
          </w:rPr>
          <w:t>5.2.2 组合后的错误结构</w:t>
        </w:r>
        <w:r>
          <w:rPr>
            <w:rFonts w:ascii="Times New Roman" w:hAnsi="Times New Roman" w:eastAsia="Songti SC"/>
            <w:color w:val="000000"/>
            <w:sz w:val="22"/>
          </w:rPr>
          <w:tab/>
          <w:t>56</w:t>
        </w:r>
      </w:hyperlink>
    </w:p>
    <w:p>
      <w:pPr>
        <w:pStyle w:val="TOC2"/>
      </w:pPr>
      <w:hyperlink w:anchor="v2_99" w:history="1">
        <w:r>
          <w:rPr>
            <w:rFonts w:ascii="Times New Roman" w:hAnsi="Times New Roman" w:eastAsia="Songti SC"/>
            <w:color w:val="000000"/>
            <w:sz w:val="22"/>
          </w:rPr>
          <w:t>5.3 整体成本与方法互补性</w:t>
        </w:r>
        <w:r>
          <w:rPr>
            <w:rFonts w:ascii="Times New Roman" w:hAnsi="Times New Roman" w:eastAsia="Songti SC"/>
            <w:color w:val="000000"/>
            <w:sz w:val="22"/>
          </w:rPr>
          <w:tab/>
          <w:t>56</w:t>
        </w:r>
      </w:hyperlink>
    </w:p>
    <w:p>
      <w:pPr>
        <w:pStyle w:val="TOC3"/>
      </w:pPr>
      <w:hyperlink w:anchor="v2_100" w:history="1">
        <w:r>
          <w:rPr>
            <w:rFonts w:ascii="Times New Roman" w:hAnsi="Times New Roman" w:eastAsia="Songti SC"/>
            <w:color w:val="000000"/>
            <w:sz w:val="22"/>
          </w:rPr>
          <w:t>5.3.1 训练投入与推理开销</w:t>
        </w:r>
        <w:r>
          <w:rPr>
            <w:rFonts w:ascii="Times New Roman" w:hAnsi="Times New Roman" w:eastAsia="Songti SC"/>
            <w:color w:val="000000"/>
            <w:sz w:val="22"/>
          </w:rPr>
          <w:tab/>
          <w:t>56</w:t>
        </w:r>
      </w:hyperlink>
    </w:p>
    <w:p>
      <w:pPr>
        <w:pStyle w:val="TOC3"/>
      </w:pPr>
      <w:hyperlink w:anchor="v2_101" w:history="1">
        <w:r>
          <w:rPr>
            <w:rFonts w:ascii="Times New Roman" w:hAnsi="Times New Roman" w:eastAsia="Songti SC"/>
            <w:color w:val="000000"/>
            <w:sz w:val="22"/>
          </w:rPr>
          <w:t>5.3.2 质量与成本的选择条件</w:t>
        </w:r>
        <w:r>
          <w:rPr>
            <w:rFonts w:ascii="Times New Roman" w:hAnsi="Times New Roman" w:eastAsia="Songti SC"/>
            <w:color w:val="000000"/>
            <w:sz w:val="22"/>
          </w:rPr>
          <w:tab/>
          <w:t>56</w:t>
        </w:r>
      </w:hyperlink>
    </w:p>
    <w:p>
      <w:pPr>
        <w:pStyle w:val="TOC2"/>
      </w:pPr>
      <w:hyperlink w:anchor="v2_102" w:history="1">
        <w:r>
          <w:rPr>
            <w:rFonts w:ascii="Times New Roman" w:hAnsi="Times New Roman" w:eastAsia="Songti SC"/>
            <w:color w:val="000000"/>
            <w:sz w:val="22"/>
          </w:rPr>
          <w:t>5.4 跨语料适用性</w:t>
        </w:r>
        <w:r>
          <w:rPr>
            <w:rFonts w:ascii="Times New Roman" w:hAnsi="Times New Roman" w:eastAsia="Songti SC"/>
            <w:color w:val="000000"/>
            <w:sz w:val="22"/>
          </w:rPr>
          <w:tab/>
          <w:t>57</w:t>
        </w:r>
      </w:hyperlink>
    </w:p>
    <w:p>
      <w:pPr>
        <w:pStyle w:val="TOC3"/>
      </w:pPr>
      <w:hyperlink w:anchor="v2_103" w:history="1">
        <w:r>
          <w:rPr>
            <w:rFonts w:ascii="Times New Roman" w:hAnsi="Times New Roman" w:eastAsia="Songti SC"/>
            <w:color w:val="000000"/>
            <w:sz w:val="22"/>
          </w:rPr>
          <w:t>5.4.1 标签映射与迁移设定</w:t>
        </w:r>
        <w:r>
          <w:rPr>
            <w:rFonts w:ascii="Times New Roman" w:hAnsi="Times New Roman" w:eastAsia="Songti SC"/>
            <w:color w:val="000000"/>
            <w:sz w:val="22"/>
          </w:rPr>
          <w:tab/>
          <w:t>57</w:t>
        </w:r>
      </w:hyperlink>
    </w:p>
    <w:p>
      <w:pPr>
        <w:pStyle w:val="TOC3"/>
      </w:pPr>
      <w:hyperlink w:anchor="v2_104" w:history="1">
        <w:r>
          <w:rPr>
            <w:rFonts w:ascii="Times New Roman" w:hAnsi="Times New Roman" w:eastAsia="Songti SC"/>
            <w:color w:val="000000"/>
            <w:sz w:val="22"/>
          </w:rPr>
          <w:t>5.4.2 域外错误与适用边界</w:t>
        </w:r>
        <w:r>
          <w:rPr>
            <w:rFonts w:ascii="Times New Roman" w:hAnsi="Times New Roman" w:eastAsia="Songti SC"/>
            <w:color w:val="000000"/>
            <w:sz w:val="22"/>
          </w:rPr>
          <w:tab/>
          <w:t>57</w:t>
        </w:r>
      </w:hyperlink>
    </w:p>
    <w:p>
      <w:pPr>
        <w:pStyle w:val="TOC2"/>
      </w:pPr>
      <w:hyperlink w:anchor="v2_105" w:history="1">
        <w:r>
          <w:rPr>
            <w:rFonts w:ascii="Times New Roman" w:hAnsi="Times New Roman" w:eastAsia="Songti SC"/>
            <w:color w:val="000000"/>
            <w:sz w:val="22"/>
          </w:rPr>
          <w:t>5.5 本章小结</w:t>
        </w:r>
        <w:r>
          <w:rPr>
            <w:rFonts w:ascii="Times New Roman" w:hAnsi="Times New Roman" w:eastAsia="Songti SC"/>
            <w:color w:val="000000"/>
            <w:sz w:val="22"/>
          </w:rPr>
          <w:tab/>
          <w:t>57</w:t>
        </w:r>
      </w:hyperlink>
    </w:p>
    <w:p>
      <w:pPr>
        <w:pStyle w:val="TOC1"/>
      </w:pPr>
      <w:hyperlink w:anchor="v2_106" w:history="1">
        <w:r>
          <w:rPr>
            <w:rFonts w:ascii="Times New Roman" w:hAnsi="Times New Roman" w:eastAsia="Songti SC"/>
            <w:color w:val="000000"/>
            <w:sz w:val="22"/>
          </w:rPr>
          <w:t>第六章 总结与展望</w:t>
        </w:r>
        <w:r>
          <w:rPr>
            <w:rFonts w:ascii="Times New Roman" w:hAnsi="Times New Roman" w:eastAsia="Songti SC"/>
            <w:color w:val="000000"/>
            <w:sz w:val="22"/>
          </w:rPr>
          <w:tab/>
          <w:t>58</w:t>
        </w:r>
      </w:hyperlink>
    </w:p>
    <w:p>
      <w:pPr>
        <w:pStyle w:val="TOC2"/>
      </w:pPr>
      <w:hyperlink w:anchor="v2_107" w:history="1">
        <w:r>
          <w:rPr>
            <w:rFonts w:ascii="Times New Roman" w:hAnsi="Times New Roman" w:eastAsia="Songti SC"/>
            <w:color w:val="000000"/>
            <w:sz w:val="22"/>
          </w:rPr>
          <w:t>6.1 研究总结</w:t>
        </w:r>
        <w:r>
          <w:rPr>
            <w:rFonts w:ascii="Times New Roman" w:hAnsi="Times New Roman" w:eastAsia="Songti SC"/>
            <w:color w:val="000000"/>
            <w:sz w:val="22"/>
          </w:rPr>
          <w:tab/>
          <w:t>58</w:t>
        </w:r>
      </w:hyperlink>
    </w:p>
    <w:p>
      <w:pPr>
        <w:pStyle w:val="TOC2"/>
      </w:pPr>
      <w:hyperlink w:anchor="v2_108" w:history="1">
        <w:r>
          <w:rPr>
            <w:rFonts w:ascii="Times New Roman" w:hAnsi="Times New Roman" w:eastAsia="Songti SC"/>
            <w:color w:val="000000"/>
            <w:sz w:val="22"/>
          </w:rPr>
          <w:t>6.2 研究局限</w:t>
        </w:r>
        <w:r>
          <w:rPr>
            <w:rFonts w:ascii="Times New Roman" w:hAnsi="Times New Roman" w:eastAsia="Songti SC"/>
            <w:color w:val="000000"/>
            <w:sz w:val="22"/>
          </w:rPr>
          <w:tab/>
          <w:t>58</w:t>
        </w:r>
      </w:hyperlink>
    </w:p>
    <w:p>
      <w:pPr>
        <w:pStyle w:val="TOC3"/>
      </w:pPr>
      <w:hyperlink w:anchor="v2_109" w:history="1">
        <w:r>
          <w:rPr>
            <w:rFonts w:ascii="Times New Roman" w:hAnsi="Times New Roman" w:eastAsia="Songti SC"/>
            <w:color w:val="000000"/>
            <w:sz w:val="22"/>
          </w:rPr>
          <w:t>6.2.1 训练监督的可靠性</w:t>
        </w:r>
        <w:r>
          <w:rPr>
            <w:rFonts w:ascii="Times New Roman" w:hAnsi="Times New Roman" w:eastAsia="Songti SC"/>
            <w:color w:val="000000"/>
            <w:sz w:val="22"/>
          </w:rPr>
          <w:tab/>
          <w:t>58</w:t>
        </w:r>
      </w:hyperlink>
    </w:p>
    <w:p>
      <w:pPr>
        <w:pStyle w:val="TOC3"/>
      </w:pPr>
      <w:hyperlink w:anchor="v2_110" w:history="1">
        <w:r>
          <w:rPr>
            <w:rFonts w:ascii="Times New Roman" w:hAnsi="Times New Roman" w:eastAsia="Songti SC"/>
            <w:color w:val="000000"/>
            <w:sz w:val="22"/>
          </w:rPr>
          <w:t>6.2.2 候选与决策的限制</w:t>
        </w:r>
        <w:r>
          <w:rPr>
            <w:rFonts w:ascii="Times New Roman" w:hAnsi="Times New Roman" w:eastAsia="Songti SC"/>
            <w:color w:val="000000"/>
            <w:sz w:val="22"/>
          </w:rPr>
          <w:tab/>
          <w:t>59</w:t>
        </w:r>
      </w:hyperlink>
    </w:p>
    <w:p>
      <w:pPr>
        <w:pStyle w:val="TOC3"/>
      </w:pPr>
      <w:hyperlink w:anchor="v2_111" w:history="1">
        <w:r>
          <w:rPr>
            <w:rFonts w:ascii="Times New Roman" w:hAnsi="Times New Roman" w:eastAsia="Songti SC"/>
            <w:color w:val="000000"/>
            <w:sz w:val="22"/>
          </w:rPr>
          <w:t>6.2.3 证据与适用范围</w:t>
        </w:r>
        <w:r>
          <w:rPr>
            <w:rFonts w:ascii="Times New Roman" w:hAnsi="Times New Roman" w:eastAsia="Songti SC"/>
            <w:color w:val="000000"/>
            <w:sz w:val="22"/>
          </w:rPr>
          <w:tab/>
          <w:t>59</w:t>
        </w:r>
      </w:hyperlink>
    </w:p>
    <w:p>
      <w:pPr>
        <w:pStyle w:val="TOC2"/>
      </w:pPr>
      <w:hyperlink w:anchor="v2_112" w:history="1">
        <w:r>
          <w:rPr>
            <w:rFonts w:ascii="Times New Roman" w:hAnsi="Times New Roman" w:eastAsia="Songti SC"/>
            <w:color w:val="000000"/>
            <w:sz w:val="22"/>
          </w:rPr>
          <w:t>6.3 后续研究方向</w:t>
        </w:r>
        <w:r>
          <w:rPr>
            <w:rFonts w:ascii="Times New Roman" w:hAnsi="Times New Roman" w:eastAsia="Songti SC"/>
            <w:color w:val="000000"/>
            <w:sz w:val="22"/>
          </w:rPr>
          <w:tab/>
          <w:t>59</w:t>
        </w:r>
      </w:hyperlink>
    </w:p>
    <w:p>
      <w:pPr>
        <w:pStyle w:val="TOC1"/>
      </w:pPr>
      <w:hyperlink w:anchor="v2_113" w:history="1">
        <w:r>
          <w:rPr>
            <w:rFonts w:ascii="Times New Roman" w:hAnsi="Times New Roman" w:eastAsia="Songti SC"/>
            <w:color w:val="000000"/>
            <w:sz w:val="22"/>
          </w:rPr>
          <w:t>参考文献</w:t>
        </w:r>
        <w:r>
          <w:rPr>
            <w:rFonts w:ascii="Times New Roman" w:hAnsi="Times New Roman" w:eastAsia="Songti SC"/>
            <w:color w:val="000000"/>
            <w:sz w:val="22"/>
          </w:rPr>
          <w:tab/>
          <w:t>60</w:t>
        </w:r>
      </w:hyperlink>
    </w:p>
    <w:p>
      <w:pPr>
        <w:pStyle w:val="TOC1"/>
      </w:pPr>
      <w:hyperlink w:anchor="v2_114"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64</w:t>
        </w:r>
      </w:hyperlink>
    </w:p>
    <w:p>
      <w:pPr>
        <w:pStyle w:val="TOC2"/>
      </w:pPr>
      <w:hyperlink w:anchor="v2_115" w:history="1">
        <w:r>
          <w:rPr>
            <w:rFonts w:ascii="Times New Roman" w:hAnsi="Times New Roman" w:eastAsia="Songti SC"/>
            <w:color w:val="000000"/>
            <w:sz w:val="22"/>
          </w:rPr>
          <w:t>A.1 坐标与结构数据</w:t>
        </w:r>
        <w:r>
          <w:rPr>
            <w:rFonts w:ascii="Times New Roman" w:hAnsi="Times New Roman" w:eastAsia="Songti SC"/>
            <w:color w:val="000000"/>
            <w:sz w:val="22"/>
          </w:rPr>
          <w:tab/>
          <w:t>64</w:t>
        </w:r>
      </w:hyperlink>
    </w:p>
    <w:p>
      <w:pPr>
        <w:pStyle w:val="TOC2"/>
      </w:pPr>
      <w:hyperlink w:anchor="v2_116" w:history="1">
        <w:r>
          <w:rPr>
            <w:rFonts w:ascii="Times New Roman" w:hAnsi="Times New Roman" w:eastAsia="Songti SC"/>
            <w:color w:val="000000"/>
            <w:sz w:val="22"/>
          </w:rPr>
          <w:t>A.2 配置与结果的关联</w:t>
        </w:r>
        <w:r>
          <w:rPr>
            <w:rFonts w:ascii="Times New Roman" w:hAnsi="Times New Roman" w:eastAsia="Songti SC"/>
            <w:color w:val="000000"/>
            <w:sz w:val="22"/>
          </w:rPr>
          <w:tab/>
          <w:t>64</w:t>
        </w:r>
      </w:hyperlink>
    </w:p>
    <w:p>
      <w:pPr>
        <w:pStyle w:val="TOC2"/>
      </w:pPr>
      <w:hyperlink w:anchor="v2_117"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65</w:t>
        </w:r>
      </w:hyperlink>
    </w:p>
    <w:p>
      <w:pPr>
        <w:pStyle w:val="TOC1"/>
      </w:pPr>
      <w:hyperlink w:anchor="v2_118"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66</w:t>
        </w:r>
      </w:hyperlink>
    </w:p>
    <w:p>
      <w:pPr>
        <w:pStyle w:val="TOC2"/>
      </w:pPr>
      <w:hyperlink w:anchor="v2_119" w:history="1">
        <w:r>
          <w:rPr>
            <w:rFonts w:ascii="Times New Roman" w:hAnsi="Times New Roman" w:eastAsia="Songti SC"/>
            <w:color w:val="000000"/>
            <w:sz w:val="22"/>
          </w:rPr>
          <w:t>B.1 数据与模型身份</w:t>
        </w:r>
        <w:r>
          <w:rPr>
            <w:rFonts w:ascii="Times New Roman" w:hAnsi="Times New Roman" w:eastAsia="Songti SC"/>
            <w:color w:val="000000"/>
            <w:sz w:val="22"/>
          </w:rPr>
          <w:tab/>
          <w:t>66</w:t>
        </w:r>
      </w:hyperlink>
    </w:p>
    <w:p>
      <w:pPr>
        <w:pStyle w:val="TOC2"/>
      </w:pPr>
      <w:hyperlink w:anchor="v2_120" w:history="1">
        <w:r>
          <w:rPr>
            <w:rFonts w:ascii="Times New Roman" w:hAnsi="Times New Roman" w:eastAsia="Songti SC"/>
            <w:color w:val="000000"/>
            <w:sz w:val="22"/>
          </w:rPr>
          <w:t>B.2 评分与接受轨迹</w:t>
        </w:r>
        <w:r>
          <w:rPr>
            <w:rFonts w:ascii="Times New Roman" w:hAnsi="Times New Roman" w:eastAsia="Songti SC"/>
            <w:color w:val="000000"/>
            <w:sz w:val="22"/>
          </w:rPr>
          <w:tab/>
          <w:t>66</w:t>
        </w:r>
      </w:hyperlink>
    </w:p>
    <w:p>
      <w:pPr>
        <w:pStyle w:val="TOC2"/>
      </w:pPr>
      <w:hyperlink w:anchor="v2_121" w:history="1">
        <w:r>
          <w:rPr>
            <w:rFonts w:ascii="Times New Roman" w:hAnsi="Times New Roman" w:eastAsia="Songti SC"/>
            <w:color w:val="000000"/>
            <w:sz w:val="22"/>
          </w:rPr>
          <w:t>B.3 回退与预算</w:t>
        </w:r>
        <w:r>
          <w:rPr>
            <w:rFonts w:ascii="Times New Roman" w:hAnsi="Times New Roman" w:eastAsia="Songti SC"/>
            <w:color w:val="000000"/>
            <w:sz w:val="22"/>
          </w:rPr>
          <w:tab/>
          <w:t>66</w:t>
        </w:r>
      </w:hyperlink>
    </w:p>
    <w:p>
      <w:pPr>
        <w:pStyle w:val="TOC2"/>
      </w:pPr>
      <w:hyperlink w:anchor="v2_122" w:history="1">
        <w:r>
          <w:rPr>
            <w:rFonts w:ascii="Times New Roman" w:hAnsi="Times New Roman" w:eastAsia="Songti SC"/>
            <w:color w:val="000000"/>
            <w:sz w:val="22"/>
          </w:rPr>
          <w:t>B.4 实现一致性测试</w:t>
        </w:r>
        <w:r>
          <w:rPr>
            <w:rFonts w:ascii="Times New Roman" w:hAnsi="Times New Roman" w:eastAsia="Songti SC"/>
            <w:color w:val="000000"/>
            <w:sz w:val="22"/>
          </w:rPr>
          <w:tab/>
          <w:t>66</w:t>
        </w:r>
      </w:hyperlink>
    </w:p>
    <w:p>
      <w:pPr>
        <w:pStyle w:val="TOC1"/>
      </w:pPr>
      <w:hyperlink w:anchor="v2_123"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67</w:t>
        </w:r>
      </w:hyperlink>
    </w:p>
    <w:p>
      <w:pPr>
        <w:pStyle w:val="TOC2"/>
      </w:pPr>
      <w:hyperlink w:anchor="v2_124" w:history="1">
        <w:r>
          <w:rPr>
            <w:rFonts w:ascii="Times New Roman" w:hAnsi="Times New Roman" w:eastAsia="Songti SC"/>
            <w:color w:val="000000"/>
            <w:sz w:val="22"/>
          </w:rPr>
          <w:t>C.1 前期共同成果</w:t>
        </w:r>
        <w:r>
          <w:rPr>
            <w:rFonts w:ascii="Times New Roman" w:hAnsi="Times New Roman" w:eastAsia="Songti SC"/>
            <w:color w:val="000000"/>
            <w:sz w:val="22"/>
          </w:rPr>
          <w:tab/>
          <w:t>67</w:t>
        </w:r>
      </w:hyperlink>
    </w:p>
    <w:p>
      <w:pPr>
        <w:pStyle w:val="TOC2"/>
      </w:pPr>
      <w:hyperlink w:anchor="v2_125" w:history="1">
        <w:r>
          <w:rPr>
            <w:rFonts w:ascii="Times New Roman" w:hAnsi="Times New Roman" w:eastAsia="Songti SC"/>
            <w:color w:val="000000"/>
            <w:sz w:val="22"/>
          </w:rPr>
          <w:t>C.2 数据与材料可得性</w:t>
        </w:r>
        <w:r>
          <w:rPr>
            <w:rFonts w:ascii="Times New Roman" w:hAnsi="Times New Roman" w:eastAsia="Songti SC"/>
            <w:color w:val="000000"/>
            <w:sz w:val="22"/>
          </w:rPr>
          <w:tab/>
          <w:t>67</w:t>
        </w:r>
      </w:hyperlink>
    </w:p>
    <w:p>
      <w:pPr>
        <w:pStyle w:val="TOC2"/>
      </w:pPr>
      <w:hyperlink w:anchor="v2_126"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67</w:t>
        </w:r>
      </w:hyperlink>
    </w:p>
    <w:p>
      <w:pPr>
        <w:pStyle w:val="TOC2"/>
      </w:pPr>
      <w:hyperlink w:anchor="v2_127" w:history="1">
        <w:r>
          <w:rPr>
            <w:rFonts w:ascii="Times New Roman" w:hAnsi="Times New Roman" w:eastAsia="Songti SC"/>
            <w:color w:val="000000"/>
            <w:sz w:val="22"/>
          </w:rPr>
          <w:t>C.4 资助与利益冲突</w:t>
        </w:r>
        <w:r>
          <w:rPr>
            <w:rFonts w:ascii="Times New Roman" w:hAnsi="Times New Roman" w:eastAsia="Songti SC"/>
            <w:color w:val="000000"/>
            <w:sz w:val="22"/>
          </w:rPr>
          <w:tab/>
          <w:t>67</w:t>
        </w:r>
      </w:hyperlink>
    </w:p>
    <w:p>
      <w:pPr>
        <w:pStyle w:val="TOC1"/>
      </w:pPr>
      <w:hyperlink w:anchor="v2_128"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68</w:t>
        </w:r>
      </w:hyperlink>
    </w:p>
    <w:p>
      <w:pPr>
        <w:pStyle w:val="TOC2"/>
      </w:pPr>
      <w:hyperlink w:anchor="v2_129"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68</w:t>
        </w:r>
      </w:hyperlink>
    </w:p>
    <w:p>
      <w:pPr>
        <w:pStyle w:val="TOC2"/>
      </w:pPr>
      <w:hyperlink w:anchor="v2_130" w:history="1">
        <w:r>
          <w:rPr>
            <w:rFonts w:ascii="Times New Roman" w:hAnsi="Times New Roman" w:eastAsia="Songti SC"/>
            <w:color w:val="000000"/>
            <w:sz w:val="22"/>
          </w:rPr>
          <w:t>D.2 训练集内诊断设置</w:t>
        </w:r>
        <w:r>
          <w:rPr>
            <w:rFonts w:ascii="Times New Roman" w:hAnsi="Times New Roman" w:eastAsia="Songti SC"/>
            <w:color w:val="000000"/>
            <w:sz w:val="22"/>
          </w:rPr>
          <w:tab/>
          <w:t>68</w:t>
        </w:r>
      </w:hyperlink>
    </w:p>
    <w:p>
      <w:pPr>
        <w:pStyle w:val="TOC2"/>
      </w:pPr>
      <w:hyperlink w:anchor="v2_131" w:history="1">
        <w:r>
          <w:rPr>
            <w:rFonts w:ascii="Times New Roman" w:hAnsi="Times New Roman" w:eastAsia="Songti SC"/>
            <w:color w:val="000000"/>
            <w:sz w:val="22"/>
          </w:rPr>
          <w:t>D.3 诊断的启示与限制</w:t>
        </w:r>
        <w:r>
          <w:rPr>
            <w:rFonts w:ascii="Times New Roman" w:hAnsi="Times New Roman" w:eastAsia="Songti SC"/>
            <w:color w:val="000000"/>
            <w:sz w:val="22"/>
          </w:rPr>
          <w:tab/>
          <w:t>68</w:t>
        </w:r>
      </w:hyperlink>
    </w:p>
    <w:p>
      <w:pPr>
        <w:pStyle w:val="TOC1"/>
      </w:pPr>
      <w:hyperlink w:anchor="v2_132"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69</w:t>
        </w:r>
      </w:hyperlink>
    </w:p>
    <w:p>
      <w:pPr>
        <w:pStyle w:val="TOC2"/>
      </w:pPr>
      <w:hyperlink w:anchor="v2_133"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69</w:t>
        </w:r>
      </w:hyperlink>
    </w:p>
    <w:p>
      <w:pPr>
        <w:pStyle w:val="TOC2"/>
      </w:pPr>
      <w:hyperlink w:anchor="v2_134"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69</w:t>
        </w:r>
      </w:hyperlink>
    </w:p>
    <w:p>
      <w:pPr>
        <w:pStyle w:val="TOC2"/>
      </w:pPr>
      <w:hyperlink w:anchor="v2_135"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70</w:t>
        </w:r>
      </w:hyperlink>
    </w:p>
    <w:p>
      <w:pPr>
        <w:pStyle w:val="TOC2"/>
      </w:pPr>
      <w:hyperlink w:anchor="v2_136"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70</w:t>
        </w:r>
      </w:hyperlink>
    </w:p>
    <w:p>
      <w:pPr>
        <w:pStyle w:val="TOC2"/>
      </w:pPr>
      <w:hyperlink w:anchor="v2_137"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71</w:t>
        </w:r>
      </w:hyperlink>
    </w:p>
    <w:p>
      <w:pPr>
        <w:pStyle w:val="TOC2"/>
      </w:pPr>
      <w:hyperlink w:anchor="v2_138" w:history="1">
        <w:r>
          <w:rPr>
            <w:rFonts w:ascii="Times New Roman" w:hAnsi="Times New Roman" w:eastAsia="Songti SC"/>
            <w:color w:val="000000"/>
            <w:sz w:val="22"/>
          </w:rPr>
          <w:t>E.6 ICIC原版Oracle记录</w:t>
        </w:r>
        <w:r>
          <w:rPr>
            <w:rFonts w:ascii="Times New Roman" w:hAnsi="Times New Roman" w:eastAsia="Songti SC"/>
            <w:color w:val="000000"/>
            <w:sz w:val="22"/>
          </w:rPr>
          <w:tab/>
          <w:t>71</w:t>
        </w:r>
      </w:hyperlink>
    </w:p>
    <w:p>
      <w:pPr>
        <w:pStyle w:val="TOC2"/>
      </w:pPr>
      <w:hyperlink w:anchor="v2_139"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71</w:t>
        </w:r>
      </w:hyperlink>
    </w:p>
    <w:p>
      <w:pPr>
        <w:pStyle w:val="TOC2"/>
      </w:pPr>
      <w:hyperlink w:anchor="v2_140"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72</w:t>
        </w:r>
      </w:hyperlink>
    </w:p>
    <w:p>
      <w:pPr>
        <w:pStyle w:val="TOC2"/>
      </w:pPr>
      <w:hyperlink w:anchor="v2_141"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73</w:t>
        </w:r>
      </w:hyperlink>
    </w:p>
    <w:p>
      <w:pPr>
        <w:pStyle w:val="TOC1"/>
      </w:pPr>
      <w:hyperlink w:anchor="v2_142"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74</w:t>
        </w:r>
      </w:hyperlink>
    </w:p>
    <w:p>
      <w:pPr>
        <w:pStyle w:val="TOC2"/>
      </w:pPr>
      <w:hyperlink w:anchor="v2_143" w:history="1">
        <w:r>
          <w:rPr>
            <w:rFonts w:ascii="Times New Roman" w:hAnsi="Times New Roman" w:eastAsia="Songti SC"/>
            <w:color w:val="000000"/>
            <w:sz w:val="22"/>
          </w:rPr>
          <w:t>F.1 核心术语与符号</w:t>
        </w:r>
        <w:r>
          <w:rPr>
            <w:rFonts w:ascii="Times New Roman" w:hAnsi="Times New Roman" w:eastAsia="Songti SC"/>
            <w:color w:val="000000"/>
            <w:sz w:val="22"/>
          </w:rPr>
          <w:tab/>
          <w:t>74</w:t>
        </w:r>
      </w:hyperlink>
    </w:p>
    <w:p>
      <w:pPr>
        <w:pStyle w:val="TOC2"/>
      </w:pPr>
      <w:hyperlink w:anchor="v2_144" w:history="1">
        <w:r>
          <w:rPr>
            <w:rFonts w:ascii="Times New Roman" w:hAnsi="Times New Roman" w:eastAsia="Songti SC"/>
            <w:color w:val="000000"/>
            <w:sz w:val="22"/>
          </w:rPr>
          <w:t>F.2 实现接口补充</w:t>
        </w:r>
        <w:r>
          <w:rPr>
            <w:rFonts w:ascii="Times New Roman" w:hAnsi="Times New Roman" w:eastAsia="Songti SC"/>
            <w:color w:val="000000"/>
            <w:sz w:val="22"/>
          </w:rPr>
          <w:tab/>
          <w:t>75</w:t>
        </w:r>
      </w:hyperlink>
    </w:p>
    <w:p>
      <w:pPr>
        <w:pStyle w:val="TOC2"/>
      </w:pPr>
      <w:hyperlink w:anchor="v2_145" w:history="1">
        <w:r>
          <w:rPr>
            <w:rFonts w:ascii="Times New Roman" w:hAnsi="Times New Roman" w:eastAsia="Songti SC"/>
            <w:color w:val="000000"/>
            <w:sz w:val="22"/>
          </w:rPr>
          <w:t>F.3 研究问题阅读索引</w:t>
        </w:r>
        <w:r>
          <w:rPr>
            <w:rFonts w:ascii="Times New Roman" w:hAnsi="Times New Roman" w:eastAsia="Songti SC"/>
            <w:color w:val="000000"/>
            <w:sz w:val="22"/>
          </w:rPr>
          <w:tab/>
          <w:t>75</w:t>
        </w:r>
      </w:hyperlink>
      <w:r>
        <w:fldChar w:fldCharType="end"/>
      </w:r>
    </w:p>
    <w:p>
      <w:pPr>
        <w:pStyle w:val="FrontHeading"/>
      </w:pPr>
      <w:r>
        <w:t>图目录</w:t>
      </w:r>
    </w:p>
    <w:p>
      <w:pPr>
        <w:pStyle w:val="TOC1"/>
      </w:pPr>
      <w:r>
        <w:fldChar w:fldCharType="begin"/>
      </w:r>
      <w:r>
        <w:instrText xml:space="preserve"> TOC \h \z \t "Figure Caption,1" </w:instrText>
      </w:r>
      <w:r>
        <w:fldChar w:fldCharType="separate"/>
      </w:r>
      <w:hyperlink w:anchor="v2_146"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TOC1"/>
      </w:pPr>
      <w:hyperlink w:anchor="v2_148"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TOC1"/>
      </w:pPr>
      <w:hyperlink w:anchor="v2_152"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15</w:t>
        </w:r>
      </w:hyperlink>
    </w:p>
    <w:p>
      <w:pPr>
        <w:pStyle w:val="TOC1"/>
      </w:pPr>
      <w:hyperlink w:anchor="v2_154"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19</w:t>
        </w:r>
      </w:hyperlink>
    </w:p>
    <w:p>
      <w:pPr>
        <w:pStyle w:val="TOC1"/>
      </w:pPr>
      <w:hyperlink w:anchor="v2_155" w:history="1">
        <w:r>
          <w:rPr>
            <w:rFonts w:ascii="Times New Roman" w:hAnsi="Times New Roman" w:eastAsia="Songti SC"/>
            <w:color w:val="000000"/>
            <w:sz w:val="22"/>
          </w:rPr>
          <w:t>图3-2 关系感知增强学习的训练架构</w:t>
        </w:r>
        <w:r>
          <w:rPr>
            <w:rFonts w:ascii="Times New Roman" w:hAnsi="Times New Roman" w:eastAsia="Songti SC"/>
            <w:color w:val="000000"/>
            <w:sz w:val="22"/>
          </w:rPr>
          <w:tab/>
          <w:t>22</w:t>
        </w:r>
      </w:hyperlink>
    </w:p>
    <w:p>
      <w:pPr>
        <w:pStyle w:val="TOC1"/>
      </w:pPr>
      <w:hyperlink w:anchor="v2_160"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33</w:t>
        </w:r>
      </w:hyperlink>
    </w:p>
    <w:p>
      <w:pPr>
        <w:pStyle w:val="TOC1"/>
      </w:pPr>
      <w:hyperlink w:anchor="v2_162"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42</w:t>
        </w:r>
      </w:hyperlink>
      <w:r>
        <w:fldChar w:fldCharType="end"/>
      </w:r>
    </w:p>
    <w:p>
      <w:pPr>
        <w:pStyle w:val="FrontHeading"/>
      </w:pPr>
      <w:r>
        <w:t>表目录</w:t>
      </w:r>
    </w:p>
    <w:p>
      <w:pPr>
        <w:pStyle w:val="TOC1"/>
      </w:pPr>
      <w:r>
        <w:fldChar w:fldCharType="begin"/>
      </w:r>
      <w:r>
        <w:instrText xml:space="preserve"> TOC \h \z \t "Table Caption,1" </w:instrText>
      </w:r>
      <w:r>
        <w:fldChar w:fldCharType="separate"/>
      </w:r>
      <w:hyperlink w:anchor="v2_147"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OC1"/>
      </w:pPr>
      <w:hyperlink w:anchor="v2_149"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7</w:t>
        </w:r>
      </w:hyperlink>
    </w:p>
    <w:p>
      <w:pPr>
        <w:pStyle w:val="TOC1"/>
      </w:pPr>
      <w:hyperlink w:anchor="v2_150"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9</w:t>
        </w:r>
      </w:hyperlink>
    </w:p>
    <w:p>
      <w:pPr>
        <w:pStyle w:val="TOC1"/>
      </w:pPr>
      <w:hyperlink w:anchor="v2_151" w:history="1">
        <w:r>
          <w:rPr>
            <w:rFonts w:ascii="Times New Roman" w:hAnsi="Times New Roman" w:eastAsia="Songti SC"/>
            <w:color w:val="000000"/>
            <w:sz w:val="22"/>
          </w:rPr>
          <w:t>表2-2 共享实验配置与运行绑定字段</w:t>
        </w:r>
        <w:r>
          <w:rPr>
            <w:rFonts w:ascii="Times New Roman" w:hAnsi="Times New Roman" w:eastAsia="Songti SC"/>
            <w:color w:val="000000"/>
            <w:sz w:val="22"/>
          </w:rPr>
          <w:tab/>
          <w:t>13</w:t>
        </w:r>
      </w:hyperlink>
    </w:p>
    <w:p>
      <w:pPr>
        <w:pStyle w:val="TOC1"/>
      </w:pPr>
      <w:hyperlink w:anchor="v2_153"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18</w:t>
        </w:r>
      </w:hyperlink>
    </w:p>
    <w:p>
      <w:pPr>
        <w:pStyle w:val="TOC1"/>
      </w:pPr>
      <w:hyperlink w:anchor="v2_157" w:history="1">
        <w:r>
          <w:rPr>
            <w:rFonts w:ascii="Times New Roman" w:hAnsi="Times New Roman" w:eastAsia="Songti SC"/>
            <w:color w:val="000000"/>
            <w:sz w:val="22"/>
          </w:rPr>
          <w:t>表3-2 训练侧必要对照及其回答的问题</w:t>
        </w:r>
        <w:r>
          <w:rPr>
            <w:rFonts w:ascii="Times New Roman" w:hAnsi="Times New Roman" w:eastAsia="Songti SC"/>
            <w:color w:val="000000"/>
            <w:sz w:val="22"/>
          </w:rPr>
          <w:tab/>
          <w:t>27</w:t>
        </w:r>
      </w:hyperlink>
    </w:p>
    <w:p>
      <w:pPr>
        <w:pStyle w:val="TOC1"/>
      </w:pPr>
      <w:hyperlink w:anchor="v2_158" w:history="1">
        <w:r>
          <w:rPr>
            <w:rFonts w:ascii="Times New Roman" w:hAnsi="Times New Roman" w:eastAsia="Songti SC"/>
            <w:color w:val="000000"/>
            <w:sz w:val="22"/>
          </w:rPr>
          <w:t>表3-3 训练侧消融的预期情景占位</w:t>
        </w:r>
        <w:r>
          <w:rPr>
            <w:rFonts w:ascii="Times New Roman" w:hAnsi="Times New Roman" w:eastAsia="Songti SC"/>
            <w:color w:val="000000"/>
            <w:sz w:val="22"/>
          </w:rPr>
          <w:tab/>
          <w:t>29</w:t>
        </w:r>
      </w:hyperlink>
    </w:p>
    <w:p>
      <w:pPr>
        <w:pStyle w:val="TOC1"/>
      </w:pPr>
      <w:hyperlink w:anchor="v2_159" w:history="1">
        <w:r>
          <w:rPr>
            <w:rFonts w:ascii="Times New Roman" w:hAnsi="Times New Roman" w:eastAsia="Songti SC"/>
            <w:color w:val="000000"/>
            <w:sz w:val="22"/>
          </w:rPr>
          <w:t>表3-4 增强成功与失败案例的报告字段（待实测）</w:t>
        </w:r>
        <w:r>
          <w:rPr>
            <w:rFonts w:ascii="Times New Roman" w:hAnsi="Times New Roman" w:eastAsia="Songti SC"/>
            <w:color w:val="000000"/>
            <w:sz w:val="22"/>
          </w:rPr>
          <w:tab/>
          <w:t>31</w:t>
        </w:r>
      </w:hyperlink>
    </w:p>
    <w:p>
      <w:pPr>
        <w:pStyle w:val="TOC1"/>
      </w:pPr>
      <w:hyperlink w:anchor="v2_163"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45</w:t>
        </w:r>
      </w:hyperlink>
    </w:p>
    <w:p>
      <w:pPr>
        <w:pStyle w:val="TOC1"/>
      </w:pPr>
      <w:hyperlink w:anchor="v2_164"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46</w:t>
        </w:r>
      </w:hyperlink>
    </w:p>
    <w:p>
      <w:pPr>
        <w:pStyle w:val="TOC1"/>
      </w:pPr>
      <w:hyperlink w:anchor="v2_165" w:history="1">
        <w:r>
          <w:rPr>
            <w:rFonts w:ascii="Times New Roman" w:hAnsi="Times New Roman" w:eastAsia="Songti SC"/>
            <w:color w:val="000000"/>
            <w:sz w:val="22"/>
          </w:rPr>
          <w:t>表4-3 推理侧比较的预期情景占位</w:t>
        </w:r>
        <w:r>
          <w:rPr>
            <w:rFonts w:ascii="Times New Roman" w:hAnsi="Times New Roman" w:eastAsia="Songti SC"/>
            <w:color w:val="000000"/>
            <w:sz w:val="22"/>
          </w:rPr>
          <w:tab/>
          <w:t>47</w:t>
        </w:r>
      </w:hyperlink>
    </w:p>
    <w:p>
      <w:pPr>
        <w:pStyle w:val="TOC1"/>
      </w:pPr>
      <w:hyperlink w:anchor="v2_166" w:history="1">
        <w:r>
          <w:rPr>
            <w:rFonts w:ascii="Times New Roman" w:hAnsi="Times New Roman" w:eastAsia="Songti SC"/>
            <w:color w:val="000000"/>
            <w:sz w:val="22"/>
          </w:rPr>
          <w:t>表4-4 候选与可达性诊断的预期情景占位</w:t>
        </w:r>
        <w:r>
          <w:rPr>
            <w:rFonts w:ascii="Times New Roman" w:hAnsi="Times New Roman" w:eastAsia="Songti SC"/>
            <w:color w:val="000000"/>
            <w:sz w:val="22"/>
          </w:rPr>
          <w:tab/>
          <w:t>48</w:t>
        </w:r>
      </w:hyperlink>
    </w:p>
    <w:p>
      <w:pPr>
        <w:pStyle w:val="TOC1"/>
      </w:pPr>
      <w:hyperlink w:anchor="v2_167" w:history="1">
        <w:r>
          <w:rPr>
            <w:rFonts w:ascii="Times New Roman" w:hAnsi="Times New Roman" w:eastAsia="Songti SC"/>
            <w:color w:val="000000"/>
            <w:sz w:val="22"/>
          </w:rPr>
          <w:t>表4-5 固定提案评分诊断的预期情景占位</w:t>
        </w:r>
        <w:r>
          <w:rPr>
            <w:rFonts w:ascii="Times New Roman" w:hAnsi="Times New Roman" w:eastAsia="Songti SC"/>
            <w:color w:val="000000"/>
            <w:sz w:val="22"/>
          </w:rPr>
          <w:tab/>
          <w:t>49</w:t>
        </w:r>
      </w:hyperlink>
    </w:p>
    <w:p>
      <w:pPr>
        <w:pStyle w:val="TOC1"/>
      </w:pPr>
      <w:hyperlink w:anchor="v2_168" w:history="1">
        <w:r>
          <w:rPr>
            <w:rFonts w:ascii="Times New Roman" w:hAnsi="Times New Roman" w:eastAsia="Songti SC"/>
            <w:color w:val="000000"/>
            <w:sz w:val="22"/>
          </w:rPr>
          <w:t>表4-6 AAEC风险与成本的预期情景占位</w:t>
        </w:r>
        <w:r>
          <w:rPr>
            <w:rFonts w:ascii="Times New Roman" w:hAnsi="Times New Roman" w:eastAsia="Songti SC"/>
            <w:color w:val="000000"/>
            <w:sz w:val="22"/>
          </w:rPr>
          <w:tab/>
          <w:t>50</w:t>
        </w:r>
      </w:hyperlink>
    </w:p>
    <w:p>
      <w:pPr>
        <w:pStyle w:val="TOC1"/>
      </w:pPr>
      <w:hyperlink w:anchor="v2_169" w:history="1">
        <w:r>
          <w:rPr>
            <w:rFonts w:ascii="Times New Roman" w:hAnsi="Times New Roman" w:eastAsia="Songti SC"/>
            <w:color w:val="000000"/>
            <w:sz w:val="22"/>
          </w:rPr>
          <w:t>表5-1 两阶段组合的预期情景占位</w:t>
        </w:r>
        <w:r>
          <w:rPr>
            <w:rFonts w:ascii="Times New Roman" w:hAnsi="Times New Roman" w:eastAsia="Songti SC"/>
            <w:color w:val="000000"/>
            <w:sz w:val="22"/>
          </w:rPr>
          <w:tab/>
          <w:t>55</w:t>
        </w:r>
      </w:hyperlink>
    </w:p>
    <w:p>
      <w:pPr>
        <w:pStyle w:val="TOC1"/>
      </w:pPr>
      <w:hyperlink w:anchor="v2_170"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64</w:t>
        </w:r>
      </w:hyperlink>
    </w:p>
    <w:p>
      <w:pPr>
        <w:pStyle w:val="TOC1"/>
      </w:pPr>
      <w:hyperlink w:anchor="v2_171"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69</w:t>
        </w:r>
      </w:hyperlink>
    </w:p>
    <w:p>
      <w:pPr>
        <w:pStyle w:val="TOC1"/>
      </w:pPr>
      <w:hyperlink w:anchor="v2_172"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69</w:t>
        </w:r>
      </w:hyperlink>
    </w:p>
    <w:p>
      <w:pPr>
        <w:pStyle w:val="TOC1"/>
      </w:pPr>
      <w:hyperlink w:anchor="v2_173"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70</w:t>
        </w:r>
      </w:hyperlink>
    </w:p>
    <w:p>
      <w:pPr>
        <w:pStyle w:val="TOC1"/>
      </w:pPr>
      <w:hyperlink w:anchor="v2_174"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70</w:t>
        </w:r>
      </w:hyperlink>
    </w:p>
    <w:p>
      <w:pPr>
        <w:pStyle w:val="TOC1"/>
      </w:pPr>
      <w:hyperlink w:anchor="v2_175"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71</w:t>
        </w:r>
      </w:hyperlink>
    </w:p>
    <w:p>
      <w:pPr>
        <w:pStyle w:val="TOC1"/>
      </w:pPr>
      <w:hyperlink w:anchor="v2_176"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71</w:t>
        </w:r>
      </w:hyperlink>
    </w:p>
    <w:p>
      <w:pPr>
        <w:pStyle w:val="TOC1"/>
      </w:pPr>
      <w:hyperlink w:anchor="v2_177"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71</w:t>
        </w:r>
      </w:hyperlink>
    </w:p>
    <w:p>
      <w:pPr>
        <w:pStyle w:val="TOC1"/>
      </w:pPr>
      <w:hyperlink w:anchor="v2_178"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72</w:t>
        </w:r>
      </w:hyperlink>
    </w:p>
    <w:p>
      <w:pPr>
        <w:pStyle w:val="TOC1"/>
      </w:pPr>
      <w:hyperlink w:anchor="v2_179"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73</w:t>
        </w:r>
      </w:hyperlink>
    </w:p>
    <w:p>
      <w:pPr>
        <w:pStyle w:val="TOC1"/>
      </w:pPr>
      <w:hyperlink w:anchor="v2_180"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74</w:t>
        </w:r>
      </w:hyperlink>
    </w:p>
    <w:p>
      <w:pPr>
        <w:pStyle w:val="TOC1"/>
      </w:pPr>
      <w:hyperlink w:anchor="v2_181"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75</w:t>
        </w:r>
      </w:hyperlink>
      <w:r>
        <w:fldChar w:fldCharType="end"/>
      </w:r>
    </w:p>
    <w:p>
      <w:pPr>
        <w:sectPr>
          <w:headerReference w:type="default" r:id="rId70"/>
          <w:footerReference w:type="default" r:id="rId71"/>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2_12"/>
      <w:bookmarkEnd w:id="12"/>
    </w:p>
    <w:p>
      <w:pPr>
        <w:pStyle w:val="Heading2"/>
      </w:pPr>
      <w:r>
        <w:t>1.1 研究背景与问题提出</w:t>
      </w:r>
      <w:bookmarkStart w:id="13" w:name="v2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531839"/>
            <wp:docPr id="1" name="argument_example.png" descr="原文到组件与关系的论辩挖掘示意。机制示意，非实测案例。"/>
            <wp:cNvGraphicFramePr>
              <a:graphicFrameLocks noChangeAspect="1"/>
            </wp:cNvGraphicFramePr>
            <a:graphic>
              <a:graphicData uri="http://schemas.openxmlformats.org/drawingml/2006/picture">
                <pic:pic>
                  <pic:nvPicPr>
                    <pic:cNvPr id="0" name="argument_example.png"/>
                    <pic:cNvPicPr/>
                  </pic:nvPicPr>
                  <pic:blipFill>
                    <a:blip r:embed="rId74"/>
                    <a:stretch>
                      <a:fillRect/>
                    </a:stretch>
                  </pic:blipFill>
                  <pic:spPr>
                    <a:xfrm>
                      <a:off x="0" y="0"/>
                      <a:ext cx="5652770" cy="3531839"/>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46" w:name="v2_146"/>
      <w:bookmarkEnd w:id="146"/>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形成两项互补研究：训练阶段保持文本改写后的关系监督，推理阶段恢复预测修改后的依赖结构。两项研究以真实文本上的严格组件和关系评价为共同依据，并分别考察收益、失败情形与计算代价。</w:t>
      </w:r>
    </w:p>
    <w:p>
      <w:pPr>
        <w:pStyle w:val="Heading2"/>
      </w:pPr>
      <w:r>
        <w:t>1.2 国内外研究现状</w:t>
      </w:r>
      <w:bookmarkStart w:id="14" w:name="v2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2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是本文的直接生成式基线[7]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2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局部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2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2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将跨语料分析作为适用范围检验，区分多任务训练、单源零样本迁移和目标域校准，不把这些设定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47" w:name="v2_147"/>
      <w:bookmarkEnd w:id="14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表中的机制依据本章已说明的材料范围归纳，不表示各方法使用相同数据、输入或评价协议，也不据未核实信息断言其缺少某一细节。本文主实验限定为英文AAEC和CDCP，其他语言与任务资源的范围说明见附录A.3。</w:t>
      </w:r>
    </w:p>
    <w:p>
      <w:pPr>
        <w:pStyle w:val="Heading2"/>
      </w:pPr>
      <w:r>
        <w:t>1.3 研究问题与主要研究工作</w:t>
      </w:r>
      <w:bookmarkStart w:id="19" w:name="v2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03290"/>
            <wp:docPr id="2" name="research_relationship.png" descr="两项研究的共同问题与分工。机制示意，非实测案例。"/>
            <wp:cNvGraphicFramePr>
              <a:graphicFrameLocks noChangeAspect="1"/>
            </wp:cNvGraphicFramePr>
            <a:graphic>
              <a:graphicData uri="http://schemas.openxmlformats.org/drawingml/2006/picture">
                <pic:pic>
                  <pic:nvPicPr>
                    <pic:cNvPr id="0" name="research_relationship.png"/>
                    <pic:cNvPicPr/>
                  </pic:nvPicPr>
                  <pic:blipFill>
                    <a:blip r:embed="rId75"/>
                    <a:stretch>
                      <a:fillRect/>
                    </a:stretch>
                  </pic:blipFill>
                  <pic:spPr>
                    <a:xfrm>
                      <a:off x="0" y="0"/>
                      <a:ext cx="5652770" cy="3303290"/>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48" w:name="v2_148"/>
      <w:bookmarkEnd w:id="148"/>
    </w:p>
    <w:p>
      <w:pPr>
        <w:pStyle w:val="Heading3"/>
      </w:pPr>
      <w:r>
        <w:t>1.3.1 研究问题</w:t>
      </w:r>
      <w:bookmarkStart w:id="20" w:name="v2_20"/>
      <w:bookmarkEnd w:id="20"/>
    </w:p>
    <w:p>
      <w:r>
        <w:rPr>
          <w:rFonts w:ascii="Times New Roman" w:hAnsi="Times New Roman" w:eastAsia="Songti SC"/>
          <w:color w:val="000000"/>
        </w:rPr>
        <w:t>RQ1：在继承结论组件专项建模的基础上，检查改写集合内部及跨边界的端点组合，并同时保持已有关系和NONE状态，能否提高增强样本的监督可靠性？在同一批增强数据上，成对图因素学习能否进一步改善原始测试文本的严格抽取质量？两问分别检验数据构造与学习目标的作用。</w:t>
      </w:r>
    </w:p>
    <w:p>
      <w:r>
        <w:rPr>
          <w:rFonts w:ascii="Times New Roman" w:hAnsi="Times New Roman" w:eastAsia="Songti SC"/>
          <w:color w:val="000000"/>
        </w:rPr>
        <w:t>RQ2：在固定初始图、候选对象和评分器的条件下，组件集合替换与关系依赖闭合能否恢复顺序局部修正难以处理的组件关系错误，并取得可接受的误改风险与计算成本？候选覆盖、评分可靠性与预算内搜索分别构成恢复能力的限制，需要独立诊断。</w:t>
      </w:r>
    </w:p>
    <w:p>
      <w:r>
        <w:rPr>
          <w:rFonts w:ascii="Times New Roman" w:hAnsi="Times New Roman" w:eastAsia="Songti SC"/>
          <w:color w:val="000000"/>
        </w:rPr>
        <w:t>训练与推理的组合实验用于分析两项方法的互补性，跨语料实验用于说明适用边界，均不另列为第三项算法创新。</w:t>
      </w:r>
    </w:p>
    <w:p>
      <w:pPr>
        <w:pStyle w:val="Heading3"/>
      </w:pPr>
      <w:r>
        <w:t>1.3.2 主要研究内容</w:t>
      </w:r>
      <w:bookmarkStart w:id="21" w:name="v2_21"/>
      <w:bookmarkEnd w:id="21"/>
    </w:p>
    <w:p>
      <w:r>
        <w:rPr>
          <w:rFonts w:ascii="Times New Roman" w:hAnsi="Times New Roman" w:eastAsia="Songti SC"/>
          <w:color w:val="000000"/>
        </w:rPr>
        <w:t>（1）面向结论组件的关系感知增强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2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49" w:name="v2_149"/>
      <w:bookmarkEnd w:id="14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共同成果与个人分工的说明保留在附录C，最终成果页需依据正式材料由作者核准。</w:t>
      </w:r>
    </w:p>
    <w:p>
      <w:pPr>
        <w:pStyle w:val="Heading2"/>
      </w:pPr>
      <w:r>
        <w:t>1.4 论文组织结构</w:t>
      </w:r>
      <w:bookmarkStart w:id="23" w:name="v2_23"/>
      <w:bookmarkEnd w:id="23"/>
    </w:p>
    <w:p>
      <w:r>
        <w:rPr>
          <w:rFonts w:ascii="Times New Roman" w:hAnsi="Times New Roman" w:eastAsia="Songti SC"/>
          <w:color w:val="000000"/>
        </w:rPr>
        <w:t>第一章介绍研究背景、相关工作与两项研究的关系。第二章统一任务表示、评价口径、公共实验协议和训练推理接口。第三章围绕关系感知增强学习，依次说明前期基础、影响域、标注迁移、成对学习及训练侧实验。第四章围绕依赖闭合修正，说明候选、事务、评分、求解及推理侧实验。第五章分析两阶段组合、整体成本和跨语料适用性。第六章总结方法与局限，并讨论后续研究方向。</w:t>
      </w:r>
    </w:p>
    <w:p>
      <w:r>
        <w:rPr>
          <w:rFonts w:ascii="Times New Roman" w:hAnsi="Times New Roman" w:eastAsia="Songti SC"/>
          <w:color w:val="000000"/>
        </w:rPr>
        <w:t>附录补充复现协议、执行记录、成果说明、前期诊断、历史数值和符号索引。各方法章中的占位数值均保留明确标记，不作为实验结论。</w:t>
      </w:r>
    </w:p>
    <w:p>
      <w:pPr>
        <w:pStyle w:val="Heading1"/>
      </w:pPr>
      <w:r>
        <w:t>第二章 任务表示与方法基础</w:t>
      </w:r>
      <w:bookmarkStart w:id="24" w:name="v2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2_25"/>
      <w:bookmarkEnd w:id="25"/>
    </w:p>
    <w:p>
      <w:pPr>
        <w:pStyle w:val="Heading3"/>
      </w:pPr>
      <w:r>
        <w:t>2.1.1 组件及二元关系</w:t>
      </w:r>
      <w:bookmarkStart w:id="26" w:name="v2_26"/>
      <w:bookmarkEnd w:id="26"/>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2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50" w:name="v2_150"/>
      <w:bookmarkEnd w:id="15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表2-1依据语料与联合预测研究区分两种任务[2][3][46]。CDCP中的结论角色仅用于第三章选择增强中心，不改变原生组件标签。第五章跨语料分析采用另行声明的粗粒度映射，该映射不反向改变域内金标。</w:t>
      </w:r>
    </w:p>
    <w:p>
      <w:pPr>
        <w:pStyle w:val="Heading2"/>
      </w:pPr>
      <w:r>
        <w:t>2.2 合法结构与对象身份</w:t>
      </w:r>
      <w:bookmarkStart w:id="28" w:name="v2_28"/>
      <w:bookmarkEnd w:id="28"/>
    </w:p>
    <w:p>
      <w:pPr>
        <w:pStyle w:val="Heading3"/>
      </w:pPr>
      <w:r>
        <w:t>2.2.1 语料约束与候选范围</w:t>
      </w:r>
      <w:bookmarkStart w:id="29" w:name="v2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2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r>
        <w:rPr>
          <w:rFonts w:ascii="Times New Roman" w:hAnsi="Times New Roman" w:eastAsia="Songti SC"/>
          <w:color w:val="000000"/>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pStyle w:val="Heading2"/>
      </w:pPr>
      <w:r>
        <w:t>2.3 生成建模与参数高效适配</w:t>
      </w:r>
      <w:bookmarkStart w:id="31" w:name="v2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实际运行的权重revision、分词器及环境在2.6节统一记录。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2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2_33"/>
      <w:bookmarkEnd w:id="33"/>
    </w:p>
    <w:p>
      <w:pPr>
        <w:keepNext/>
      </w:pPr>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2_34"/>
      <w:bookmarkEnd w:id="34"/>
    </w:p>
    <w:p>
      <w:pPr>
        <w:pStyle w:val="Heading3"/>
      </w:pPr>
      <w:r>
        <w:t>2.6.1 数据划分与使用范围</w:t>
      </w:r>
      <w:bookmarkStart w:id="35" w:name="v2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生成器只使用训练数据，增强中心选择、提示调整、早停和超参数筛选不使用测试标签。评分器的训练候选由训练集内部三折交叉拟合产生，使每个文档的预测不由已经拟合该文档标签的生成器直接给出。两种训练方案各自产生交叉拟合候选，覆盖其实际错误分布。</w:t>
      </w:r>
    </w:p>
    <w:p>
      <w:r>
        <w:rPr>
          <w:rFonts w:ascii="Times New Roman" w:hAnsi="Times New Roman" w:eastAsia="Songti SC"/>
          <w:color w:val="000000"/>
        </w:rPr>
        <w:t>开发文档划分为校准部分与策略选择部分，分别用于概率校准及阈值、预算选择。数据不足时采用预先固定的交叉验证安排，并记录每个阶段的数据用途。最终选择冻结后再进行完整测试报告。训练、校准与测试的用途隔离用于降低泄漏风险，不证明模型误差相互独立。</w:t>
      </w:r>
    </w:p>
    <w:p>
      <w:pPr>
        <w:pStyle w:val="Heading3"/>
      </w:pPr>
      <w:r>
        <w:t>2.6.2 运行配置与可复现记录</w:t>
      </w:r>
      <w:bookmarkStart w:id="36" w:name="v2_36"/>
      <w:bookmarkEnd w:id="36"/>
    </w:p>
    <w:p>
      <w:r>
        <w:rPr>
          <w:rFonts w:ascii="Times New Roman" w:hAnsi="Times New Roman" w:eastAsia="Songti SC"/>
          <w:color w:val="000000"/>
        </w:rPr>
        <w:t>表2-2集中列出共享配置，避免在两个方法章重复说明。前期数值是配置起点，不等同于新增方法已经运行或达到最佳设置；尚未与实际运行绑定的字段保留“待绑定”。各方法专有的增强约束、损失、候选和事务设置在对应章节定义。</w:t>
      </w:r>
    </w:p>
    <w:p>
      <w:pPr>
        <w:pStyle w:val="TableCaption"/>
      </w:pPr>
      <w:r>
        <w:rPr>
          <w:rFonts w:ascii="Times New Roman" w:hAnsi="Times New Roman" w:eastAsia="Songti SC"/>
          <w:color w:val="000000"/>
          <w:sz w:val="21"/>
        </w:rPr>
        <w:t>表2-2 共享实验配置与运行绑定字段</w:t>
      </w:r>
      <w:bookmarkStart w:id="151" w:name="v2_151"/>
      <w:bookmarkEnd w:id="15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345"/>
        <w:gridCol w:w="3798"/>
      </w:tblGrid>
      <w:tr>
        <w:trPr>
          <w:cantSplit/>
          <w:tblHeader/>
        </w:trPr>
        <w:tc>
          <w:tcPr>
            <w:tcW w:type="dxa" w:w="175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配置项目</w:t>
            </w:r>
          </w:p>
        </w:tc>
        <w:tc>
          <w:tcPr>
            <w:tcW w:type="dxa" w:w="334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方法设定或前期起点</w:t>
            </w:r>
          </w:p>
        </w:tc>
        <w:tc>
          <w:tcPr>
            <w:tcW w:type="dxa" w:w="379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正式运行记录</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AAEC和CDCP分别按原生协议评价</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发布版本、各划分文档数、哈希与异常清单待绑定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骨干与分词器</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Qwen2.5-7B-Instruct</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权重revision、分词器revision及精度待绑定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参数高效适配</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前期文字配置为rank 16、alpha 32</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目标层、可训练参数数及实际配置待绑定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提示与句子监督</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前期为4个提示向量、句子权重0.5</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位置、门控与损失归一化记录待绑定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生成与初始选择</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前期K=3，MCR权重0.4/0.4/0.2</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解码、候选缓存及合法化版本待绑定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优化器与训练规模</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在开发集选择后冻结</w:t>
            </w:r>
          </w:p>
        </w:tc>
        <w:tc>
          <w:tcPr>
            <w:tcW w:type="dxa" w:w="37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学习率、batch、更新步数、epoch及有效token待绑定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评分器数据</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训练集内三折交叉拟合，开发集校准与策略分离</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折ID、评分器检查点、校准参数待绑定</w:t>
            </w:r>
          </w:p>
        </w:tc>
      </w:tr>
    </w:tbl>
    <w:p>
      <w:pPr>
        <w:pStyle w:val="ContinuationCaption"/>
        <w:pageBreakBefore/>
      </w:pPr>
      <w:r>
        <w:t>表2-2（续）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345"/>
        <w:gridCol w:w="3798"/>
      </w:tblGrid>
      <w:tr>
        <w:trPr>
          <w:cantSplit/>
          <w:tblHeader/>
        </w:trPr>
        <w:tc>
          <w:tcPr>
            <w:tcW w:type="dxa" w:w="175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配置项目</w:t>
            </w:r>
          </w:p>
        </w:tc>
        <w:tc>
          <w:tcPr>
            <w:tcW w:type="dxa" w:w="334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方法设定或前期起点</w:t>
            </w:r>
          </w:p>
        </w:tc>
        <w:tc>
          <w:tcPr>
            <w:tcW w:type="dxa" w:w="379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正式运行记录</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新增损失与候选预算</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第三、四章给出定义及工程起点</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实际权重、阈值、候选与编辑预算待绑定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求解器与时限</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局部及全局ILP使用一致的求解设置</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软件版本、线程、时间上限与gap待绑定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硬件与环境</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CPU和GPU开销分别记录</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设备型号、显存、软件版本及环境文件待绑定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随机种子与统计</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核心配置至少3个种子，资源允许时优先5个</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种子列表、有效运行数及区间待绑定</w:t>
            </w:r>
          </w:p>
        </w:tc>
      </w:tr>
    </w:tbl>
    <w:p>
      <w:pPr>
        <w:spacing w:after="0" w:line="240" w:lineRule="auto"/>
      </w:pPr>
    </w:p>
    <w:p>
      <w:r>
        <w:rPr>
          <w:rFonts w:ascii="Times New Roman" w:hAnsi="Times New Roman" w:eastAsia="Songti SC"/>
          <w:color w:val="000000"/>
        </w:rPr>
        <w:t>表中前期取值仅确认其来自原稿配置描述，不补充证明历史运行身份。原始运行材料、新配置和逐例预测应以同一run ID关联，数据、增强集合、检查点、配置、代码和评价器的哈希共同确定实验身份。前期结果与轻量诊断的使用范围见附录D。</w:t>
      </w:r>
    </w:p>
    <w:p>
      <w:pPr>
        <w:pStyle w:val="Heading3"/>
      </w:pPr>
      <w:r>
        <w:t>2.6.3 统计分析与计算成本</w:t>
      </w:r>
      <w:bookmarkStart w:id="37" w:name="v2_37"/>
      <w:bookmarkEnd w:id="37"/>
    </w:p>
    <w:p>
      <w:r>
        <w:rPr>
          <w:rFonts w:ascii="Times New Roman" w:hAnsi="Times New Roman" w:eastAsia="Songti SC"/>
          <w:color w:val="000000"/>
        </w:rPr>
        <w:t>核心实验使用预先登记的多个随机种子；表2-2中的重复次数是验证要求，不是已完成的运行数量。主指标限定为组件与严格关系micro-F1，其他指标用于解释机制。跨种子差值和文档级配对重采样共同报告，重复文本按组处理，不将多个种子中的同一文档当作额外独立样本。区间、效应量、持平、下降和失败配置均保留，不依据结果临时选择检验方式。</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局部与全局ILP采用一致的软件、线程和时间上限。超时报告可行解、上界或gap，运行到时限不等于求得最优。只有与实际运行绑定的统计量才能进入效果结论。</w:t>
      </w:r>
    </w:p>
    <w:p>
      <w:pPr>
        <w:pStyle w:val="Heading2"/>
      </w:pPr>
      <w:r>
        <w:t>2.7 训练与推理的接口</w:t>
      </w:r>
      <w:bookmarkStart w:id="38" w:name="v2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2986369"/>
            <wp:docPr id="3" name="framework.png" descr="训练和推理的数据及模型接口。机制示意，非实测案例。"/>
            <wp:cNvGraphicFramePr>
              <a:graphicFrameLocks noChangeAspect="1"/>
            </wp:cNvGraphicFramePr>
            <a:graphic>
              <a:graphicData uri="http://schemas.openxmlformats.org/drawingml/2006/picture">
                <pic:pic>
                  <pic:nvPicPr>
                    <pic:cNvPr id="0" name="framework.png"/>
                    <pic:cNvPicPr/>
                  </pic:nvPicPr>
                  <pic:blipFill>
                    <a:blip r:embed="rId76"/>
                    <a:stretch>
                      <a:fillRect/>
                    </a:stretch>
                  </pic:blipFill>
                  <pic:spPr>
                    <a:xfrm>
                      <a:off x="0" y="0"/>
                      <a:ext cx="5652770" cy="2986369"/>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52" w:name="v2_152"/>
      <w:bookmarkEnd w:id="152"/>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2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面向结论组件的关系感知增强学习</w:t>
      </w:r>
      <w:bookmarkStart w:id="40" w:name="v2_40"/>
      <w:bookmarkEnd w:id="40"/>
    </w:p>
    <w:p>
      <w:pPr>
        <w:pStyle w:val="Heading2"/>
      </w:pPr>
      <w:r>
        <w:t>3.1 引言</w:t>
      </w:r>
      <w:bookmarkStart w:id="41" w:name="v2_41"/>
      <w:bookmarkEnd w:id="41"/>
    </w:p>
    <w:p>
      <w:r>
        <w:rPr>
          <w:rFonts w:ascii="Times New Roman" w:hAnsi="Times New Roman" w:eastAsia="Songti SC"/>
          <w:color w:val="000000"/>
        </w:rPr>
        <w:t>训练文本的表达变化会同时影响组件识别和关系判断。一个结论即使被改写为意思相近的句子，也可能改变原有论据与它之间的支持方向、关系类型或适用条件。改写涉及多个组件时，这种变化还可能传递到未被改写的其他组件。因此，结构化标注的直接复制需要明确前提：哪些组件发生了变化，哪些关系状态必须重新检查，以及通过检查的对应关系如何参与模型学习。</w:t>
      </w:r>
    </w:p>
    <w:p>
      <w:r>
        <w:rPr>
          <w:rFonts w:ascii="Times New Roman" w:hAnsi="Times New Roman" w:eastAsia="Songti SC"/>
          <w:color w:val="000000"/>
        </w:rPr>
        <w:t xml:space="preserve">组件与关系的依赖也体现在端到端评价中。在组件集合固定的预测条件下，令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为跨度和类型均正确匹配的金标组件集合，</w:t>
      </w:r>
      <m:oMath>
        <m:sSub>
          <m:e>
            <m:r>
              <m:t xml:space="preserve">R</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 xml:space="preserve"> 为全部端点都属于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的金标关系集合。当 </w:t>
      </w:r>
      <m:oMath>
        <m:r>
          <m:t xml:space="preserve">|</m:t>
        </m:r>
        <m:r>
          <m:t xml:space="preserve">R</m:t>
        </m:r>
        <m:r>
          <m:t xml:space="preserve">|</m:t>
        </m:r>
        <m:r>
          <m:t xml:space="preserve">&gt;</m:t>
        </m:r>
        <m:r>
          <m:t xml:space="preserve">0</m:t>
        </m:r>
      </m:oMath>
      <w:r>
        <w:rPr>
          <w:rFonts w:ascii="Times New Roman" w:hAnsi="Times New Roman" w:eastAsia="Songti SC"/>
          <w:color w:val="000000"/>
        </w:rPr>
        <w:t xml:space="preserve"> 时，有 </w:t>
      </w:r>
      <m:oMath>
        <m:sSub>
          <m:e>
            <m:r>
              <m:rPr>
                <m:sty m:val="p"/>
              </m:rPr>
              <m:t xml:space="preserve">Recall</m:t>
            </m:r>
          </m:e>
          <m:sub>
            <m:r>
              <m:t xml:space="preserve">r</m:t>
            </m:r>
            <m:r>
              <m:t xml:space="preserve">e</m:t>
            </m:r>
            <m:r>
              <m:t xml:space="preserve">l</m:t>
            </m:r>
          </m:sub>
        </m:sSub>
        <m:r>
          <m:t xml:space="preserve">≤</m:t>
        </m:r>
        <m:r>
          <m:t xml:space="preserve">|</m:t>
        </m:r>
        <m:sSub>
          <m:e>
            <m:r>
              <m:t xml:space="preserve">R</m:t>
            </m:r>
          </m:e>
          <m:sub>
            <m:r>
              <m:t xml:space="preserve">r</m:t>
            </m:r>
            <m:r>
              <m:t xml:space="preserve">e</m:t>
            </m:r>
            <m:r>
              <m:t xml:space="preserve">a</m:t>
            </m:r>
            <m:r>
              <m:t xml:space="preserve">c</m:t>
            </m:r>
            <m:r>
              <m:t xml:space="preserve">h</m:t>
            </m:r>
          </m:sub>
        </m:sSub>
        <m:r>
          <m:t xml:space="preserve">|</m:t>
        </m:r>
        <m:r>
          <m:t xml:space="preserve">/</m:t>
        </m:r>
        <m:r>
          <m:t xml:space="preserve">|</m:t>
        </m:r>
        <m:r>
          <m:t xml:space="preserve">R</m:t>
        </m:r>
        <m:r>
          <m:t xml:space="preserve">|</m:t>
        </m:r>
      </m:oMath>
      <w:r>
        <w:rPr>
          <w:rFonts w:ascii="Times New Roman" w:hAnsi="Times New Roman" w:eastAsia="Songti SC"/>
          <w:color w:val="000000"/>
        </w:rPr>
        <w:t>，因为任何正确关系必须首先具有正确端点。该结论同样适用于要求全部源成员正确的超边。它说明组件学习会限制关系恢复的候选空间，但并不保证可达关系被正确识别，也不足以单独证明结论类组件应当优先增强。</w:t>
      </w:r>
    </w:p>
    <w:p>
      <w:r>
        <w:rPr>
          <w:rFonts w:ascii="Times New Roman" w:hAnsi="Times New Roman" w:eastAsia="Songti SC"/>
          <w:color w:val="000000"/>
        </w:rPr>
        <w:t>本章以作者 ICIC 2026 工作中的结论专项适配、线索提示与句子辅助监督为建模基础[34]，研究面向结论组件的关系感知增强学习。方法包含两个相互衔接的部分：首先，在局部文字改写后检查所有与改写组件关联的合法关系状态，并将原标注迁移到新坐标；其次，利用原文与增强文之间的组件、关系对应，约束共享生成表示上的预测分布。前者控制训练监督的继承条件，后者使这些对应关系参与参数更新。前期专项模块为二者提供生成基础，不分别计作本论文新增创新。</w:t>
      </w:r>
    </w:p>
    <w:p>
      <w:r>
        <w:rPr>
          <w:rFonts w:ascii="Times New Roman" w:hAnsi="Times New Roman" w:eastAsia="Songti SC"/>
          <w:color w:val="000000"/>
        </w:rPr>
        <w:t>结构保持增强及一致性学习已有相关研究。QOS通过论辩结构保持改写继承标注[35]；关系抽取中的ConsistRE将关系条件用于文本生成[38]，Wang等研究关系保持增强与多视图一致性[36]。相对于这些研究，本章将约束范围具体化为论辩组件改写所涉及的完整端点影响域，并以成对因素学习连接监督保持和共享表示更新。关系条件及一致性损失本身不单独作为新增贡献。</w:t>
      </w:r>
    </w:p>
    <w:p>
      <w:r>
        <w:rPr>
          <w:rFonts w:ascii="Times New Roman" w:hAnsi="Times New Roman" w:eastAsia="Songti SC"/>
          <w:color w:val="000000"/>
        </w:rPr>
        <w:t>结论中心选择是待检验的任务启发式，其适用性取决于类型频次、关系度和分类难度。AAEC 保留 MajorClaim、Claim、Premise；CDCP 保留 Policy、Value、Fact、Testimony、Reference，Policy/Value 作为专项模块的触发类别，并不表示其与 AAEC 的 Claim 语义相同。AAEC 的 stance 属性不转为普通关系，缺少普通关系的 MajorClaim 仍可用于组件学习。本章先介绍前期专项建模基础，再定义关系影响域、标注迁移和成对学习，最后通过相互分离的数据质量审计与学习对照建立实验分析框架。</w:t>
      </w:r>
    </w:p>
    <w:p>
      <w:pPr>
        <w:pStyle w:val="Heading2"/>
      </w:pPr>
      <w:r>
        <w:t>3.2 前期专项建模基础</w:t>
      </w:r>
      <w:bookmarkStart w:id="42" w:name="v2_42"/>
      <w:bookmarkEnd w:id="42"/>
    </w:p>
    <w:p>
      <w:pPr>
        <w:pStyle w:val="Heading3"/>
      </w:pPr>
      <w:r>
        <w:t>3.2.1 类型条件低秩适配</w:t>
      </w:r>
      <w:bookmarkStart w:id="43" w:name="v2_43"/>
      <w:bookmarkEnd w:id="43"/>
    </w:p>
    <w:p>
      <w:r>
        <w:rPr>
          <w:rFonts w:ascii="Times New Roman" w:hAnsi="Times New Roman" w:eastAsia="Songti SC"/>
          <w:color w:val="000000"/>
        </w:rPr>
        <w:t xml:space="preserve">模型以 Qwen2.5-7B-Instruct 为生成骨干，冻结基础权重，在注意力投影中配置全局与结论专项低秩分支。LoRA 的低秩参数化沿用已有方法[32]。对于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全局分支参与全部位置的计算，结论分支由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控制。组件字段按 id、type、span 序列化。只有已经可见的生成前缀包含完整闭合的结论类型值时，门控才在当前组件的后续字段开启，并在该组件对象结束后关闭。AAEC 的触发类型为 Claim/MajorClaim，CDCP 为 Policy/Value；输入位置、尚未闭合的类型字段和关系区域均令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。教师强制训练使用相同前缀规则，不读取当前位置之后的金标类型。</w:t>
      </w:r>
    </w:p>
    <w:p>
      <w:r>
        <w:rPr>
          <w:rFonts w:ascii="Times New Roman" w:hAnsi="Times New Roman" w:eastAsia="Songti SC"/>
          <w:color w:val="000000"/>
        </w:rPr>
        <w:t xml:space="preserve">该门控表示“已选择结论类型之后的字段适配”，主要直接影响随后生成的跨度等内容，不能回溯纠正同一组件已经输出的类型。参考配置取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，并设置单一全局 rank-32 分支作为参数量匹配对照。两条 rank-16 分支与单条 rank-32 分支的参数规模可比，不意味着激活路径和运行成本相同。</w:t>
      </w:r>
    </w:p>
    <w:p>
      <w:pPr>
        <w:pStyle w:val="Heading3"/>
      </w:pPr>
      <w:r>
        <w:t>3.2.2 线索提示与原有监督</w:t>
      </w:r>
      <w:bookmarkStart w:id="44" w:name="v2_44"/>
      <w:bookmarkEnd w:id="44"/>
    </w:p>
    <w:p>
      <w:r>
        <w:rPr>
          <w:rFonts w:ascii="Times New Roman" w:hAnsi="Times New Roman" w:eastAsia="Songti SC"/>
          <w:color w:val="000000"/>
        </w:rPr>
        <w:t xml:space="preserve">连续提示采用可训练向量提供输入条件，其基础来自参数高效提示调优[33]。本章对 therefore、thus、in conclusion、consequently、hence、to conclude 进行不区分大小写的词边界匹配。命中任一短语时，在聊天模板的输入嵌入之前插入四个向量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；未命中则不插入占位向量。提示位置不计入原文坐标。</w:t>
      </w:r>
    </w:p>
    <w:p>
      <w:r>
        <w:rPr>
          <w:rFonts w:ascii="Times New Roman" w:hAnsi="Times New Roman" w:eastAsia="Songti SC"/>
          <w:color w:val="000000"/>
        </w:rPr>
        <w:t>词典只决定是否启用提示，不直接赋予结论标签。显式标记可能出现在非结论表达中，隐式结论也可能没有标记。有关话语标记增强的研究表明，其收益不能由标记数量直接推定[40]；因此，原始视图和增强视图各自依据输入文本触发提示，而不强制复制触发状态。</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专项训练思路。根据句末标点和文档结尾确定句子边界，对输入原文对应的最后一层隐藏状态进行句内均值池化，经线性层和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。句子与结论类金标跨度有交集时令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，否则为零；跨句组件可以标记多个句子。定义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。句子头只读取输入表示，不池化金标回答；其监督用于共享表示学习，不在推理输出中增加字段。上述配置界定本章实验的技术接口，历史结果仍按其原运行记录解释。</w:t>
      </w:r>
    </w:p>
    <w:p>
      <w:pPr>
        <w:pStyle w:val="Heading2"/>
      </w:pPr>
      <w:r>
        <w:t>3.3 关系影响域与标注迁移</w:t>
      </w:r>
      <w:bookmarkStart w:id="45" w:name="v2_45"/>
      <w:bookmarkEnd w:id="45"/>
    </w:p>
    <w:p>
      <w:pPr>
        <w:pStyle w:val="Heading3"/>
      </w:pPr>
      <w:r>
        <w:t>3.3.1 改写区域与关系因素</w:t>
      </w:r>
      <w:bookmarkStart w:id="46" w:name="v2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表3-1给出贯穿本章的人工二元关系示意。为便于中文阅读而构造该片段，不将其视为AAEC或CDCP的真实样本，也不据此推断两个语料的具体标注结果。</w:t>
      </w:r>
    </w:p>
    <w:p>
      <w:pPr>
        <w:pStyle w:val="TableCaption"/>
      </w:pPr>
      <w:r>
        <w:rPr>
          <w:rFonts w:ascii="Times New Roman" w:hAnsi="Times New Roman" w:eastAsia="Songti SC"/>
          <w:color w:val="000000"/>
          <w:sz w:val="21"/>
        </w:rPr>
        <w:t>表3-1 关系保持改写的组件示意</w:t>
      </w:r>
      <w:bookmarkStart w:id="153" w:name="v2_153"/>
      <w:bookmarkEnd w:id="15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在此示意中，人为设定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：前一条Support的两端都在集合内，属于内部因素；后一条Support只有一端在集合内，属于跨边界因素；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也是跨边界因素，只是它的标签状态为NONE。NONE表示该合法端点组合没有标注关系，不是一种需要输出的边，不是“尚未判定”，也不等于组件不存在。</w:t>
      </w:r>
    </w:p>
    <w:p>
      <w:pPr>
        <w:keepNext/>
        <w:spacing w:line="240" w:lineRule="auto" w:before="80" w:after="60"/>
        <w:ind w:firstLine="0"/>
        <w:jc w:val="center"/>
      </w:pPr>
      <w:r>
        <w:drawing>
          <wp:inline xmlns:a="http://schemas.openxmlformats.org/drawingml/2006/main" xmlns:pic="http://schemas.openxmlformats.org/drawingml/2006/picture">
            <wp:extent cx="5652770" cy="4141302"/>
            <wp:docPr id="4" name="augmentation.png" descr="关系影响域中的内部与跨边界组合。机制示意，非实测案例。"/>
            <wp:cNvGraphicFramePr>
              <a:graphicFrameLocks noChangeAspect="1"/>
            </wp:cNvGraphicFramePr>
            <a:graphic>
              <a:graphicData uri="http://schemas.openxmlformats.org/drawingml/2006/picture">
                <pic:pic>
                  <pic:nvPicPr>
                    <pic:cNvPr id="0" name="augmentation.png"/>
                    <pic:cNvPicPr/>
                  </pic:nvPicPr>
                  <pic:blipFill>
                    <a:blip r:embed="rId77"/>
                    <a:stretch>
                      <a:fillRect/>
                    </a:stretch>
                  </pic:blipFill>
                  <pic:spPr>
                    <a:xfrm>
                      <a:off x="0" y="0"/>
                      <a:ext cx="5652770" cy="4141302"/>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54" w:name="v2_154"/>
      <w:bookmarkEnd w:id="154"/>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 xml:space="preserve">，优先选择结论角色组件及其直接入邻居作为可改写集合 </w:t>
      </w:r>
      <m:oMath>
        <m:r>
          <m:t xml:space="preserve">A</m:t>
        </m:r>
      </m:oMath>
      <w:r>
        <w:rPr>
          <w:rFonts w:ascii="Times New Roman" w:hAnsi="Times New Roman" w:eastAsia="Songti SC"/>
          <w:color w:val="000000"/>
        </w:rPr>
        <w:t>；超边的入邻居包含完整源成员。其余原文保持只读。不存在合适结论中心时，按固定规则选择一般组件。中心规则在增强前确定，不利用验证集或测试集标签选择易改写样本。</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，源成员按原文顺序规范化，不展开为若干独立二元关系。训练因素宇宙包括全部金标超边的端点组合，以及满足源范围规则、最多含三个源成员的候选组合；超过三个源成员的金标关系全部保留。NONE 仅在这一声明的有限宇宙中定义，并不声称枚举了组件集合的所有子集。连续性依据所选组件序列判定，不能以原文字符之间没有间隙替代。该预算使超过三个源成员的训练因素缺乏同元数NONE对照，形成长度相关的监督偏置，需分元数报告诊断，不能将此辅助头作为长超边正确性评分器。</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。两端均在 </w:t>
      </w:r>
      <m:oMath>
        <m:r>
          <m:t xml:space="preserve">A</m:t>
        </m:r>
      </m:oMath>
      <w:r>
        <w:rPr>
          <w:rFonts w:ascii="Times New Roman" w:hAnsi="Times New Roman" w:eastAsia="Songti SC"/>
          <w:color w:val="000000"/>
        </w:rPr>
        <w:t xml:space="preserve"> 中的因素属于内部因素，只有部分端点在 </w:t>
      </w:r>
      <m:oMath>
        <m:r>
          <m:t xml:space="preserve">A</m:t>
        </m:r>
      </m:oMath>
      <w:r>
        <w:rPr>
          <w:rFonts w:ascii="Times New Roman" w:hAnsi="Times New Roman" w:eastAsia="Songti SC"/>
          <w:color w:val="000000"/>
        </w:rPr>
        <w:t xml:space="preserve"> 中的属于边界因素。NONE 表示当前标注协议中的无边状态，不是两段文字在任何解释下都不存在联系。本章的“完整”指预先声明宇宙内按端点关联定义的影响因素均被检查，不是全文语义影响完备性的保证。改写仍可能经指代或篇章语境影响两个只读端点，其域外漂移纳入人工审计。若因资源限制裁剪，则记录因素覆盖率，并将该设置标记为近似版本。</w:t>
      </w:r>
    </w:p>
    <w:p>
      <w:pPr>
        <w:pStyle w:val="Heading3"/>
      </w:pPr>
      <w:r>
        <w:t>3.3.2 条件生成与标注迁移</w:t>
      </w:r>
      <w:bookmarkStart w:id="47" w:name="v2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2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2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4674582"/>
            <wp:docPr id="5" name="training_architecture.png" descr="关系感知增强学习的共享表示与梯度接口。机制示意，非实测案例。"/>
            <wp:cNvGraphicFramePr>
              <a:graphicFrameLocks noChangeAspect="1"/>
            </wp:cNvGraphicFramePr>
            <a:graphic>
              <a:graphicData uri="http://schemas.openxmlformats.org/drawingml/2006/picture">
                <pic:pic>
                  <pic:nvPicPr>
                    <pic:cNvPr id="0" name="training_architecture.png"/>
                    <pic:cNvPicPr/>
                  </pic:nvPicPr>
                  <pic:blipFill>
                    <a:blip r:embed="rId78"/>
                    <a:stretch>
                      <a:fillRect/>
                    </a:stretch>
                  </pic:blipFill>
                  <pic:spPr>
                    <a:xfrm>
                      <a:off x="0" y="0"/>
                      <a:ext cx="5652770" cy="4674582"/>
                    </a:xfrm>
                    <a:prstGeom prst="rect"/>
                  </pic:spPr>
                </pic:pic>
              </a:graphicData>
            </a:graphic>
          </wp:inline>
        </w:drawing>
      </w:r>
    </w:p>
    <w:p>
      <w:pPr>
        <w:pStyle w:val="FigureCaption"/>
      </w:pPr>
      <w:r>
        <w:rPr>
          <w:rFonts w:ascii="Times New Roman" w:hAnsi="Times New Roman" w:eastAsia="Songti SC"/>
          <w:color w:val="000000"/>
          <w:sz w:val="21"/>
        </w:rPr>
        <w:t>图3-2 关系感知增强学习的训练架构</w:t>
      </w:r>
      <w:bookmarkStart w:id="155" w:name="v2_155"/>
      <w:bookmarkEnd w:id="155"/>
    </w:p>
    <w:p>
      <w:r>
        <w:rPr>
          <w:rFonts w:ascii="Times New Roman" w:hAnsi="Times New Roman" w:eastAsia="Songti SC"/>
          <w:color w:val="000000"/>
        </w:rPr>
        <w:t>图中将继承的专项适配、线索提示和句子监督与新增的组件头、关系头及成对损失区分标示。数据流表示文本和隐藏状态的传递，图下注释明确各损失可更新的参数及梯度边界。输入端的结论门控关闭，因此成对损失直接更新共享全局LoRA及当前视图触发的连续提示；结论专项分支仍由原文和增强文的生成损失训练。</w:t>
      </w:r>
    </w:p>
    <w:p>
      <w:pPr>
        <w:pStyle w:val="Heading3"/>
      </w:pPr>
      <w:r>
        <w:t>3.4.1 输入表示与训练头</w:t>
      </w:r>
      <w:bookmarkStart w:id="50" w:name="v2_50"/>
      <w:bookmarkEnd w:id="50"/>
    </w:p>
    <w:p>
      <w:r>
        <w:rPr>
          <w:rFonts w:ascii="Times New Roman" w:hAnsi="Times New Roman" w:eastAsia="Songti SC"/>
          <w:color w:val="000000"/>
        </w:rPr>
        <w:t xml:space="preserve">单纯复制标注没有显式约束原文与改写文本的预测行为。本章在共享生成器上增加组件类型头和关系状态头，使用金标跨度定位训练因素。下游生成器输入只含任务指令及原文或增强文，不包含增强生成阶段的金标槽位、类型和关系条件；这些标注只用于定位监督及计算损失。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为模型输入子词的隐藏状态，以原文字符跨度和分词器offset mapping确定组件对应子词集合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，排除聊天模板及连续提示位置，并显式补偿其索引位移；无法一致映射则报错。句子头使用同一映射规则。以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表示全文输入结束且回答尚未开始处的隐藏状态，定义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只能访问左侧上下文，因此跨度池化本身不是双向编码。拼接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提供一个可访问完整输入的上下文通道，但不等同于所有跨度 token 都具有双向注意力。该向量不能取自金标回答末尾，组件头也不输入待预测的金标类型。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取源成员表示的算术均值。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数，不包含金标类型或关系标签。二元关系使用单一源表示；超边按规范顺序组织源成员，并以完整源集合和目标为监督对象。该头的输出包含 NONE，不能把“某个源成员与目标相关”替代为“整个超边正确”。两个头均只用于训练，金标跨度定位不向测试阶段提供任何组件或标签。</w:t>
      </w:r>
    </w:p>
    <w:p>
      <w:pPr>
        <w:pStyle w:val="Heading3"/>
      </w:pPr>
      <w:r>
        <w:t>3.4.2 对齐与金标锚定</w:t>
      </w:r>
      <w:bookmarkStart w:id="51" w:name="v2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2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控制同源增强的总权重，避免接受更多变体的文档仅因复制数量获得成倍权重。外层按源文档等权采样；梯度累积的最后一个不足批次按实际源文档数归一化。其余损失系数在验证集确定，测试集不参与选择。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具体梯度核验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2_53"/>
      <w:bookmarkEnd w:id="53"/>
    </w:p>
    <w:p>
      <w:pPr>
        <w:pStyle w:val="Heading3"/>
      </w:pPr>
      <w:r>
        <w:t>3.5.1 数据构造与参数学习</w:t>
      </w:r>
      <w:bookmarkStart w:id="54" w:name="v2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关系感知增强学习</w:t>
      </w:r>
      <w:bookmarkStart w:id="156" w:name="v2_156"/>
      <w:bookmarkEnd w:id="156"/>
    </w:p>
    <w:p>
      <w:pPr>
        <w:pStyle w:val="AlgorithmLine"/>
        <w:keepNext/>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t>输入：训练文档及金标图 D_train，数据协议，固定增强与语义验证模型，</w:t>
      </w:r>
    </w:p>
    <w:p>
      <w:pPr>
        <w:pStyle w:val="AlgorithmLine"/>
        <w:keepNext/>
        <w:tabs>
          <w:tab w:pos="397" w:val="left"/>
        </w:tabs>
        <w:spacing w:line="300" w:lineRule="exact" w:after="0"/>
        <w:ind w:left="397" w:hanging="397"/>
      </w:pPr>
      <w:r>
        <w:rPr>
          <w:rFonts w:ascii="Times New Roman" w:hAnsi="Times New Roman" w:eastAsia="Songti SC"/>
          <w:color w:val="000000"/>
          <w:sz w:val="21"/>
        </w:rPr>
        <w:tab/>
        <w:t xml:space="preserve">      每文档尝试上限 B_try、接受上限 B_accept，训练更新上限 U。</w:t>
      </w:r>
    </w:p>
    <w:p>
      <w:pPr>
        <w:pStyle w:val="AlgorithmLine"/>
        <w:keepNext/>
        <w:tabs>
          <w:tab w:pos="397" w:val="left"/>
        </w:tabs>
        <w:spacing w:line="300" w:lineRule="exact" w:after="0"/>
        <w:ind w:left="397" w:hanging="397"/>
      </w:pPr>
      <w:r>
        <w:rPr>
          <w:rFonts w:ascii="Times New Roman" w:hAnsi="Times New Roman" w:eastAsia="Songti SC"/>
          <w:color w:val="000000"/>
          <w:sz w:val="21"/>
        </w:rPr>
        <w:tab/>
        <w:t>输出：结论专项生成器 θ，以及增强样本、组件映射和来源记录。</w:t>
      </w:r>
    </w:p>
    <w:p>
      <w:pPr>
        <w:pStyle w:val="AlgorithmLine"/>
        <w:keepNext/>
        <w:tabs>
          <w:tab w:pos="397" w:val="left"/>
        </w:tabs>
        <w:spacing w:line="300" w:lineRule="exact" w:after="0"/>
        <w:ind w:left="397" w:hanging="397"/>
      </w:pPr>
      <w:r>
        <w:rPr>
          <w:rFonts w:ascii="Times New Roman" w:hAnsi="Times New Roman" w:eastAsia="Songti SC"/>
          <w:color w:val="000000"/>
          <w:sz w:val="21"/>
        </w:rPr>
        <w:t>1</w:t>
        <w:tab/>
        <w:t>检查训练划分、全文哈希分组、坐标和标签协议</w:t>
      </w:r>
    </w:p>
    <w:p>
      <w:pPr>
        <w:pStyle w:val="AlgorithmLine"/>
        <w:keepNext/>
        <w:tabs>
          <w:tab w:pos="397" w:val="left"/>
        </w:tabs>
        <w:spacing w:line="300" w:lineRule="exact" w:after="0"/>
        <w:ind w:left="397" w:hanging="397"/>
      </w:pPr>
      <w:r>
        <w:rPr>
          <w:rFonts w:ascii="Times New Roman" w:hAnsi="Times New Roman" w:eastAsia="Songti SC"/>
          <w:color w:val="000000"/>
          <w:sz w:val="21"/>
        </w:rPr>
        <w:t>2</w:t>
        <w:tab/>
        <w:t>for 每篇源文档 d ∈ D_train do</w:t>
      </w:r>
    </w:p>
    <w:p>
      <w:pPr>
        <w:pStyle w:val="AlgorithmLine"/>
        <w:keepNext/>
        <w:tabs>
          <w:tab w:pos="397" w:val="left"/>
        </w:tabs>
        <w:spacing w:line="300" w:lineRule="exact" w:after="0"/>
        <w:ind w:left="397" w:hanging="397"/>
      </w:pPr>
      <w:r>
        <w:rPr>
          <w:rFonts w:ascii="Times New Roman" w:hAnsi="Times New Roman" w:eastAsia="Songti SC"/>
          <w:color w:val="000000"/>
          <w:sz w:val="21"/>
        </w:rPr>
        <w:t>3</w:t>
        <w:tab/>
        <w:t xml:space="preserve">    保留原文 x_d 和完整金标图 G_d；令 Views_d = ∅</w:t>
      </w:r>
    </w:p>
    <w:p>
      <w:pPr>
        <w:pStyle w:val="AlgorithmLine"/>
        <w:keepNext/>
        <w:tabs>
          <w:tab w:pos="397" w:val="left"/>
        </w:tabs>
        <w:spacing w:line="300" w:lineRule="exact" w:after="0"/>
        <w:ind w:left="397" w:hanging="397"/>
      </w:pPr>
      <w:r>
        <w:rPr>
          <w:rFonts w:ascii="Times New Roman" w:hAnsi="Times New Roman" w:eastAsia="Songti SC"/>
          <w:color w:val="000000"/>
          <w:sz w:val="21"/>
        </w:rPr>
        <w:t>4</w:t>
        <w:tab/>
        <w:t xml:space="preserve">    建立因素宇宙 Ω(C_d)，按固定规则选择改写组件集合 A</w:t>
      </w:r>
    </w:p>
    <w:p>
      <w:pPr>
        <w:pStyle w:val="AlgorithmLine"/>
        <w:keepNext/>
        <w:tabs>
          <w:tab w:pos="397" w:val="left"/>
        </w:tabs>
        <w:spacing w:line="300" w:lineRule="exact" w:after="0"/>
        <w:ind w:left="397" w:hanging="397"/>
      </w:pPr>
      <w:r>
        <w:rPr>
          <w:rFonts w:ascii="Times New Roman" w:hAnsi="Times New Roman" w:eastAsia="Songti SC"/>
          <w:color w:val="000000"/>
          <w:sz w:val="21"/>
        </w:rPr>
        <w:t>5</w:t>
        <w:tab/>
        <w:t xml:space="preserve">    构造完整影响域 D_A；令 attempts = 0</w:t>
      </w:r>
    </w:p>
    <w:p>
      <w:pPr>
        <w:pStyle w:val="AlgorithmLine"/>
        <w:keepNext/>
        <w:tabs>
          <w:tab w:pos="397" w:val="left"/>
        </w:tabs>
        <w:spacing w:line="300" w:lineRule="exact" w:after="0"/>
        <w:ind w:left="397" w:hanging="397"/>
      </w:pPr>
      <w:r>
        <w:rPr>
          <w:rFonts w:ascii="Times New Roman" w:hAnsi="Times New Roman" w:eastAsia="Songti SC"/>
          <w:color w:val="000000"/>
          <w:sz w:val="21"/>
        </w:rPr>
        <w:t>6</w:t>
        <w:tab/>
        <w:t xml:space="preserve">    while attempts &lt; B_try 且 |Views_d| &lt; B_accept do</w:t>
      </w:r>
    </w:p>
    <w:p>
      <w:pPr>
        <w:pStyle w:val="AlgorithmLine"/>
        <w:keepNext/>
        <w:tabs>
          <w:tab w:pos="397" w:val="left"/>
        </w:tabs>
        <w:spacing w:line="300" w:lineRule="exact" w:after="0"/>
        <w:ind w:left="397" w:hanging="397"/>
      </w:pPr>
      <w:r>
        <w:rPr>
          <w:rFonts w:ascii="Times New Roman" w:hAnsi="Times New Roman" w:eastAsia="Songti SC"/>
          <w:color w:val="000000"/>
          <w:sz w:val="21"/>
        </w:rPr>
        <w:t>7</w:t>
        <w:tab/>
        <w:t xml:space="preserve">        attempts ← attempts + 1；生成组件槽位的替换文本</w:t>
      </w:r>
    </w:p>
    <w:p>
      <w:pPr>
        <w:pStyle w:val="AlgorithmLine"/>
        <w:keepNext/>
        <w:tabs>
          <w:tab w:pos="397" w:val="left"/>
        </w:tabs>
        <w:spacing w:line="300" w:lineRule="exact" w:after="0"/>
        <w:ind w:left="397" w:hanging="397"/>
      </w:pPr>
      <w:r>
        <w:rPr>
          <w:rFonts w:ascii="Times New Roman" w:hAnsi="Times New Roman" w:eastAsia="Songti SC"/>
          <w:color w:val="000000"/>
          <w:sz w:val="21"/>
        </w:rPr>
        <w:t>8</w:t>
        <w:tab/>
        <w:t xml:space="preserve">        回填全文、重新分词，建立全部组件的双射 φ</w:t>
      </w:r>
    </w:p>
    <w:p>
      <w:pPr>
        <w:pStyle w:val="AlgorithmLine"/>
        <w:keepNext/>
        <w:tabs>
          <w:tab w:pos="397" w:val="left"/>
        </w:tabs>
        <w:spacing w:line="300" w:lineRule="exact" w:after="0"/>
        <w:ind w:left="397" w:hanging="397"/>
      </w:pPr>
      <w:r>
        <w:rPr>
          <w:rFonts w:ascii="Times New Roman" w:hAnsi="Times New Roman" w:eastAsia="Songti SC"/>
          <w:color w:val="000000"/>
          <w:sz w:val="21"/>
        </w:rPr>
        <w:t>9</w:t>
        <w:tab/>
        <w:t xml:space="preserve">        if 格式、槽位、坐标或端点检查失败 then</w:t>
      </w:r>
    </w:p>
    <w:p>
      <w:pPr>
        <w:pStyle w:val="AlgorithmLine"/>
        <w:keepNext/>
        <w:tabs>
          <w:tab w:pos="397" w:val="left"/>
        </w:tabs>
        <w:spacing w:line="300" w:lineRule="exact" w:after="0"/>
        <w:ind w:left="397" w:hanging="397"/>
      </w:pPr>
      <w:r>
        <w:rPr>
          <w:rFonts w:ascii="Times New Roman" w:hAnsi="Times New Roman" w:eastAsia="Songti SC"/>
          <w:color w:val="000000"/>
          <w:sz w:val="21"/>
        </w:rPr>
        <w:t>10</w:t>
        <w:tab/>
        <w:t xml:space="preserve">            记录拒绝原因及成本；continue</w:t>
      </w:r>
    </w:p>
    <w:p>
      <w:pPr>
        <w:pStyle w:val="AlgorithmLine"/>
        <w:keepNext/>
        <w:tabs>
          <w:tab w:pos="397" w:val="left"/>
        </w:tabs>
        <w:spacing w:line="300" w:lineRule="exact" w:after="0"/>
        <w:ind w:left="397" w:hanging="397"/>
      </w:pPr>
      <w:r>
        <w:rPr>
          <w:rFonts w:ascii="Times New Roman" w:hAnsi="Times New Roman" w:eastAsia="Songti SC"/>
          <w:color w:val="000000"/>
          <w:sz w:val="21"/>
        </w:rPr>
        <w:t>11</w:t>
        <w:tab/>
        <w:t xml:space="preserve">        end if</w:t>
      </w:r>
    </w:p>
    <w:p>
      <w:pPr>
        <w:pStyle w:val="AlgorithmLine"/>
        <w:keepNext/>
        <w:tabs>
          <w:tab w:pos="397" w:val="left"/>
        </w:tabs>
        <w:spacing w:line="300" w:lineRule="exact" w:after="0"/>
        <w:ind w:left="397" w:hanging="397"/>
      </w:pPr>
      <w:r>
        <w:rPr>
          <w:rFonts w:ascii="Times New Roman" w:hAnsi="Times New Roman" w:eastAsia="Songti SC"/>
          <w:color w:val="000000"/>
          <w:sz w:val="21"/>
        </w:rPr>
        <w:t>12</w:t>
        <w:tab/>
        <w:t xml:space="preserve">        检查全文角色与表达退化；D_A 非空时检查其中全部关系状态</w:t>
      </w:r>
    </w:p>
    <w:p>
      <w:pPr>
        <w:pStyle w:val="AlgorithmLine"/>
        <w:keepNext/>
        <w:tabs>
          <w:tab w:pos="397" w:val="left"/>
        </w:tabs>
        <w:spacing w:line="300" w:lineRule="exact" w:after="0"/>
        <w:ind w:left="397" w:hanging="397"/>
      </w:pPr>
      <w:r>
        <w:rPr>
          <w:rFonts w:ascii="Times New Roman" w:hAnsi="Times New Roman" w:eastAsia="Songti SC"/>
          <w:color w:val="000000"/>
          <w:sz w:val="21"/>
        </w:rPr>
        <w:t>13</w:t>
        <w:tab/>
        <w:t xml:space="preserve">        if 任一受检标签漂移或其他筛选条件失败 then</w:t>
      </w:r>
    </w:p>
    <w:p>
      <w:pPr>
        <w:pStyle w:val="AlgorithmLine"/>
        <w:keepNext/>
        <w:tabs>
          <w:tab w:pos="397" w:val="left"/>
        </w:tabs>
        <w:spacing w:line="300" w:lineRule="exact" w:after="0"/>
        <w:ind w:left="397" w:hanging="397"/>
      </w:pPr>
      <w:r>
        <w:rPr>
          <w:rFonts w:ascii="Times New Roman" w:hAnsi="Times New Roman" w:eastAsia="Songti SC"/>
          <w:color w:val="000000"/>
          <w:sz w:val="21"/>
        </w:rPr>
        <w:t>14</w:t>
        <w:tab/>
        <w:t xml:space="preserve">            拒绝整个变体，记录原因及成本；continue</w:t>
      </w:r>
    </w:p>
    <w:p>
      <w:pPr>
        <w:pStyle w:val="AlgorithmLine"/>
        <w:keepNext/>
        <w:tabs>
          <w:tab w:pos="397" w:val="left"/>
        </w:tabs>
        <w:spacing w:line="300" w:lineRule="exact" w:after="0"/>
        <w:ind w:left="397" w:hanging="397"/>
      </w:pPr>
      <w:r>
        <w:rPr>
          <w:rFonts w:ascii="Times New Roman" w:hAnsi="Times New Roman" w:eastAsia="Songti SC"/>
          <w:color w:val="000000"/>
          <w:sz w:val="21"/>
        </w:rPr>
        <w:t>15</w:t>
        <w:tab/>
        <w:t xml:space="preserve">        end if</w:t>
      </w:r>
    </w:p>
    <w:p>
      <w:pPr>
        <w:pStyle w:val="AlgorithmLine"/>
        <w:keepNext/>
        <w:tabs>
          <w:tab w:pos="397" w:val="left"/>
        </w:tabs>
        <w:spacing w:line="300" w:lineRule="exact" w:after="0"/>
        <w:ind w:left="397" w:hanging="397"/>
      </w:pPr>
      <w:r>
        <w:rPr>
          <w:rFonts w:ascii="Times New Roman" w:hAnsi="Times New Roman" w:eastAsia="Songti SC"/>
          <w:color w:val="000000"/>
          <w:sz w:val="21"/>
        </w:rPr>
        <w:t>16</w:t>
        <w:tab/>
        <w:t xml:space="preserve">        将通过的全文视图、φ(G_d)、φ 和来源加入 Views_d</w:t>
      </w:r>
    </w:p>
    <w:p>
      <w:pPr>
        <w:pStyle w:val="AlgorithmLine"/>
        <w:keepNext/>
        <w:tabs>
          <w:tab w:pos="397" w:val="left"/>
        </w:tabs>
        <w:spacing w:line="300" w:lineRule="exact" w:after="0"/>
        <w:ind w:left="397" w:hanging="397"/>
      </w:pPr>
      <w:r>
        <w:rPr>
          <w:rFonts w:ascii="Times New Roman" w:hAnsi="Times New Roman" w:eastAsia="Songti SC"/>
          <w:color w:val="000000"/>
          <w:sz w:val="21"/>
        </w:rPr>
        <w:t>17</w:t>
        <w:tab/>
        <w:t xml:space="preserve">    end while</w:t>
      </w:r>
    </w:p>
    <w:p>
      <w:pPr>
        <w:pStyle w:val="AlgorithmLine"/>
        <w:keepNext/>
        <w:tabs>
          <w:tab w:pos="397" w:val="left"/>
        </w:tabs>
        <w:spacing w:line="300" w:lineRule="exact" w:after="0"/>
        <w:ind w:left="397" w:hanging="397"/>
      </w:pPr>
      <w:r>
        <w:rPr>
          <w:rFonts w:ascii="Times New Roman" w:hAnsi="Times New Roman" w:eastAsia="Songti SC"/>
          <w:color w:val="000000"/>
          <w:sz w:val="21"/>
        </w:rPr>
        <w:t>18</w:t>
        <w:tab/>
        <w:t xml:space="preserve">    保存 Views_d；集合为空时仍保留原文</w:t>
      </w:r>
    </w:p>
    <w:p>
      <w:pPr>
        <w:pStyle w:val="AlgorithmLine"/>
        <w:keepNext/>
        <w:tabs>
          <w:tab w:pos="397" w:val="left"/>
        </w:tabs>
        <w:spacing w:line="300" w:lineRule="exact" w:after="0"/>
        <w:ind w:left="397" w:hanging="397"/>
      </w:pPr>
      <w:r>
        <w:rPr>
          <w:rFonts w:ascii="Times New Roman" w:hAnsi="Times New Roman" w:eastAsia="Songti SC"/>
          <w:color w:val="000000"/>
          <w:sz w:val="21"/>
        </w:rPr>
        <w:t>19</w:t>
        <w:tab/>
        <w:t>end for</w:t>
      </w:r>
    </w:p>
    <w:p>
      <w:pPr>
        <w:pStyle w:val="AlgorithmLine"/>
        <w:keepNext/>
        <w:tabs>
          <w:tab w:pos="397" w:val="left"/>
        </w:tabs>
        <w:spacing w:line="300" w:lineRule="exact" w:after="0"/>
        <w:ind w:left="397" w:hanging="397"/>
      </w:pPr>
      <w:r>
        <w:rPr>
          <w:rFonts w:ascii="Times New Roman" w:hAnsi="Times New Roman" w:eastAsia="Songti SC"/>
          <w:color w:val="000000"/>
          <w:sz w:val="21"/>
        </w:rPr>
        <w:t>20</w:t>
        <w:tab/>
        <w:t>for step = 1, …, U do</w:t>
      </w:r>
    </w:p>
    <w:p>
      <w:pPr>
        <w:pStyle w:val="AlgorithmLine"/>
        <w:keepNext/>
        <w:tabs>
          <w:tab w:pos="397" w:val="left"/>
        </w:tabs>
        <w:spacing w:line="300" w:lineRule="exact" w:after="0"/>
        <w:ind w:left="397" w:hanging="397"/>
      </w:pPr>
      <w:r>
        <w:rPr>
          <w:rFonts w:ascii="Times New Roman" w:hAnsi="Times New Roman" w:eastAsia="Songti SC"/>
          <w:color w:val="000000"/>
          <w:sz w:val="21"/>
        </w:rPr>
        <w:t>21</w:t>
        <w:tab/>
        <w:t xml:space="preserve">    按源文档等权取训练批次；读取原文及其已接受视图</w:t>
      </w:r>
    </w:p>
    <w:p>
      <w:pPr>
        <w:pStyle w:val="AlgorithmLine"/>
        <w:keepNext/>
        <w:tabs>
          <w:tab w:pos="397" w:val="left"/>
        </w:tabs>
        <w:spacing w:line="300" w:lineRule="exact" w:after="0"/>
        <w:ind w:left="397" w:hanging="397"/>
      </w:pPr>
      <w:r>
        <w:rPr>
          <w:rFonts w:ascii="Times New Roman" w:hAnsi="Times New Roman" w:eastAsia="Songti SC"/>
          <w:color w:val="000000"/>
          <w:sz w:val="21"/>
        </w:rPr>
        <w:t>22</w:t>
        <w:tab/>
        <w:t xml:space="preserve">    依可见前缀门控，计算各视图的生成损失和句子辅助损失</w:t>
      </w:r>
    </w:p>
    <w:p>
      <w:pPr>
        <w:pStyle w:val="AlgorithmLine"/>
        <w:keepNext/>
        <w:tabs>
          <w:tab w:pos="397" w:val="left"/>
        </w:tabs>
        <w:spacing w:line="300" w:lineRule="exact" w:after="0"/>
        <w:ind w:left="397" w:hanging="397"/>
      </w:pPr>
      <w:r>
        <w:rPr>
          <w:rFonts w:ascii="Times New Roman" w:hAnsi="Times New Roman" w:eastAsia="Songti SC"/>
          <w:color w:val="000000"/>
          <w:sz w:val="21"/>
        </w:rPr>
        <w:t>23</w:t>
        <w:tab/>
        <w:t xml:space="preserve">    从回答开始前的输入表示计算组件头与完整关系状态头监督</w:t>
      </w:r>
    </w:p>
    <w:p>
      <w:pPr>
        <w:pStyle w:val="AlgorithmLine"/>
        <w:keepNext/>
        <w:tabs>
          <w:tab w:pos="397" w:val="left"/>
        </w:tabs>
        <w:spacing w:line="300" w:lineRule="exact" w:after="0"/>
        <w:ind w:left="397" w:hanging="397"/>
      </w:pPr>
      <w:r>
        <w:rPr>
          <w:rFonts w:ascii="Times New Roman" w:hAnsi="Times New Roman" w:eastAsia="Songti SC"/>
          <w:color w:val="000000"/>
          <w:sz w:val="21"/>
        </w:rPr>
        <w:t>24</w:t>
        <w:tab/>
        <w:t xml:space="preserve">    依 φ 计算非空组件域、关系域的成对损失；空域项置零</w:t>
      </w:r>
    </w:p>
    <w:p>
      <w:pPr>
        <w:pStyle w:val="AlgorithmLine"/>
        <w:keepNext/>
        <w:tabs>
          <w:tab w:pos="397" w:val="left"/>
        </w:tabs>
        <w:spacing w:line="300" w:lineRule="exact" w:after="0"/>
        <w:ind w:left="397" w:hanging="397"/>
      </w:pPr>
      <w:r>
        <w:rPr>
          <w:rFonts w:ascii="Times New Roman" w:hAnsi="Times New Roman" w:eastAsia="Songti SC"/>
          <w:color w:val="000000"/>
          <w:sz w:val="21"/>
        </w:rPr>
        <w:t>25</w:t>
        <w:tab/>
        <w:t xml:space="preserve">    不停止任一视图的梯度，按同源变体及源文档两级归一化</w:t>
      </w:r>
    </w:p>
    <w:p>
      <w:pPr>
        <w:pStyle w:val="AlgorithmLine"/>
        <w:keepNext/>
        <w:tabs>
          <w:tab w:pos="397" w:val="left"/>
        </w:tabs>
        <w:spacing w:line="300" w:lineRule="exact" w:after="0"/>
        <w:ind w:left="397" w:hanging="397"/>
      </w:pPr>
      <w:r>
        <w:rPr>
          <w:rFonts w:ascii="Times New Roman" w:hAnsi="Times New Roman" w:eastAsia="Songti SC"/>
          <w:color w:val="000000"/>
          <w:sz w:val="21"/>
        </w:rPr>
        <w:t>26</w:t>
        <w:tab/>
        <w:t xml:space="preserve">    反向传播并更新全局LoRA、触发的连续提示和训练辅助头</w:t>
      </w:r>
    </w:p>
    <w:p>
      <w:pPr>
        <w:pStyle w:val="AlgorithmLine"/>
        <w:keepNext/>
        <w:tabs>
          <w:tab w:pos="397" w:val="left"/>
        </w:tabs>
        <w:spacing w:line="300" w:lineRule="exact" w:after="0"/>
        <w:ind w:left="397" w:hanging="397"/>
      </w:pPr>
      <w:r>
        <w:rPr>
          <w:rFonts w:ascii="Times New Roman" w:hAnsi="Times New Roman" w:eastAsia="Songti SC"/>
          <w:color w:val="000000"/>
          <w:sz w:val="21"/>
        </w:rPr>
        <w:t>27</w:t>
        <w:tab/>
        <w:t xml:space="preserve">    由生成损失更新结论专项分支；保持基础模型权重冻结</w:t>
      </w:r>
    </w:p>
    <w:p>
      <w:pPr>
        <w:pStyle w:val="AlgorithmLine"/>
        <w:keepNext/>
        <w:tabs>
          <w:tab w:pos="397" w:val="left"/>
        </w:tabs>
        <w:spacing w:line="300" w:lineRule="exact" w:after="0"/>
        <w:ind w:left="397" w:hanging="397"/>
      </w:pPr>
      <w:r>
        <w:rPr>
          <w:rFonts w:ascii="Times New Roman" w:hAnsi="Times New Roman" w:eastAsia="Songti SC"/>
          <w:color w:val="000000"/>
          <w:sz w:val="21"/>
        </w:rPr>
        <w:t>28</w:t>
        <w:tab/>
        <w:t xml:space="preserve">    若达到第二章2.6节预先确定的停止条件，则结束训练</w:t>
      </w:r>
    </w:p>
    <w:p>
      <w:pPr>
        <w:pStyle w:val="AlgorithmLine"/>
        <w:keepNext/>
        <w:tabs>
          <w:tab w:pos="397" w:val="left"/>
        </w:tabs>
        <w:spacing w:line="300" w:lineRule="exact" w:after="0"/>
        <w:ind w:left="397" w:hanging="397"/>
      </w:pPr>
      <w:r>
        <w:rPr>
          <w:rFonts w:ascii="Times New Roman" w:hAnsi="Times New Roman" w:eastAsia="Songti SC"/>
          <w:color w:val="000000"/>
          <w:sz w:val="21"/>
        </w:rPr>
        <w:t>29</w:t>
        <w:tab/>
        <w:t>end for</w:t>
      </w:r>
    </w:p>
    <w:p>
      <w:pPr>
        <w:pStyle w:val="AlgorithmLine"/>
        <w:keepNext w:val="0"/>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30</w:t>
        <w:tab/>
        <w:t>返回生成器及来源记录；开发评价和测试时移除训练辅助头</w:t>
      </w:r>
    </w:p>
    <w:p>
      <w:r>
        <w:rPr>
          <w:rFonts w:ascii="Times New Roman" w:hAnsi="Times New Roman" w:eastAsia="Songti SC"/>
          <w:color w:val="000000"/>
        </w:rPr>
        <w:t>参考设置取每篇文档最多四次尝试、最多接受两个变体；具体训练更新数由共同实验协议给出。循环终止不依赖最终是否获得增强样本，原文始终保留。第26—27行表示同一次反向传播中不同参数的梯度来源，并非将生成与对齐分为两次独立优化。梯度累积遇到最后一个不足批次时，按实际源文档数归一化。</w:t>
      </w:r>
    </w:p>
    <w:p>
      <w:pPr>
        <w:pStyle w:val="Heading3"/>
      </w:pPr>
      <w:r>
        <w:t>3.5.2 性质与适用条件</w:t>
      </w:r>
      <w:bookmarkStart w:id="55" w:name="v2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实验与分析</w:t>
      </w:r>
      <w:bookmarkStart w:id="56" w:name="v2_56"/>
      <w:bookmarkEnd w:id="56"/>
    </w:p>
    <w:p>
      <w:r>
        <w:rPr>
          <w:rFonts w:ascii="Times New Roman" w:hAnsi="Times New Roman" w:eastAsia="Songti SC"/>
          <w:color w:val="000000"/>
        </w:rPr>
        <w:t>本章的验证围绕两个问题展开：完整关系影响域能否提高增强标注的可靠性，以及成对学习能否在相同增强数据上改善真实文本抽取。前者需要同时考察标签漂移、表达变化、接受覆盖和构造成本，后者需要固定数据与表示模块后比较严格组件及关系指标。CovEReD的研究也提示增强一致性与原始任务表现需要分别检验[37]。本章新增方法尚无正式实测结果，下文给出比较协议、待接入的审计与运行字段，并保留明确标注的人工情景数值作为分析框架。</w:t>
      </w:r>
    </w:p>
    <w:p>
      <w:pPr>
        <w:pStyle w:val="Heading3"/>
      </w:pPr>
      <w:r>
        <w:t>3.6.1 实验设置与比较方法</w:t>
      </w:r>
      <w:bookmarkStart w:id="57" w:name="v2_57"/>
      <w:bookmarkEnd w:id="57"/>
    </w:p>
    <w:p>
      <w:r>
        <w:rPr>
          <w:rFonts w:ascii="Times New Roman" w:hAnsi="Times New Roman" w:eastAsia="Songti SC"/>
          <w:color w:val="000000"/>
        </w:rPr>
        <w:t>数据来源、划分、严格评价、随机种子及运行身份遵循第二章2.6节。AAEC采用完整端点、方向和标签匹配的二元关系评价，CDCP保留原生多前提超边，全部源成员与目标共同参与匹配。主指标为组件与严格完整关系的micro-Precision、Recall和F1，并分别报告结论类与非结论类、边界与类型错误。原文及其全部增强变体按源文档共同分组，重复文本按全文哈希处理，正式评价使用未改写的真实测试文本。</w:t>
      </w:r>
    </w:p>
    <w:p>
      <w:r>
        <w:rPr>
          <w:rFonts w:ascii="Times New Roman" w:hAnsi="Times New Roman" w:eastAsia="Songti SC"/>
          <w:color w:val="000000"/>
        </w:rPr>
        <w:t>训练基础T0保留ICIC专项适配、线索提示及句子辅助目标，不含本章新增增强与因素对齐；T1为完整关系感知增强学习。所有训练侧配置均采用I0推理，即MCR-only的初始图选择，不启用第四章新增修正。这样，检查点之间的差异对应训练设置的变化，其效果不会与新增修正混合归因。</w:t>
      </w:r>
    </w:p>
    <w:p>
      <w:r>
        <w:rPr>
          <w:rFonts w:ascii="Times New Roman" w:hAnsi="Times New Roman" w:eastAsia="Songti SC"/>
          <w:color w:val="000000"/>
        </w:rPr>
        <w:t>数据构造比较包括无增强、普通改写、结构条件改写、完整影响域改写及QOS式结构保持增强。QOS是直接论辩增强近邻，不能仅用完全无结构的普通改写作为唯一基线[35]。用于隔离生成条件的普通改写可以共用全文筛选，但应准确称为“无显式关系条件生成＋共同筛选”。另设尽可能复现QOS原方法的轨道，记录生成条件、筛选和资源差异；共同接口下的QOS式对照与原方法复现分别解释。</w:t>
      </w:r>
    </w:p>
    <w:p>
      <w:r>
        <w:rPr>
          <w:rFonts w:ascii="Times New Roman" w:hAnsi="Times New Roman" w:eastAsia="Songti SC"/>
          <w:color w:val="000000"/>
        </w:rPr>
        <w:t>关系影响域消融分别去除跨边界正关系检查和NONE检查，其余规则保持一致。筛选强度会改变接受率，因而比较采用两种资源口径：固定总尝试预算，以及匹配接受样本量、源文档访问量和训练更新预算。第二种口径允许不同的尝试次数，但其额外生成成本须单独计入。中心选择的比较按改写组件数、文本长度和关系度匹配，无法匹配的文档及剩余分布差异一并报告。</w:t>
      </w:r>
    </w:p>
    <w:p>
      <w:pPr>
        <w:pStyle w:val="TableCaption"/>
      </w:pPr>
      <w:r>
        <w:rPr>
          <w:rFonts w:ascii="Times New Roman" w:hAnsi="Times New Roman" w:eastAsia="Songti SC"/>
          <w:color w:val="000000"/>
          <w:sz w:val="21"/>
        </w:rPr>
        <w:t>表3-2 训练侧必要对照及其回答的问题</w:t>
      </w:r>
      <w:bookmarkStart w:id="157" w:name="v2_157"/>
      <w:bookmarkEnd w:id="15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验证问题</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T0与普通增强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骨干、推理、更新预算</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是否增加接受的文本变体</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一般数据增量是否已有收益</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QOS式与关系感知增强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源文档、预算、评价</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约束范围及生成机制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是否超过直接近邻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局部正边与完整影响域</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中心、生成器及资源口径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跨边界及NONE约束</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新增检查是否减少标签漂移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同数据去对齐与完整学习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增强集合、头、权重、步数</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成对因素损失</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学习目标的净增量</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结论与匹配随机中心</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大小、长度、关系度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中心选择偏置</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结论优先是否必要</w:t>
            </w:r>
          </w:p>
        </w:tc>
      </w:tr>
    </w:tbl>
    <w:p>
      <w:pPr>
        <w:spacing w:after="0" w:line="240" w:lineRule="auto"/>
      </w:pPr>
    </w:p>
    <w:p>
      <w:r>
        <w:rPr>
          <w:rFonts w:ascii="Times New Roman" w:hAnsi="Times New Roman" w:eastAsia="Songti SC"/>
          <w:color w:val="000000"/>
        </w:rPr>
        <w:t>学习目标的比较固定一份已接受增强数据，依次使用“仅生成与原句子监督”“增加组件及关系头监督”“进一步增加成对因素对齐”。去对齐设置继续保留相同辅助头、源文档权重与更新步数，以隔离成对损失。辅助头性能和原文与变体的一致性作为中间指标，最终判断依据真实测试文本的抽取结果。</w:t>
      </w:r>
    </w:p>
    <w:p>
      <w:pPr>
        <w:pStyle w:val="Heading3"/>
      </w:pPr>
      <w:r>
        <w:t>3.6.2 增强质量与标签可靠性</w:t>
      </w:r>
      <w:bookmarkStart w:id="58" w:name="v2_58"/>
      <w:bookmarkEnd w:id="58"/>
    </w:p>
    <w:p>
      <w:r>
        <w:rPr>
          <w:rFonts w:ascii="Times New Roman" w:hAnsi="Times New Roman" w:eastAsia="Songti SC"/>
          <w:color w:val="000000"/>
        </w:rPr>
        <w:t>标签可靠性审计从接受与拒绝变体中交叉分层抽样。分层维度包括数据集、端点位置类别以及关系状态：位置区分内部与跨边界，状态区分各正关系标签与NONE。NONE属于标签状态，不能与内部、跨边界并列为第三种位置。CDCP进一步按源成员数分组，特别检查最多三个源成员的候选预算对长超边监督造成的偏置。为评估端点影响域之外的语境变化，还需抽查两个端点均只读的关系。</w:t>
      </w:r>
    </w:p>
    <w:p>
      <w:r>
        <w:rPr>
          <w:rFonts w:ascii="Times New Roman" w:hAnsi="Times New Roman" w:eastAsia="Songti SC"/>
          <w:color w:val="000000"/>
        </w:rPr>
        <w:t>人工判断者在不知道方法名称和自动判定的条件下，对组件角色、否定与模态、指代、关系方向及标签保持作出判断，并记录分歧和裁决。审计材料应公开样本ID、抽样框、判断准则和抽样误差；判断者人数与一致性系数须由实际审计产生。自动筛选模型即使使用独立参数，也可能继承相近的判断偏差，人工审计承担检验筛选可靠性的作用，不能由程序结构检查代替。</w:t>
      </w:r>
    </w:p>
    <w:p>
      <w:r>
        <w:rPr>
          <w:rFonts w:ascii="Times New Roman" w:hAnsi="Times New Roman" w:eastAsia="Songti SC"/>
          <w:color w:val="000000"/>
        </w:rPr>
        <w:t>正式数据质量报告需同时给出尝试数、各阶段拒绝数、接受变体数、源文档接受覆盖率和去重后有效数量。表达变化以预先确定的词汇及句法差异指标描述，并与标签保持分开分析。若保持率提高伴随复杂关系文档大量被拒绝，应同时报告原始训练集与接受集在类型、关系度、超边元数和文本长度上的分布变化，以识别覆盖损失。</w:t>
      </w:r>
    </w:p>
    <w:p>
      <w:r>
        <w:rPr>
          <w:rFonts w:ascii="Times New Roman" w:hAnsi="Times New Roman" w:eastAsia="Songti SC"/>
          <w:b/>
          <w:color w:val="000000"/>
        </w:rPr>
        <w:t>标签漂移分层图位（待实测）</w:t>
      </w:r>
      <w:r>
        <w:rPr>
          <w:rFonts w:ascii="Times New Roman" w:hAnsi="Times New Roman" w:eastAsia="Songti SC"/>
          <w:color w:val="000000"/>
        </w:rPr>
        <w:t>：取得盲评记录后，按方法绘制“内部／跨边界×正关系／NONE”的漂移率及区间，CDCP另按源成员数分面。接入字段包括源文档ID、变体ID、数据集、方法、接受或拒绝状态、位置类别、原标签、人工判定标签、源成员数、抽样权重及裁决状态。各层同时给出审计样本量和分母；无样本层标记为空，不以零漂移填补。当前仅预留图位与字段，不绘制数值图。</w:t>
      </w:r>
    </w:p>
    <w:p>
      <w:pPr>
        <w:pStyle w:val="Heading3"/>
      </w:pPr>
      <w:r>
        <w:t>3.6.3 主结果及学习消融</w:t>
      </w:r>
      <w:bookmarkStart w:id="59" w:name="v2_59"/>
      <w:bookmarkEnd w:id="59"/>
    </w:p>
    <w:p>
      <w:r>
        <w:rPr>
          <w:rFonts w:ascii="Times New Roman" w:hAnsi="Times New Roman" w:eastAsia="Songti SC"/>
          <w:color w:val="000000"/>
        </w:rPr>
        <w:t>表3-3保留训练侧消融的人工情景数值，采用I0推理。生成与筛选对照对应匹配接受样本量、源文档访问量及更新预算的轨道，额外尝试另行计费；正式结果还需补充固定总尝试预算的另一轨道。T1完整方法行应与第五章组合实验中的T1＋I0来自同一运行，QOS式方法则是按本文共同接口组织的对照，并非QOS原论文成绩。</w:t>
      </w:r>
    </w:p>
    <w:p>
      <w:pPr>
        <w:pStyle w:val="TableCaption"/>
      </w:pPr>
      <w:r>
        <w:rPr>
          <w:rFonts w:ascii="Times New Roman" w:hAnsi="Times New Roman" w:eastAsia="Songti SC"/>
          <w:color w:val="000000"/>
          <w:sz w:val="21"/>
        </w:rPr>
        <w:t>表3-3 训练侧消融的预期情景占位</w:t>
      </w:r>
      <w:bookmarkStart w:id="158" w:name="v2_158"/>
      <w:bookmarkEnd w:id="15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训练配置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 无新增强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普通改写＋共同筛选</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83.3P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76.2P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36.5P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QOS式结构增强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64.1P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37.2P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76.6P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同数据仅基础训练损失</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同数据同辅助头去对齐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64.4P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76.7P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37.4P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83.9P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76.9P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37.9P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 完整关系感知学习</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bl>
    <w:p>
      <w:pPr>
        <w:spacing w:after="0" w:line="240" w:lineRule="auto"/>
      </w:pPr>
    </w:p>
    <w:p>
      <w:r>
        <w:rPr>
          <w:rFonts w:ascii="Times New Roman" w:hAnsi="Times New Roman" w:eastAsia="Songti SC"/>
          <w:color w:val="000000"/>
        </w:rPr>
        <w:t>注：全部为人为设定的占位值，非实测。P表示placeholder，不是显著性检验的p值，各行也不是多种子均值。“同数据”两行与T1复用完全相同的已接受增强集合；其中“同数据同辅助头去对齐”还保持相同辅助头、权重和步数，仅移除成对对齐损失。其他生成对照不声称拥有同一增强集合。去检查及随机中心行保留其余学习设置。正式报告须整体替换数值和相邻分析，不能仅删除P标记。</w:t>
      </w:r>
    </w:p>
    <w:p>
      <w:r>
        <w:rPr>
          <w:rFonts w:ascii="Times New Roman" w:hAnsi="Times New Roman" w:eastAsia="Songti SC"/>
          <w:color w:val="000000"/>
        </w:rPr>
        <w:t>在上述人工情景中，完整学习相对同数据去对齐的关系F1差值在两个数据集上均为0.6P个百分点，这一比较指向成对约束的净增量。相对“仅基础训练损失”的差异同时包含辅助头监督，不能全部归于对齐。关系影响域的作用则由跨边界检查、NONE检查及直接近邻比较共同解释，并结合3.6.2节的漂移审计判断其机制。上述差值仅演示归因方式，不表示真实改进。</w:t>
      </w:r>
    </w:p>
    <w:p>
      <w:r>
        <w:rPr>
          <w:rFonts w:ascii="Times New Roman" w:hAnsi="Times New Roman" w:eastAsia="Songti SC"/>
          <w:color w:val="000000"/>
        </w:rPr>
        <w:t>正式主结果需给出各随机种子的组件与关系P/R/F1、汇总定义、配对差值和区间，并按第二章2.6节的重复与重采样规则统计。若增强减少标签漂移，却未在资源匹配下改善测试指标，其作用应限定为数据质量控制；若同数据去对齐与完整学习的差异不稳定，也不能以辅助一致性更高替代任务收益。真实持平、下降及失败配置均应保留，前期结果及附录E的历史数值不代替本章新增方法的独立验证。</w:t>
      </w:r>
    </w:p>
    <w:p>
      <w:pPr>
        <w:pStyle w:val="Heading3"/>
      </w:pPr>
      <w:r>
        <w:t>3.6.4 中心选择与线索依赖</w:t>
      </w:r>
      <w:bookmarkStart w:id="60" w:name="v2_60"/>
      <w:bookmarkEnd w:id="60"/>
    </w:p>
    <w:p>
      <w:r>
        <w:rPr>
          <w:rFonts w:ascii="Times New Roman" w:hAnsi="Times New Roman" w:eastAsia="Songti SC"/>
          <w:color w:val="000000"/>
        </w:rPr>
        <w:t>结论中心与匹配随机中心的比较检验增强对象选择是否必要。除总体F1外，应报告不同中心的类型频次、关系度、原始识别难度及其接受覆盖。表3-3中两者的占位差距较小，目的在于保留“结论优先可能只是一种任务启发式”的分析空间。若实测差距随种子变化或匹配后消失，贡献应落在影响域约束与成对学习，中心偏好据其适用条件解释。</w:t>
      </w:r>
    </w:p>
    <w:p>
      <w:r>
        <w:rPr>
          <w:rFonts w:ascii="Times New Roman" w:hAnsi="Times New Roman" w:eastAsia="Songti SC"/>
          <w:color w:val="000000"/>
        </w:rPr>
        <w:t>线索依赖分析按显式标记的有无分组，并在预先定义的线索扰动条件下观察结论识别和严格关系指标。原文与增强文分别记录连续提示是否触发，使词汇变化引起的提示分支变化能够单独检查。提升若主要集中于带有therefore、thus等表面词的样本，其结论应限定到相应子集；隐式结论、MajorClaim与Claim混淆以及长句边界错误仍需单列。对于AAEC中没有普通关联边的MajorClaim，应以组件指标分析，不能用关系恢复增量替代其效果。</w:t>
      </w:r>
    </w:p>
    <w:p>
      <w:pPr>
        <w:pStyle w:val="Heading3"/>
      </w:pPr>
      <w:r>
        <w:t>3.6.5 构造成本与案例分析</w:t>
      </w:r>
      <w:bookmarkStart w:id="61" w:name="v2_61"/>
      <w:bookmarkEnd w:id="61"/>
    </w:p>
    <w:p>
      <w:r>
        <w:rPr>
          <w:rFonts w:ascii="Times New Roman" w:hAnsi="Times New Roman" w:eastAsia="Songti SC"/>
          <w:color w:val="000000"/>
        </w:rPr>
        <w:t>增强成本覆盖所有生成尝试、被拒绝变体、语义审核及坐标检查，训练成本覆盖原文与变体的前向、反向和辅助头计算。报告至少包括每篇源文档的尝试与接受数、生成和审核调用、输入输出token、设备时间、有效更新步数、增强token量及峰值显存。两条rank-16分支与单条rank-32分支即使参数量接近，实际激活与计算开销仍需实测。质量、覆盖与成本应共同呈现，避免仅以每个已接受变体的平均成本掩盖大量拒绝尝试。</w:t>
      </w:r>
    </w:p>
    <w:p>
      <w:r>
        <w:rPr>
          <w:rFonts w:ascii="Times New Roman" w:hAnsi="Times New Roman" w:eastAsia="Songti SC"/>
          <w:b/>
          <w:color w:val="000000"/>
        </w:rPr>
        <w:t>训练成本图位（待实测）</w:t>
      </w:r>
      <w:r>
        <w:rPr>
          <w:rFonts w:ascii="Times New Roman" w:hAnsi="Times New Roman" w:eastAsia="Songti SC"/>
          <w:color w:val="000000"/>
        </w:rPr>
        <w:t>：固定总尝试预算与匹配接受样本量分别绘图。横轴采用累计生成及审核token，或在设备配置一致时采用设备时间，纵轴分别呈现源文档接受覆盖率、人工审计保持率及严格关系F1；不同量纲使用分面。接入字段为运行ID、源文档ID、方法、资源轨道、尝试数、接受数、各阶段token、设备与时间、有效更新数、种子及评价输出。曲线上的每一点须对应真实预算配置，不能由表3-3的情景数值连线产生。</w:t>
      </w:r>
    </w:p>
    <w:p>
      <w:r>
        <w:rPr>
          <w:rFonts w:ascii="Times New Roman" w:hAnsi="Times New Roman" w:eastAsia="Songti SC"/>
          <w:color w:val="000000"/>
        </w:rPr>
        <w:t>表3-1的图书馆片段用于说明内部关系、跨边界关系及NONE的差别，属于人工构造案例。真实案例分析则从正式增强和审计记录中按预先声明的规则选择，既覆盖标签保持的样本，也覆盖漏判和误拒。表3-4给出待接入的报告字段；各类别是分析所需的取样框架，并不表示已经观察到对应事件。</w:t>
      </w:r>
    </w:p>
    <w:p>
      <w:pPr>
        <w:pStyle w:val="TableCaption"/>
      </w:pPr>
      <w:r>
        <w:rPr>
          <w:rFonts w:ascii="Times New Roman" w:hAnsi="Times New Roman" w:eastAsia="Songti SC"/>
          <w:color w:val="000000"/>
          <w:sz w:val="21"/>
        </w:rPr>
        <w:t>表3-4 增强成功与失败案例的报告字段（待实测）</w:t>
      </w:r>
      <w:bookmarkStart w:id="159" w:name="v2_159"/>
      <w:bookmarkEnd w:id="15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474"/>
        <w:gridCol w:w="1701"/>
        <w:gridCol w:w="1304"/>
        <w:gridCol w:w="1531"/>
        <w:gridCol w:w="1531"/>
      </w:tblGrid>
      <w:tr>
        <w:trPr>
          <w:cantSplit/>
          <w:tblHeader/>
        </w:trPr>
        <w:tc>
          <w:tcPr>
            <w:tcW w:type="dxa" w:w="136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案例类别</w:t>
            </w:r>
          </w:p>
        </w:tc>
        <w:tc>
          <w:tcPr>
            <w:tcW w:type="dxa" w:w="1474"/>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源文档与</w:t>
              <w:br/>
              <w:t>变体ID</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原文及改写片段</w:t>
            </w:r>
          </w:p>
        </w:tc>
        <w:tc>
          <w:tcPr>
            <w:tcW w:type="dxa" w:w="1304"/>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受影响标签</w:t>
            </w:r>
          </w:p>
        </w:tc>
        <w:tc>
          <w:tcPr>
            <w:tcW w:type="dxa" w:w="153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自动与人工</w:t>
              <w:br/>
              <w:t>判定</w:t>
            </w:r>
          </w:p>
        </w:tc>
        <w:tc>
          <w:tcPr>
            <w:tcW w:type="dxa" w:w="153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后续用途</w:t>
              <w:br/>
              <w:t>与影响</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接受且保持</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接受但漂移</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拒绝但保持</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拒绝且漂移</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r>
    </w:tbl>
    <w:p>
      <w:pPr>
        <w:spacing w:after="0" w:line="240" w:lineRule="auto"/>
      </w:pPr>
    </w:p>
    <w:p>
      <w:r>
        <w:rPr>
          <w:rFonts w:ascii="Times New Roman" w:hAnsi="Times New Roman" w:eastAsia="Songti SC"/>
          <w:color w:val="000000"/>
        </w:rPr>
        <w:t>每个正式案例同时保存组件映射、全部受影响关系、原标签、审核输出及人工裁决。成功案例解释约束如何保留标签，失败案例区分坐标错误、域内语义漏判、域外语境漂移和过度拒绝。单个案例用于说明过程，增强方案的有效性仍由质量审计、受控测试指标和成本统计共同判断。</w:t>
      </w:r>
    </w:p>
    <w:p>
      <w:pPr>
        <w:pStyle w:val="Heading2"/>
      </w:pPr>
      <w:r>
        <w:t>3.7 本章小结</w:t>
      </w:r>
      <w:bookmarkStart w:id="62" w:name="v2_62"/>
      <w:bookmarkEnd w:id="62"/>
    </w:p>
    <w:p>
      <w:r>
        <w:rPr>
          <w:rFonts w:ascii="Times New Roman" w:hAnsi="Times New Roman" w:eastAsia="Songti SC"/>
          <w:color w:val="000000"/>
        </w:rPr>
        <w:t>本章在ICIC结论专项训练基础上，将增强约束从局部正关系扩展到声明因素宇宙内的完整影响域，通过槽位映射建立原文与增强文的组件及完整关系对应，并以成对辅助目标更新共享生成表示。训练机制由此连接了表达改写、标注迁移和参数学习，实验分析则分别检验标签可靠性、学习增量、中心选择与构造成本。新增方法的实测结果仍待接入，当前占位数值与构造案例仅用于说明比较和分析口径。结构保持不保证语义保持，辅助一致性也不等于生成正确率；这些限制决定了审计与真实测试评价必须共同参与判断。下一章保持输入文本不变，研究预测组件及其依赖关系的联合修正。</w:t>
      </w:r>
    </w:p>
    <w:p>
      <w:pPr>
        <w:pStyle w:val="Heading1"/>
      </w:pPr>
      <w:r>
        <w:t>第四章 多候选驱动的依赖闭合论辩图修正</w:t>
      </w:r>
      <w:bookmarkStart w:id="63" w:name="v2_63"/>
      <w:bookmarkEnd w:id="63"/>
    </w:p>
    <w:p>
      <w:pPr>
        <w:pStyle w:val="Heading2"/>
      </w:pPr>
      <w:r>
        <w:t>4.1 引言</w:t>
      </w:r>
      <w:bookmarkStart w:id="64" w:name="v2_64"/>
      <w:bookmarkEnd w:id="64"/>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本章方法记为MCR-BR-J，J用于区分联合修正版与前期方法。方法保留完整候选图生成与初始重排序，将修正单位扩展为冲突闭合的组件集合替换，并同步重建所有依赖于变化端点的候选关系。固定文本证据评分、代价敏感效用与有限预算共同规定每次修改的依据和停止条件。下文依次说明候选空间、集合事务、评分与接受规则、求解算法，并以独立对照和机制诊断组织实验分析。</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 xml:space="preserve">据此，本章将问题定义为有预算的结构选择。给定原文 </w:t>
      </w:r>
      <m:oMath>
        <m:r>
          <m:t xml:space="preserve">x</m:t>
        </m:r>
      </m:oMath>
      <w:r>
        <w:rPr>
          <w:rFonts w:ascii="Times New Roman" w:hAnsi="Times New Roman" w:eastAsia="Songti SC"/>
          <w:color w:val="000000"/>
        </w:rPr>
        <w:t xml:space="preserve">、初始图 </w:t>
      </w:r>
      <m:oMath>
        <m:sSub>
          <m:e>
            <m:r>
              <m:t xml:space="preserve">G</m:t>
            </m:r>
          </m:e>
          <m:sub>
            <m:r>
              <m:t xml:space="preserve">0</m:t>
            </m:r>
          </m:sub>
        </m:sSub>
      </m:oMath>
      <w:r>
        <w:rPr>
          <w:rFonts w:ascii="Times New Roman" w:hAnsi="Times New Roman" w:eastAsia="Songti SC"/>
          <w:color w:val="000000"/>
        </w:rPr>
        <w:t xml:space="preserve"> 和预先构建的候选宇宙，算法选择有限次结构事务，输出合法图 </w:t>
      </w:r>
      <m:oMath>
        <m:r>
          <m:t xml:space="preserve">G</m:t>
        </m:r>
      </m:oMath>
      <w:r>
        <w:rPr>
          <w:rFonts w:ascii="Times New Roman" w:hAnsi="Times New Roman" w:eastAsia="Songti SC"/>
          <w:color w:val="000000"/>
        </w:rPr>
        <w:t>。候选空间限定可恢复的对象，事务邻域限定一次允许跨越的结构变化，评分器提供修改依据，预算限定搜索代价。这四者分别影响性能，不能仅用最终 F1 的变化解释全部机制。</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217484"/>
            <wp:docPr id="6" name="repair.png" descr="组件变更与关系重建的整体决策。机制示意，非实测案例。"/>
            <wp:cNvGraphicFramePr>
              <a:graphicFrameLocks noChangeAspect="1"/>
            </wp:cNvGraphicFramePr>
            <a:graphic>
              <a:graphicData uri="http://schemas.openxmlformats.org/drawingml/2006/picture">
                <pic:pic>
                  <pic:nvPicPr>
                    <pic:cNvPr id="0" name="repair.png"/>
                    <pic:cNvPicPr/>
                  </pic:nvPicPr>
                  <pic:blipFill>
                    <a:blip r:embed="rId79"/>
                    <a:stretch>
                      <a:fillRect/>
                    </a:stretch>
                  </pic:blipFill>
                  <pic:spPr>
                    <a:xfrm>
                      <a:off x="0" y="0"/>
                      <a:ext cx="5652770" cy="4217484"/>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60" w:name="v2_160"/>
      <w:bookmarkEnd w:id="160"/>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5" w:name="v2_65"/>
      <w:bookmarkEnd w:id="65"/>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6" w:name="v2_66"/>
      <w:bookmarkEnd w:id="66"/>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7" w:name="v2_67"/>
      <w:bookmarkEnd w:id="67"/>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8" w:name="v2_68"/>
      <w:bookmarkEnd w:id="68"/>
    </w:p>
    <w:p>
      <w:r>
        <w:rPr>
          <w:rFonts w:ascii="Times New Roman" w:hAnsi="Times New Roman" w:eastAsia="Songti SC"/>
          <w:color w:val="000000"/>
        </w:rPr>
        <w:t xml:space="preserve">修正开始前构建有限跨度集合 </w:t>
      </w:r>
      <m:oMath>
        <m:r>
          <m:t xml:space="preserve">U</m:t>
        </m:r>
      </m:oMath>
      <w:r>
        <w:rPr>
          <w:rFonts w:ascii="Times New Roman" w:hAnsi="Times New Roman" w:eastAsia="Songti SC"/>
          <w:color w:val="000000"/>
        </w:rPr>
        <w:t>，其来源包括：</w:t>
      </w:r>
      <m:oMath>
        <m:r>
          <m:t xml:space="preserve">K</m:t>
        </m:r>
      </m:oMath>
      <w:r>
        <w:rPr>
          <w:rFonts w:ascii="Times New Roman" w:hAnsi="Times New Roman" w:eastAsia="Songti SC"/>
          <w:color w:val="000000"/>
        </w:rPr>
        <w:t xml:space="preserve"> 个候选图中的全部跨度；独立全文跨度头给出的补充候选；有限边界扰动、相邻候选的合并跨度以及长跨度的切分候选。独立跨度头采用文本编码器与边界或跨度预测头，使所有生成候选共同遗漏的区域仍有进入修正空间的机会。补充候选数量、最大长度及扰动范围均在开发阶段固定，搜索过程中不再扩展 </w:t>
      </w:r>
      <m:oMath>
        <m:r>
          <m:t xml:space="preserve">U</m:t>
        </m:r>
      </m:oMath>
      <w:r>
        <w:rPr>
          <w:rFonts w:ascii="Times New Roman" w:hAnsi="Times New Roman" w:eastAsia="Songti SC"/>
          <w:color w:val="000000"/>
        </w:rPr>
        <w:t>。</w:t>
      </w:r>
    </w:p>
    <w:p>
      <w:r>
        <w:rPr>
          <w:rFonts w:ascii="Times New Roman" w:hAnsi="Times New Roman" w:eastAsia="Songti SC"/>
          <w:color w:val="000000"/>
        </w:rPr>
        <w:t xml:space="preserve">对跨度 </w:t>
      </w:r>
      <m:oMath>
        <m:r>
          <m:t xml:space="preserve">u</m:t>
        </m:r>
        <m:r>
          <m:t xml:space="preserve">∈</m:t>
        </m:r>
        <m:r>
          <m:t xml:space="preserve">U</m:t>
        </m:r>
      </m:oMath>
      <w:r>
        <w:rPr>
          <w:rFonts w:ascii="Times New Roman" w:hAnsi="Times New Roman" w:eastAsia="Songti SC"/>
          <w:color w:val="000000"/>
        </w:rPr>
        <w:t xml:space="preserve">，状态为 NULL 或一个合法组件类型。令 </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u</m:t>
        </m:r>
        <m:r>
          <m:t xml:space="preserve">∈</m:t>
        </m:r>
        <m:r>
          <m:t xml:space="preserve">U</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 xml:space="preserve"> 为带类型组件候选集合，预测组件满足 </w:t>
      </w:r>
      <m:oMath>
        <m:r>
          <m:t xml:space="preserve">C</m:t>
        </m:r>
        <m:r>
          <m:t xml:space="preserve">⊆</m:t>
        </m:r>
        <m:r>
          <m:t xml:space="preserve">𝒱</m:t>
        </m:r>
      </m:oMath>
      <w:r>
        <w:rPr>
          <w:rFonts w:ascii="Times New Roman" w:hAnsi="Times New Roman" w:eastAsia="Songti SC"/>
          <w:color w:val="000000"/>
        </w:rPr>
        <w:t>。同一跨度至多选择一个类型；不同跨度是否冲突遵循数据协议。若不允许重叠，则按两两交叠定义冲突；若允许特定嵌套，则保留合法组合。重叠的传递连通块中可能存在互不冲突的两个跨度，不能用“整个连通块至多选一个”替代两两冲突判断。</w:t>
      </w:r>
    </w:p>
    <w:p>
      <w:r>
        <w:rPr>
          <w:rFonts w:ascii="Times New Roman" w:hAnsi="Times New Roman" w:eastAsia="Songti SC"/>
          <w:color w:val="000000"/>
        </w:rPr>
        <w:t>组件语义键由文档哈希、坐标版本、起止位置及类型组成，显示编号仅用于序列化。类型或边界变化均产生新语义对象，而不是对旧编号的无成本改名。原始字符坐标与模型 token 坐标保留映射，去重与精确评价使用同一规范化规则。</w:t>
      </w:r>
    </w:p>
    <w:p>
      <w:r>
        <w:rPr>
          <w:rFonts w:ascii="Times New Roman" w:hAnsi="Times New Roman" w:eastAsia="Songti SC"/>
          <w:color w:val="000000"/>
        </w:rPr>
        <w:t>候选构建必须包含合法化后初始图的全部对象，不能只保留合法化前的原始候选。字符坐标、评价token及模型子词分别维护映射；跨度编码遵循2.2.2节及附录A.1的坐标接口，评价不直接使用模型子词编号。</w:t>
      </w:r>
    </w:p>
    <w:p>
      <w:pPr>
        <w:pStyle w:val="Heading3"/>
      </w:pPr>
      <w:r>
        <w:t>4.2.4 完整关系候选与无边状态</w:t>
      </w:r>
      <w:bookmarkStart w:id="69" w:name="v2_69"/>
      <w:bookmarkEnd w:id="69"/>
    </w:p>
    <w:p>
      <w:r>
        <w:rPr>
          <w:rFonts w:ascii="Times New Roman" w:hAnsi="Times New Roman" w:eastAsia="Songti SC"/>
          <w:color w:val="000000"/>
        </w:rPr>
        <w:t xml:space="preserve">在 </w:t>
      </w:r>
      <m:oMath>
        <m:r>
          <m:t xml:space="preserve">𝒱</m:t>
        </m:r>
      </m:oMath>
      <w:r>
        <w:rPr>
          <w:rFonts w:ascii="Times New Roman" w:hAnsi="Times New Roman" w:eastAsia="Songti SC"/>
          <w:color w:val="000000"/>
        </w:rPr>
        <w:t xml:space="preserve"> 上构建固定关系候选集合 </w:t>
      </w:r>
      <m:oMath>
        <m:r>
          <m:t xml:space="preserve">P</m:t>
        </m:r>
      </m:oMath>
      <w:r>
        <w:rPr>
          <w:rFonts w:ascii="Times New Roman" w:hAnsi="Times New Roman" w:eastAsia="Songti SC"/>
          <w:color w:val="000000"/>
        </w:rPr>
        <w:t>。二元关系对象包含完整源组件、目标组件、方向与关系标签；其语义键随任一端点的跨度或类型变化而变化。</w:t>
      </w:r>
      <m:oMath>
        <m:r>
          <m:t xml:space="preserve">P</m:t>
        </m:r>
      </m:oMath>
      <w:r>
        <w:rPr>
          <w:rFonts w:ascii="Times New Roman" w:hAnsi="Times New Roman" w:eastAsia="Songti SC"/>
          <w:color w:val="000000"/>
        </w:rPr>
        <w:t xml:space="preserve"> 包含初始关系，并覆盖预算允许的合法端点与标签组合。不存在关系以 NONE 状态表示：它不是需要输出的边，而是某一候选关系槽位未选择任何正关系标签。</w:t>
      </w:r>
    </w:p>
    <w:p>
      <w:r>
        <w:rPr>
          <w:rFonts w:ascii="Times New Roman" w:hAnsi="Times New Roman" w:eastAsia="Songti SC"/>
          <w:color w:val="000000"/>
        </w:rPr>
        <w:t>关系候选必须覆盖初始图中没有边的可行组合，否则算法只能删除或重标已有关系，无法补回遗漏关系。明显不相容的端点组合可提前排除，资源裁剪则需保存原因和候选来源。候选召回上限分别在组件、完整关系及所需集合替换层面衡量；“金标准对象在池中”和“当前事务邻域可以恢复它”并非同一个条件。</w:t>
      </w:r>
    </w:p>
    <w:p>
      <w:pPr>
        <w:pStyle w:val="Heading2"/>
      </w:pPr>
      <w:r>
        <w:t>4.3 组件集合替换与受影响关系重建</w:t>
      </w:r>
      <w:bookmarkStart w:id="70" w:name="v2_70"/>
      <w:bookmarkEnd w:id="70"/>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1" w:name="v2_71"/>
      <w:bookmarkEnd w:id="71"/>
    </w:p>
    <w:p>
      <w:pPr>
        <w:keepNext/>
      </w:pPr>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2" w:name="v2_72"/>
      <w:bookmarkEnd w:id="72"/>
    </w:p>
    <w:p>
      <w:r>
        <w:rPr>
          <w:rFonts w:ascii="Times New Roman" w:hAnsi="Times New Roman" w:eastAsia="Songti SC"/>
          <w:color w:val="000000"/>
        </w:rPr>
        <w:t>“依赖闭合”在本章指：组件对象被删除或替换后，将所有引用它的关系以及新对象可能参与的关系一起纳入决策，避免只评估组件本身而遗漏关系损失。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表示变化的完整组件对象，</w:t>
      </w:r>
      <m:oMath>
        <m:sSub>
          <m:e>
            <m:r>
              <m:t xml:space="preserve">P</m:t>
            </m:r>
          </m:e>
          <m:sub>
            <m:r>
              <m:t xml:space="preserve">A</m:t>
            </m:r>
          </m:sub>
        </m:sSub>
      </m:oMath>
      <w:r>
        <w:rPr>
          <w:rFonts w:ascii="Times New Roman" w:hAnsi="Times New Roman" w:eastAsia="Songti SC"/>
          <w:color w:val="000000"/>
        </w:rPr>
        <w:t xml:space="preserve"> 包含 </w:t>
      </w:r>
      <m:oMath>
        <m:r>
          <m:t xml:space="preserve">P</m:t>
        </m:r>
      </m:oMath>
      <w:r>
        <w:rPr>
          <w:rFonts w:ascii="Times New Roman" w:hAnsi="Times New Roman" w:eastAsia="Songti SC"/>
          <w:color w:val="000000"/>
        </w:rPr>
        <w:t xml:space="preserve"> 中接触 </w:t>
      </w:r>
      <m:oMath>
        <m:r>
          <m:t xml:space="preserve">A</m:t>
        </m:r>
      </m:oMath>
      <w:r>
        <w:rPr>
          <w:rFonts w:ascii="Times New Roman" w:hAnsi="Times New Roman" w:eastAsia="Songti SC"/>
          <w:color w:val="000000"/>
        </w:rPr>
        <w:t xml:space="preserve"> 任一对象的全部候选关系。该集合同时覆盖入边、出边、原有正关系和原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时，其全部合法标签候选一同进入；反向修改同时包含两个方向，避免仅在已有方向中重选标签。</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如果新状态需要修改事务外关系才能合法，则显式扩大事务并重新计费，或拒绝提议。依赖闭合保证没有漏记端点变化造成的关系失效，并不意味着自然语言的语义影响只发生在一跳范围内。</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3" w:name="v2_73"/>
      <w:bookmarkEnd w:id="73"/>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4" w:name="v2_74"/>
      <w:bookmarkEnd w:id="74"/>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的设计。评分器与生成器使用不同参数，但不据此假定其错误彼此独立。评分器也不同于第三章用于辅助训练的预测头：前者学习真实候选中的正确与错误对象，后者服务于原文和增强文的配对监督。</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5" w:name="v2_75"/>
      <w:bookmarkEnd w:id="75"/>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模型只在规定训练数据上重训，测试集不参与上述过程。</w:t>
      </w:r>
    </w:p>
    <w:p>
      <w:r>
        <w:rPr>
          <w:rFonts w:ascii="Times New Roman" w:hAnsi="Times New Roman" w:eastAsia="Songti SC"/>
          <w:color w:val="000000"/>
        </w:rPr>
        <w:t>初始配置采用训练内三折OOF，折划分与开发集用途按2.6节记录。OOF生成器的训练规模小于最终生成器，候选分布可能发生变化，因此校准部分还需检查最终生成器产生的候选。候选级校准并不直接保证被搜索选中的动作可靠；4.6.4和4.6.5节进一步区分有益、中性和有害修改，检验选择后偏差与多轮误改。</w:t>
      </w:r>
    </w:p>
    <w:p>
      <w:pPr>
        <w:pStyle w:val="Heading3"/>
      </w:pPr>
      <w:r>
        <w:t>4.4.3 固定计数效用</w:t>
      </w:r>
      <w:bookmarkStart w:id="76" w:name="v2_76"/>
      <w:bookmarkEnd w:id="76"/>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7" w:name="v2_77"/>
      <w:bookmarkEnd w:id="77"/>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2"/>
      </w:pPr>
      <w:r>
        <w:t>4.5 求解算法及性质</w:t>
      </w:r>
      <w:bookmarkStart w:id="78" w:name="v2_78"/>
      <w:bookmarkEnd w:id="78"/>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79" w:name="v2_79"/>
      <w:bookmarkEnd w:id="79"/>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w:t>
      </w:r>
    </w:p>
    <w:p>
      <w:pPr>
        <w:pStyle w:val="Heading3"/>
      </w:pPr>
      <w:r>
        <w:t>4.5.2 有界执行、原子提交与回退</w:t>
      </w:r>
      <w:bookmarkStart w:id="80" w:name="v2_80"/>
      <w:bookmarkEnd w:id="80"/>
    </w:p>
    <w:p>
      <w:r>
        <w:rPr>
          <w:rFonts w:ascii="Times New Roman" w:hAnsi="Times New Roman" w:eastAsia="Songti SC"/>
          <w:color w:val="000000"/>
        </w:rPr>
        <w:t>候选分歧、边界不确定性、跨度头补充区域和关系不确定性用于组织有限提议队列；优先级仅决定搜索顺序，不代替接受依据。初始设计为每轮最多32个提议、最多接受3次事务，求解时间上限在硬件小试后冻结。最大轮数以及全程的提议、调用、token和累计编辑预算均须在运行前确定，并与每轮额度分别计数。这些取值属于待检验的工程配置。</w:t>
      </w:r>
    </w:p>
    <w:p>
      <w:pPr>
        <w:pStyle w:val="AlgorithmCaption"/>
      </w:pPr>
      <w:r>
        <w:rPr>
          <w:rFonts w:ascii="Times New Roman" w:hAnsi="Times New Roman" w:eastAsia="Songti SC"/>
          <w:color w:val="000000"/>
          <w:sz w:val="21"/>
        </w:rPr>
        <w:t>算法4-1 多候选驱动的依赖闭合修正</w:t>
      </w:r>
      <w:bookmarkStart w:id="161" w:name="v2_161"/>
      <w:bookmarkEnd w:id="161"/>
    </w:p>
    <w:p>
      <w:pPr>
        <w:pStyle w:val="AlgorithmLine"/>
        <w:keepNext/>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t>输入：文档 x、K 个候选图、候选与评分配置、各项有限预算。</w:t>
      </w:r>
    </w:p>
    <w:p>
      <w:pPr>
        <w:pStyle w:val="AlgorithmLine"/>
        <w:keepNext/>
        <w:tabs>
          <w:tab w:pos="397" w:val="left"/>
        </w:tabs>
        <w:spacing w:line="300" w:lineRule="exact" w:after="0"/>
        <w:ind w:left="397" w:hanging="397"/>
      </w:pPr>
      <w:r>
        <w:rPr>
          <w:rFonts w:ascii="Times New Roman" w:hAnsi="Times New Roman" w:eastAsia="Songti SC"/>
          <w:color w:val="000000"/>
          <w:sz w:val="21"/>
        </w:rPr>
        <w:tab/>
        <w:t>输出：最后完整合法图 G 或初始化失败状态，以及完整运行记录。</w:t>
      </w:r>
    </w:p>
    <w:p>
      <w:pPr>
        <w:pStyle w:val="AlgorithmLine"/>
        <w:keepNext/>
        <w:tabs>
          <w:tab w:pos="397" w:val="left"/>
        </w:tabs>
        <w:spacing w:line="300" w:lineRule="exact" w:after="0"/>
        <w:ind w:left="397" w:hanging="397"/>
      </w:pPr>
      <w:r>
        <w:rPr>
          <w:rFonts w:ascii="Times New Roman" w:hAnsi="Times New Roman" w:eastAsia="Songti SC"/>
          <w:color w:val="000000"/>
          <w:sz w:val="21"/>
        </w:rPr>
        <w:t>1</w:t>
        <w:tab/>
        <w:t>以原 MCR 选择候选，执行共用合法化，得到 G0。</w:t>
      </w:r>
    </w:p>
    <w:p>
      <w:pPr>
        <w:pStyle w:val="AlgorithmLine"/>
        <w:keepNext/>
        <w:tabs>
          <w:tab w:pos="397" w:val="left"/>
        </w:tabs>
        <w:spacing w:line="300" w:lineRule="exact" w:after="0"/>
        <w:ind w:left="397" w:hanging="397"/>
      </w:pPr>
      <w:r>
        <w:rPr>
          <w:rFonts w:ascii="Times New Roman" w:hAnsi="Times New Roman" w:eastAsia="Songti SC"/>
          <w:color w:val="000000"/>
          <w:sz w:val="21"/>
        </w:rPr>
        <w:t>2</w:t>
        <w:tab/>
        <w:t>若合法化失败，记录原因及成本，返回显式失败状态。</w:t>
      </w:r>
    </w:p>
    <w:p>
      <w:pPr>
        <w:pStyle w:val="AlgorithmLine"/>
        <w:keepNext/>
        <w:tabs>
          <w:tab w:pos="397" w:val="left"/>
        </w:tabs>
        <w:spacing w:line="300" w:lineRule="exact" w:after="0"/>
        <w:ind w:left="397" w:hanging="397"/>
      </w:pPr>
      <w:r>
        <w:rPr>
          <w:rFonts w:ascii="Times New Roman" w:hAnsi="Times New Roman" w:eastAsia="Songti SC"/>
          <w:color w:val="000000"/>
          <w:sz w:val="21"/>
        </w:rPr>
        <w:t>3</w:t>
        <w:tab/>
        <w:t>令 G ← G0；构建并冻结 U、P、对象分、代价和接受阈值。</w:t>
      </w:r>
    </w:p>
    <w:p>
      <w:pPr>
        <w:pStyle w:val="AlgorithmLine"/>
        <w:keepNext/>
        <w:tabs>
          <w:tab w:pos="397" w:val="left"/>
        </w:tabs>
        <w:spacing w:line="300" w:lineRule="exact" w:after="0"/>
        <w:ind w:left="397" w:hanging="397"/>
      </w:pPr>
      <w:r>
        <w:rPr>
          <w:rFonts w:ascii="Times New Roman" w:hAnsi="Times New Roman" w:eastAsia="Songti SC"/>
          <w:color w:val="000000"/>
          <w:sz w:val="21"/>
        </w:rPr>
        <w:t>4</w:t>
        <w:tab/>
        <w:t>初始化全程及每轮的尝试、接受、调用、token和编辑计数。</w:t>
      </w:r>
    </w:p>
    <w:p>
      <w:pPr>
        <w:pStyle w:val="AlgorithmLine"/>
        <w:keepNext/>
        <w:tabs>
          <w:tab w:pos="397" w:val="left"/>
        </w:tabs>
        <w:spacing w:line="300" w:lineRule="exact" w:after="0"/>
        <w:ind w:left="397" w:hanging="397"/>
      </w:pPr>
      <w:r>
        <w:rPr>
          <w:rFonts w:ascii="Times New Roman" w:hAnsi="Times New Roman" w:eastAsia="Songti SC"/>
          <w:color w:val="000000"/>
          <w:sz w:val="21"/>
        </w:rPr>
        <w:t>5</w:t>
        <w:tab/>
        <w:t>在剩余轮数与全程预算内开始一轮，重置本轮计数。</w:t>
      </w:r>
    </w:p>
    <w:p>
      <w:pPr>
        <w:pStyle w:val="AlgorithmLine"/>
        <w:keepNext/>
        <w:tabs>
          <w:tab w:pos="397" w:val="left"/>
        </w:tabs>
        <w:spacing w:line="300" w:lineRule="exact" w:after="0"/>
        <w:ind w:left="397" w:hanging="397"/>
      </w:pPr>
      <w:r>
        <w:rPr>
          <w:rFonts w:ascii="Times New Roman" w:hAnsi="Times New Roman" w:eastAsia="Songti SC"/>
          <w:color w:val="000000"/>
          <w:sz w:val="21"/>
        </w:rPr>
        <w:t>6</w:t>
        <w:tab/>
        <w:t xml:space="preserve">    在本轮提议和接受额度内，生成当前状态的有限队列。</w:t>
      </w:r>
    </w:p>
    <w:p>
      <w:pPr>
        <w:pStyle w:val="AlgorithmLine"/>
        <w:keepNext/>
        <w:tabs>
          <w:tab w:pos="397" w:val="left"/>
        </w:tabs>
        <w:spacing w:line="300" w:lineRule="exact" w:after="0"/>
        <w:ind w:left="397" w:hanging="397"/>
      </w:pPr>
      <w:r>
        <w:rPr>
          <w:rFonts w:ascii="Times New Roman" w:hAnsi="Times New Roman" w:eastAsia="Songti SC"/>
          <w:color w:val="000000"/>
          <w:sz w:val="21"/>
        </w:rPr>
        <w:t>7</w:t>
        <w:tab/>
        <w:t xml:space="preserve">    设置独立 no-op 回退项，令合格事务集合 H ← ∅。</w:t>
      </w:r>
    </w:p>
    <w:p>
      <w:pPr>
        <w:pStyle w:val="AlgorithmLine"/>
        <w:keepNext/>
        <w:tabs>
          <w:tab w:pos="397" w:val="left"/>
        </w:tabs>
        <w:spacing w:line="300" w:lineRule="exact" w:after="0"/>
        <w:ind w:left="397" w:hanging="397"/>
      </w:pPr>
      <w:r>
        <w:rPr>
          <w:rFonts w:ascii="Times New Roman" w:hAnsi="Times New Roman" w:eastAsia="Songti SC"/>
          <w:color w:val="000000"/>
          <w:sz w:val="21"/>
        </w:rPr>
        <w:t>8</w:t>
        <w:tab/>
        <w:t xml:space="preserve">    依次取预算允许的提议 (D0, B, SR)，所有尝试均入账。</w:t>
      </w:r>
    </w:p>
    <w:p>
      <w:pPr>
        <w:pStyle w:val="AlgorithmLine"/>
        <w:keepNext/>
        <w:tabs>
          <w:tab w:pos="397" w:val="left"/>
        </w:tabs>
        <w:spacing w:line="300" w:lineRule="exact" w:after="0"/>
        <w:ind w:left="397" w:hanging="397"/>
      </w:pPr>
      <w:r>
        <w:rPr>
          <w:rFonts w:ascii="Times New Roman" w:hAnsi="Times New Roman" w:eastAsia="Songti SC"/>
          <w:color w:val="000000"/>
          <w:sz w:val="21"/>
        </w:rPr>
        <w:t>9</w:t>
        <w:tab/>
        <w:t xml:space="preserve">        若剩余额度不足，记录预算停止并结束队列遍历。</w:t>
      </w:r>
    </w:p>
    <w:p>
      <w:pPr>
        <w:pStyle w:val="AlgorithmLine"/>
        <w:keepNext/>
        <w:tabs>
          <w:tab w:pos="397" w:val="left"/>
        </w:tabs>
        <w:spacing w:line="300" w:lineRule="exact" w:after="0"/>
        <w:ind w:left="397" w:hanging="397"/>
      </w:pPr>
      <w:r>
        <w:rPr>
          <w:rFonts w:ascii="Times New Roman" w:hAnsi="Times New Roman" w:eastAsia="Songti SC"/>
          <w:color w:val="000000"/>
          <w:sz w:val="21"/>
        </w:rPr>
        <w:t>10</w:t>
        <w:tab/>
        <w:t xml:space="preserve">        抵消相同对象，完成冲突闭合，构造 C'。</w:t>
      </w:r>
    </w:p>
    <w:p>
      <w:pPr>
        <w:pStyle w:val="AlgorithmLine"/>
        <w:keepNext/>
        <w:tabs>
          <w:tab w:pos="397" w:val="left"/>
        </w:tabs>
        <w:spacing w:line="300" w:lineRule="exact" w:after="0"/>
        <w:ind w:left="397" w:hanging="397"/>
      </w:pPr>
      <w:r>
        <w:rPr>
          <w:rFonts w:ascii="Times New Roman" w:hAnsi="Times New Roman" w:eastAsia="Songti SC"/>
          <w:color w:val="000000"/>
          <w:sz w:val="21"/>
        </w:rPr>
        <w:t>11</w:t>
        <w:tab/>
        <w:t xml:space="preserve">        若 B 不兼容或闭合后的组件成本超限，拒绝并继续。</w:t>
      </w:r>
    </w:p>
    <w:p>
      <w:pPr>
        <w:pStyle w:val="AlgorithmLine"/>
        <w:keepNext/>
        <w:tabs>
          <w:tab w:pos="397" w:val="left"/>
        </w:tabs>
        <w:spacing w:line="300" w:lineRule="exact" w:after="0"/>
        <w:ind w:left="397" w:hanging="397"/>
      </w:pPr>
      <w:r>
        <w:rPr>
          <w:rFonts w:ascii="Times New Roman" w:hAnsi="Times New Roman" w:eastAsia="Songti SC"/>
          <w:color w:val="000000"/>
          <w:sz w:val="21"/>
        </w:rPr>
        <w:t>12</w:t>
        <w:tab/>
        <w:t xml:space="preserve">        构造全部受影响入边、出边及 NONE 槽位的事务域。</w:t>
      </w:r>
    </w:p>
    <w:p>
      <w:pPr>
        <w:pStyle w:val="AlgorithmLine"/>
        <w:keepNext/>
        <w:tabs>
          <w:tab w:pos="397" w:val="left"/>
        </w:tabs>
        <w:spacing w:line="300" w:lineRule="exact" w:after="0"/>
        <w:ind w:left="397" w:hanging="397"/>
      </w:pPr>
      <w:r>
        <w:rPr>
          <w:rFonts w:ascii="Times New Roman" w:hAnsi="Times New Roman" w:eastAsia="Songti SC"/>
          <w:color w:val="000000"/>
          <w:sz w:val="21"/>
        </w:rPr>
        <w:t>13</w:t>
        <w:tab/>
        <w:t xml:space="preserve">        固定事务外关系，将整图约束、分项门和预算加入 ILP。</w:t>
      </w:r>
    </w:p>
    <w:p>
      <w:pPr>
        <w:pStyle w:val="AlgorithmLine"/>
        <w:keepNext/>
        <w:tabs>
          <w:tab w:pos="397" w:val="left"/>
        </w:tabs>
        <w:spacing w:line="300" w:lineRule="exact" w:after="0"/>
        <w:ind w:left="397" w:hanging="397"/>
      </w:pPr>
      <w:r>
        <w:rPr>
          <w:rFonts w:ascii="Times New Roman" w:hAnsi="Times New Roman" w:eastAsia="Songti SC"/>
          <w:color w:val="000000"/>
          <w:sz w:val="21"/>
        </w:rPr>
        <w:t>14</w:t>
        <w:tab/>
        <w:t xml:space="preserve">        求解受约束的最佳补全；超时状态单独记录。</w:t>
      </w:r>
    </w:p>
    <w:p>
      <w:pPr>
        <w:pStyle w:val="AlgorithmLine"/>
        <w:keepNext/>
        <w:tabs>
          <w:tab w:pos="397" w:val="left"/>
        </w:tabs>
        <w:spacing w:line="300" w:lineRule="exact" w:after="0"/>
        <w:ind w:left="397" w:hanging="397"/>
      </w:pPr>
      <w:r>
        <w:rPr>
          <w:rFonts w:ascii="Times New Roman" w:hAnsi="Times New Roman" w:eastAsia="Songti SC"/>
          <w:color w:val="000000"/>
          <w:sz w:val="21"/>
        </w:rPr>
        <w:t>15</w:t>
        <w:tab/>
        <w:t xml:space="preserve">        若没有可行解，拒绝；超时未找到解不判为数学不可行。</w:t>
      </w:r>
    </w:p>
    <w:p>
      <w:pPr>
        <w:pStyle w:val="AlgorithmLine"/>
        <w:keepNext/>
        <w:tabs>
          <w:tab w:pos="397" w:val="left"/>
        </w:tabs>
        <w:spacing w:line="300" w:lineRule="exact" w:after="0"/>
        <w:ind w:left="397" w:hanging="397"/>
      </w:pPr>
      <w:r>
        <w:rPr>
          <w:rFonts w:ascii="Times New Roman" w:hAnsi="Times New Roman" w:eastAsia="Songti SC"/>
          <w:color w:val="000000"/>
          <w:sz w:val="21"/>
        </w:rPr>
        <w:t>16</w:t>
        <w:tab/>
        <w:t xml:space="preserve">        对最优解或可行 incumbent 复核整图合法性与剩余预算。</w:t>
      </w:r>
    </w:p>
    <w:p>
      <w:pPr>
        <w:pStyle w:val="AlgorithmLine"/>
        <w:keepNext/>
        <w:tabs>
          <w:tab w:pos="397" w:val="left"/>
        </w:tabs>
        <w:spacing w:line="300" w:lineRule="exact" w:after="0"/>
        <w:ind w:left="397" w:hanging="397"/>
      </w:pPr>
      <w:r>
        <w:rPr>
          <w:rFonts w:ascii="Times New Roman" w:hAnsi="Times New Roman" w:eastAsia="Songti SC"/>
          <w:color w:val="000000"/>
          <w:sz w:val="21"/>
        </w:rPr>
        <w:t>17</w:t>
        <w:tab/>
        <w:t xml:space="preserve">        验算两个分项均不降、总效用严格增及完整编辑成本。</w:t>
      </w:r>
    </w:p>
    <w:p>
      <w:pPr>
        <w:pStyle w:val="AlgorithmLine"/>
        <w:keepNext/>
        <w:tabs>
          <w:tab w:pos="397" w:val="left"/>
        </w:tabs>
        <w:spacing w:line="300" w:lineRule="exact" w:after="0"/>
        <w:ind w:left="397" w:hanging="397"/>
      </w:pPr>
      <w:r>
        <w:rPr>
          <w:rFonts w:ascii="Times New Roman" w:hAnsi="Times New Roman" w:eastAsia="Songti SC"/>
          <w:color w:val="000000"/>
          <w:sz w:val="21"/>
        </w:rPr>
        <w:t>18</w:t>
        <w:tab/>
        <w:t xml:space="preserve">        复核通过则加入 H；否则回退副本并记录拒绝原因。</w:t>
      </w:r>
    </w:p>
    <w:p>
      <w:pPr>
        <w:pStyle w:val="AlgorithmLine"/>
        <w:keepNext/>
        <w:tabs>
          <w:tab w:pos="397" w:val="left"/>
        </w:tabs>
        <w:spacing w:line="300" w:lineRule="exact" w:after="0"/>
        <w:ind w:left="397" w:hanging="397"/>
      </w:pPr>
      <w:r>
        <w:rPr>
          <w:rFonts w:ascii="Times New Roman" w:hAnsi="Times New Roman" w:eastAsia="Songti SC"/>
          <w:color w:val="000000"/>
          <w:sz w:val="21"/>
        </w:rPr>
        <w:t>19</w:t>
        <w:tab/>
        <w:t xml:space="preserve">    若 H 为空，选择 no-op，保留 G 并停止修正。</w:t>
      </w:r>
    </w:p>
    <w:p>
      <w:pPr>
        <w:pStyle w:val="AlgorithmLine"/>
        <w:keepNext/>
        <w:tabs>
          <w:tab w:pos="397" w:val="left"/>
        </w:tabs>
        <w:spacing w:line="300" w:lineRule="exact" w:after="0"/>
        <w:ind w:left="397" w:hanging="397"/>
      </w:pPr>
      <w:r>
        <w:rPr>
          <w:rFonts w:ascii="Times New Roman" w:hAnsi="Times New Roman" w:eastAsia="Songti SC"/>
          <w:color w:val="000000"/>
          <w:sz w:val="21"/>
        </w:rPr>
        <w:t>20</w:t>
        <w:tab/>
        <w:t xml:space="preserve">    从 H 选择总效用最高者；同分时少改优先。</w:t>
      </w:r>
    </w:p>
    <w:p>
      <w:pPr>
        <w:pStyle w:val="AlgorithmLine"/>
        <w:keepNext/>
        <w:tabs>
          <w:tab w:pos="397" w:val="left"/>
        </w:tabs>
        <w:spacing w:line="300" w:lineRule="exact" w:after="0"/>
        <w:ind w:left="397" w:hanging="397"/>
      </w:pPr>
      <w:r>
        <w:rPr>
          <w:rFonts w:ascii="Times New Roman" w:hAnsi="Times New Roman" w:eastAsia="Songti SC"/>
          <w:color w:val="000000"/>
          <w:sz w:val="21"/>
        </w:rPr>
        <w:t>21</w:t>
        <w:tab/>
        <w:t xml:space="preserve">    再按规范化语义键消除并列，提交前复核剩余预算。</w:t>
      </w:r>
    </w:p>
    <w:p>
      <w:pPr>
        <w:pStyle w:val="AlgorithmLine"/>
        <w:keepNext/>
        <w:tabs>
          <w:tab w:pos="397" w:val="left"/>
        </w:tabs>
        <w:spacing w:line="300" w:lineRule="exact" w:after="0"/>
        <w:ind w:left="397" w:hanging="397"/>
      </w:pPr>
      <w:r>
        <w:rPr>
          <w:rFonts w:ascii="Times New Roman" w:hAnsi="Times New Roman" w:eastAsia="Songti SC"/>
          <w:color w:val="000000"/>
          <w:sz w:val="21"/>
        </w:rPr>
        <w:t>22</w:t>
        <w:tab/>
        <w:t xml:space="preserve">    预算不足则保留 G 并停止；否则原子提交并更新全部计数。</w:t>
      </w:r>
    </w:p>
    <w:p>
      <w:pPr>
        <w:pStyle w:val="AlgorithmLine"/>
        <w:keepNext/>
        <w:tabs>
          <w:tab w:pos="397" w:val="left"/>
        </w:tabs>
        <w:spacing w:line="300" w:lineRule="exact" w:after="0"/>
        <w:ind w:left="397" w:hanging="397"/>
      </w:pPr>
      <w:r>
        <w:rPr>
          <w:rFonts w:ascii="Times New Roman" w:hAnsi="Times New Roman" w:eastAsia="Songti SC"/>
          <w:color w:val="000000"/>
          <w:sz w:val="21"/>
        </w:rPr>
        <w:t>23</w:t>
        <w:tab/>
        <w:t xml:space="preserve">    记录删增对象、效用差、预算和求解间隙，返回步骤06。</w:t>
      </w:r>
    </w:p>
    <w:p>
      <w:pPr>
        <w:pStyle w:val="AlgorithmLine"/>
        <w:keepNext/>
        <w:tabs>
          <w:tab w:pos="397" w:val="left"/>
        </w:tabs>
        <w:spacing w:line="300" w:lineRule="exact" w:after="0"/>
        <w:ind w:left="397" w:hanging="397"/>
      </w:pPr>
      <w:r>
        <w:rPr>
          <w:rFonts w:ascii="Times New Roman" w:hAnsi="Times New Roman" w:eastAsia="Songti SC"/>
          <w:color w:val="000000"/>
          <w:sz w:val="21"/>
        </w:rPr>
        <w:t>24</w:t>
        <w:tab/>
        <w:t xml:space="preserve">    本轮额度耗尽则结束本轮；全程预算允许时返回步骤05。</w:t>
      </w:r>
    </w:p>
    <w:p>
      <w:pPr>
        <w:pStyle w:val="AlgorithmLine"/>
        <w:keepNext/>
        <w:tabs>
          <w:tab w:pos="397" w:val="left"/>
        </w:tabs>
        <w:spacing w:line="300" w:lineRule="exact" w:after="0"/>
        <w:ind w:left="397" w:hanging="397"/>
      </w:pPr>
      <w:r>
        <w:rPr>
          <w:rFonts w:ascii="Times New Roman" w:hAnsi="Times New Roman" w:eastAsia="Songti SC"/>
          <w:color w:val="000000"/>
          <w:sz w:val="21"/>
        </w:rPr>
        <w:t>25</w:t>
        <w:tab/>
        <w:t>任何中断或全程预算耗尽均停止，保留最后完整合法状态。</w:t>
      </w:r>
    </w:p>
    <w:p>
      <w:pPr>
        <w:pStyle w:val="AlgorithmLine"/>
        <w:keepNext w:val="0"/>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26</w:t>
        <w:tab/>
        <w:t>返回 G 及全部尝试、拒绝、回退、提交和停止记录。</w:t>
      </w:r>
    </w:p>
    <w:p>
      <w:pPr>
        <w:keepNext/>
        <w:spacing w:line="240" w:lineRule="auto" w:before="80" w:after="60"/>
        <w:ind w:firstLine="0"/>
        <w:jc w:val="center"/>
      </w:pPr>
      <w:r>
        <w:drawing>
          <wp:inline xmlns:a="http://schemas.openxmlformats.org/drawingml/2006/main" xmlns:pic="http://schemas.openxmlformats.org/drawingml/2006/picture">
            <wp:extent cx="5652770" cy="4674582"/>
            <wp:docPr id="7" name="bounded_execution.png" descr="候选生成至有界事务接受的执行流程。机制示意，非实测案例。"/>
            <wp:cNvGraphicFramePr>
              <a:graphicFrameLocks noChangeAspect="1"/>
            </wp:cNvGraphicFramePr>
            <a:graphic>
              <a:graphicData uri="http://schemas.openxmlformats.org/drawingml/2006/picture">
                <pic:pic>
                  <pic:nvPicPr>
                    <pic:cNvPr id="0" name="bounded_execution.png"/>
                    <pic:cNvPicPr/>
                  </pic:nvPicPr>
                  <pic:blipFill>
                    <a:blip r:embed="rId80"/>
                    <a:stretch>
                      <a:fillRect/>
                    </a:stretch>
                  </pic:blipFill>
                  <pic:spPr>
                    <a:xfrm>
                      <a:off x="0" y="0"/>
                      <a:ext cx="5652770" cy="4674582"/>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62" w:name="v2_162"/>
      <w:bookmarkEnd w:id="162"/>
    </w:p>
    <w:p>
      <w:r>
        <w:rPr>
          <w:rFonts w:ascii="Times New Roman" w:hAnsi="Times New Roman" w:eastAsia="Songti SC"/>
          <w:color w:val="000000"/>
        </w:rPr>
        <w:t>图4-2对应算法4-1。完整候选生成、原MCR选择及共用合法化沿用前期接口；固定候选宇宙、对象评分、集合事务及局部补全构成本章联合修正流程。实线表示候选、对象和图状态的数据传递，控制箭头表示预算判断、接受、回退和再次提议。图中所有模型参数在推理时冻结，无训练梯度或参数更新；被拒绝与超时的尝试仍计入成本。只有通过复核的完整事务进入当前状态。</w:t>
      </w:r>
    </w:p>
    <w:p>
      <w:r>
        <w:rPr>
          <w:rFonts w:ascii="Times New Roman" w:hAnsi="Times New Roman" w:eastAsia="Songti SC"/>
          <w:color w:val="000000"/>
        </w:rPr>
        <w:t>no-op 是求解器外的独立选择，不需要满足严格增分条件。对于已改变组件的提议，其局部关系 ILP 不一定包含原图，因此不能把“ILP 内存在空编辑”作为回退保障。所有修改先在副本中执行，通过复核后一次提交；拒绝或中断时保留最后一个完整合法状态。</w:t>
      </w:r>
    </w:p>
    <w:p>
      <w:r>
        <w:rPr>
          <w:rFonts w:ascii="Times New Roman" w:hAnsi="Times New Roman" w:eastAsia="Songti SC"/>
          <w:color w:val="000000"/>
        </w:rPr>
        <w:t>求解超时但找到可行解时，可使用经复核的 incumbent，并记录求解间隙；未找到可行解则记录状态，不解释为数学不可行。只有完整检查本轮声明的队列，才可称该队列中未找到合格动作。候选构造、评分调用、全部求解尝试及失败处理均计入成本，不能只计最终接受的修改。</w:t>
      </w:r>
    </w:p>
    <w:p>
      <w:pPr>
        <w:pStyle w:val="Heading3"/>
      </w:pPr>
      <w:r>
        <w:t>4.5.3 固定评分下的精确差值</w:t>
      </w:r>
      <w:bookmarkStart w:id="81" w:name="v2_81"/>
      <w:bookmarkEnd w:id="81"/>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pStyle w:val="Heading3"/>
      </w:pPr>
      <w:r>
        <w:t>4.5.4 集合事务的可达性</w:t>
      </w:r>
      <w:bookmarkStart w:id="82" w:name="v2_82"/>
      <w:bookmarkEnd w:id="82"/>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 xml:space="preserve">构造两个互不重叠的旧组件 </w:t>
      </w:r>
      <m:oMath>
        <m:r>
          <m:t xml:space="preserve">a</m:t>
        </m:r>
        <m:r>
          <m:t xml:space="preserve">,</m:t>
        </m:r>
        <m:r>
          <m:t xml:space="preserve">b</m:t>
        </m:r>
      </m:oMath>
      <w:r>
        <w:rPr>
          <w:rFonts w:ascii="Times New Roman" w:hAnsi="Times New Roman" w:eastAsia="Songti SC"/>
          <w:color w:val="000000"/>
        </w:rPr>
        <w:t xml:space="preserve">，新跨度 </w:t>
      </w:r>
      <m:oMath>
        <m:r>
          <m:t xml:space="preserve">c</m:t>
        </m:r>
      </m:oMath>
      <w:r>
        <w:rPr>
          <w:rFonts w:ascii="Times New Roman" w:hAnsi="Times New Roman" w:eastAsia="Songti SC"/>
          <w:color w:val="000000"/>
        </w:rPr>
        <w:t xml:space="preserve"> 同时覆盖二者。取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rPr>
        <w:t xml:space="preserve"> 的效用为 </w:t>
      </w:r>
      <m:oMath>
        <m:r>
          <m:t xml:space="preserve">0</m:t>
        </m:r>
        <m:r>
          <m:t xml:space="preserve">.</m:t>
        </m:r>
        <m:r>
          <m:t xml:space="preserve">4</m:t>
        </m:r>
      </m:oMath>
      <w:r>
        <w:rPr>
          <w:rFonts w:ascii="Times New Roman" w:hAnsi="Times New Roman" w:eastAsia="Songti SC"/>
          <w:color w:val="000000"/>
        </w:rPr>
        <w:t xml:space="preserve">：单独删除任一组件降分，直接插入 </w:t>
      </w:r>
      <m:oMath>
        <m:r>
          <m:t xml:space="preserve">c</m:t>
        </m:r>
      </m:oMath>
      <w:r>
        <w:rPr>
          <w:rFonts w:ascii="Times New Roman" w:hAnsi="Times New Roman" w:eastAsia="Songti SC"/>
          <w:color w:val="000000"/>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rPr>
        <w:t xml:space="preserve"> 则合法且增分 </w:t>
      </w:r>
      <m:oMath>
        <m:r>
          <m:t xml:space="preserve">0</m:t>
        </m:r>
        <m:r>
          <m:t xml:space="preserve">.</m:t>
        </m:r>
        <m:r>
          <m:t xml:space="preserve">4</m:t>
        </m:r>
      </m:oMath>
      <w:r>
        <w:rPr>
          <w:rFonts w:ascii="Times New Roman" w:hAnsi="Times New Roman" w:eastAsia="Songti SC"/>
          <w:color w:val="000000"/>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rPr>
        <w:t xml:space="preserve"> 并保持关系不变，即满足全部效用门。若一对一提议通过冲突闭合同时删除两个旧组件，它事实上已扩展为上述集合事务，不再属于受限的单对象动作。</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3" w:name="v2_83"/>
      <w:bookmarkEnd w:id="83"/>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4" w:name="v2_84"/>
      <w:bookmarkEnd w:id="84"/>
    </w:p>
    <w:p>
      <w:r>
        <w:rPr>
          <w:rFonts w:ascii="Times New Roman" w:hAnsi="Times New Roman" w:eastAsia="Songti SC"/>
          <w:color w:val="000000"/>
        </w:rPr>
        <w:t>本章实验检验组件集合替换与关系重建是否产生可归因的恢复收益，并分析其成立条件。主比较固定第三章完整训练方案T1的生成检查点；I0表示只执行MCR初始选择的推理配置。候选、评分和搜索分别诊断，组件与关系的严格指标、错误修改和全部计算成本共同决定方法的适用范围。真实结果按2.6节的统计协议报告；以下四张P后缀结果表保留为非实测分析框架。</w:t>
      </w:r>
    </w:p>
    <w:p>
      <w:pPr>
        <w:pStyle w:val="Heading3"/>
      </w:pPr>
      <w:r>
        <w:t>4.6.1 推理协议与方法对照</w:t>
      </w:r>
      <w:bookmarkStart w:id="85" w:name="v2_85"/>
      <w:bookmarkEnd w:id="85"/>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要求全部成员和目标同时存在。组件变化还可能影响事务外超边的范围合法性，此时按整图约束扩大事务或拒绝，不能仅检查相交端点。原生超边结果与二元投影结果分别报告，不混用分数。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系统比较共享生成检查点、初始完整候选和共用合法化规则，分别考察MCR-only、BR-O、BR-C、新评分器下的RelationOnly、组件先改后重建关系、单对象动作及完整集合事务。用于机制归因的受控比较进一步固定候选宇宙和对象评分。其中RelationOnly虽固定组件，但评分目标不同于BR-C，不能用前者代替后者。旧均分、固定计数效用与其他明确目标也需在相同候选条件下比较，区分候选改善、评分改善和搜索范围扩大。</w:t>
      </w:r>
    </w:p>
    <w:p>
      <w:r>
        <w:rPr>
          <w:rFonts w:ascii="Times New Roman" w:hAnsi="Times New Roman" w:eastAsia="Songti SC"/>
          <w:color w:val="000000"/>
        </w:rPr>
        <w:t>表4-1概括容易混淆的推理版本。整系统比较保留各原版机制；用于归因的受控比较则另外固定候选、对象评分及相应资源口径，不能将两种比较混称为同条件消融。</w:t>
      </w:r>
    </w:p>
    <w:p>
      <w:pPr>
        <w:pStyle w:val="TableCaption"/>
      </w:pPr>
      <w:r>
        <w:rPr>
          <w:rFonts w:ascii="Times New Roman" w:hAnsi="Times New Roman" w:eastAsia="Songti SC"/>
          <w:color w:val="000000"/>
          <w:sz w:val="21"/>
        </w:rPr>
        <w:t>表4-1 推理方法的修改对象与决策接口</w:t>
      </w:r>
      <w:bookmarkStart w:id="163" w:name="v2_163"/>
      <w:bookmarkEnd w:id="16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采用前期修正流程与评分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使用新对象评分与效用，只改变关系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随后重建关系，用于比较决策顺序</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受影响关系重建后整体接受或回退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在共同目标与整图约束下联合选边</w:t>
            </w:r>
          </w:p>
        </w:tc>
      </w:tr>
    </w:tbl>
    <w:p>
      <w:pPr>
        <w:spacing w:after="0" w:line="240" w:lineRule="auto"/>
      </w:pPr>
    </w:p>
    <w:p>
      <w:r>
        <w:rPr>
          <w:rFonts w:ascii="Times New Roman" w:hAnsi="Times New Roman" w:eastAsia="Songti SC"/>
          <w:color w:val="000000"/>
        </w:rPr>
        <w:t>全局 ILP 是必要的强对照。它在相同候选、对象评分和整图协议下同时选择全部组件与关系；局部方法不是新的通用整数规划技术。若全局模型的末态可行域包含局部算法输出，则充分求解的全局目标值不会低于局部结果。比较中应明确局部累计预算与全局净编辑预算的差别，并同时报告同时间预算下的可行解、求解间隙及充分求解结果。局部事务的研究价值在于有限算力下的修正质量、可审计性与成本，而非声称理论上超越相同目标的全局最优解。</w:t>
      </w:r>
    </w:p>
    <w:p>
      <w:r>
        <w:rPr>
          <w:rFonts w:ascii="Times New Roman" w:hAnsi="Times New Roman" w:eastAsia="Songti SC"/>
          <w:color w:val="000000"/>
        </w:rPr>
        <w:t>前期BR-O或BR-C的结果保留在附录E，不能归入BR-J。本节的数值表用于明确正式实验的比较口径与分析方式：所有P后缀均为人为设置的非实测占位，不能据此得出性能、风险或效率结论。</w:t>
      </w:r>
    </w:p>
    <w:p>
      <w:r>
        <w:rPr>
          <w:rFonts w:ascii="Times New Roman" w:hAnsi="Times New Roman" w:eastAsia="Songti SC"/>
          <w:color w:val="000000"/>
        </w:rPr>
        <w:t>MCR-only为仅选择初始完整图；BR-O为原ICIC式修正；BR-C固定组件及初始覆盖目标；BR-J为本论文主方案。由于O、C与J的候选和评分不同，这组系统比较只能回答完整方案差异，必须另加同候选、同评分的控制比较。</w:t>
      </w:r>
    </w:p>
    <w:p>
      <w:pPr>
        <w:pStyle w:val="TableCaption"/>
      </w:pPr>
      <w:r>
        <w:rPr>
          <w:rFonts w:ascii="Times New Roman" w:hAnsi="Times New Roman" w:eastAsia="Songti SC"/>
          <w:color w:val="000000"/>
          <w:sz w:val="21"/>
        </w:rPr>
        <w:t>表4-2 推理侧对照及归因</w:t>
      </w:r>
      <w:bookmarkStart w:id="164" w:name="v2_164"/>
      <w:bookmarkEnd w:id="16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同一生成检查点及初始候选</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系统总体效果与原工作递进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新增候选、评分和求解全部成本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是否只是删除错误关系获益</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顺序组件修正再预测关系</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同一宇宙、评分、动作预算</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是否需要事务联合接受</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组件单步拒绝导致的不可达情况</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事务集合与搜索顺序</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完整对象效用的作用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同评分不同动作</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固定评分和候选</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集合替换及闭合的作用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编辑数量与事务大小</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局部修正的预算价值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等预算通用重写或重生成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相同token或调用资源</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专门修正是否值得额外机制</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解析失败、幻觉跨度及全部成本</w:t>
            </w:r>
          </w:p>
        </w:tc>
      </w:tr>
    </w:tbl>
    <w:p>
      <w:pPr>
        <w:spacing w:after="0" w:line="240" w:lineRule="auto"/>
      </w:pPr>
    </w:p>
    <w:p>
      <w:r>
        <w:rPr>
          <w:rFonts w:ascii="Times New Roman" w:hAnsi="Times New Roman" w:eastAsia="Songti SC"/>
          <w:color w:val="000000"/>
        </w:rPr>
        <w:t>全局ILP采用包含局部终态的松弛可行域：固定相同候选宇宙、评分和合法性规则，组件与关系效用分别不低于初始图，两类对象的最终净编辑量分别不超过对应的局部累计编辑预算。局部方法的每一步分量非下降及累计预算，蕴含其最终状态满足上述约束；反向不成立，因此全局域包含局部可达终态，不称二者同域。全局ILP充分求解时，其效用不低于局部可行解，这是包含关系决定的数学上界。局部方法可争取较低成本或更好的真实F1；后者可能说明代理目标存在偏差，不代表其效用超过全局最优。不加分量门或采用其他净预算的全局版本单列。</w:t>
      </w:r>
    </w:p>
    <w:p>
      <w:pPr>
        <w:pStyle w:val="Heading3"/>
      </w:pPr>
      <w:r>
        <w:t>4.6.2 组件与关系联合修正的独立作用</w:t>
      </w:r>
      <w:bookmarkStart w:id="86" w:name="v2_86"/>
      <w:bookmarkEnd w:id="86"/>
    </w:p>
    <w:p>
      <w:r>
        <w:rPr>
          <w:rFonts w:ascii="Times New Roman" w:hAnsi="Times New Roman" w:eastAsia="Songti SC"/>
          <w:color w:val="000000"/>
        </w:rPr>
        <w:t>搜索诊断固定候选宇宙和全部评分，比较找到的效用、尝试次数、接受次数、编辑数及耗时。只有这样才能把收益归于闭合搜索而非更好的候选或更强评分器。若固定评分几乎不能区分好坏修改，则增加搜索可能更有效地放大错误，不能据形式性质继续宣称安全改进。</w:t>
      </w:r>
    </w:p>
    <w:p>
      <w:r>
        <w:rPr>
          <w:rFonts w:ascii="Times New Roman" w:hAnsi="Times New Roman" w:eastAsia="Songti SC"/>
          <w:color w:val="000000"/>
        </w:rPr>
        <w:t>表4-3固定T1生成检查点。上半部分是整系统比较，其中BR-O、BR-C可能使用不同评分或动作集合；下半部分在BR-J的固定候选宇宙和对象评分下比较顺序修正、闭合事务及全局ILP。整系统胜负与闭合机制的净增量是两个问题，不合并解释。</w:t>
      </w:r>
    </w:p>
    <w:p>
      <w:pPr>
        <w:pStyle w:val="TableCaption"/>
      </w:pPr>
      <w:r>
        <w:rPr>
          <w:rFonts w:ascii="Times New Roman" w:hAnsi="Times New Roman" w:eastAsia="Songti SC"/>
          <w:color w:val="000000"/>
          <w:sz w:val="21"/>
        </w:rPr>
        <w:t>表4-3 推理侧比较的预期情景占位</w:t>
      </w:r>
      <w:bookmarkStart w:id="165" w:name="v2_165"/>
      <w:bookmarkEnd w:id="16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推理方法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原版BR-O系统</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84.3P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77.3P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固定组件BR-C系统</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仅删边控制</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38.6P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同候选同评分 顺序修正</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39.6P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同候选同评分 BR-J</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84.9P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78.1P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40.8P</w:t>
            </w:r>
          </w:p>
        </w:tc>
      </w:tr>
    </w:tbl>
    <w:p>
      <w:pPr>
        <w:spacing w:after="0" w:line="240" w:lineRule="auto"/>
      </w:pPr>
    </w:p>
    <w:p>
      <w:r>
        <w:rPr>
          <w:rFonts w:ascii="Times New Roman" w:hAnsi="Times New Roman" w:eastAsia="Songti SC"/>
          <w:color w:val="000000"/>
        </w:rPr>
        <w:t>注：全部为人为设定的占位值，非实测。BR-C和仅删边不改变组件，组件F1应与I0完全相同。全局ILP行是假定求得最优解时的情景，不表示已有求解日志；其目标效用不得低于同条件局部解，但真实F1不受该顺序约束。</w:t>
      </w:r>
    </w:p>
    <w:p>
      <w:r>
        <w:rPr>
          <w:rFonts w:ascii="Times New Roman" w:hAnsi="Times New Roman" w:eastAsia="Songti SC"/>
          <w:color w:val="000000"/>
        </w:rPr>
        <w:t>如果真实比较保持表中关系，BR-J相对顺序修正的关系差值为AAEC 0.7P、CDCP 1.4P个百分点。这仍需结合操作预算、候选缓存及评分器哈希，才能讨论事务接受的作用。BR-J与原版系统的差值还包含候选和评分变化，不能单独命名为“依赖闭合收益”。</w:t>
      </w:r>
    </w:p>
    <w:p>
      <w:r>
        <w:rPr>
          <w:rFonts w:ascii="Times New Roman" w:hAnsi="Times New Roman" w:eastAsia="Songti SC"/>
          <w:color w:val="000000"/>
        </w:rPr>
        <w:t>全局ILP在此情景下的组件分数略高、关系分数略低于BR-J，用于提醒代理目标与评价目标可能不一致，不是局部算法优于全局最优的预设结论。正式实验必须报告最优性状态、时间限制、可行解和gap；超时解不享有理论目标上界的保证。若全局ILP在同等成本下全面占优，应明确缩小局部修正的适用范围。</w:t>
      </w:r>
    </w:p>
    <w:p>
      <w:pPr>
        <w:pStyle w:val="Heading3"/>
      </w:pPr>
      <w:r>
        <w:t>4.6.3 候选覆盖与预算内可达性</w:t>
      </w:r>
      <w:bookmarkStart w:id="87" w:name="v2_87"/>
      <w:bookmarkEnd w:id="87"/>
    </w:p>
    <w:p>
      <w:r>
        <w:rPr>
          <w:rFonts w:ascii="Times New Roman" w:hAnsi="Times New Roman" w:eastAsia="Songti SC"/>
          <w:color w:val="000000"/>
        </w:rPr>
        <w:t>候选诊断计算严格组件覆盖、完整关系全部端点覆盖及满足兼容约束的可达Oracle。组件逐项覆盖只是必要条件：两个各自正确的对象可能因错误冲突规则不能同时进入图；超边端点齐备也不意味着正确源集合已列入关系候选。因而同时报告对象覆盖、可行图上界、单次事务可达上界及有限多轮可达上界，不能把它们合并为一个“Oracle”。</w:t>
      </w:r>
    </w:p>
    <w:p>
      <w:r>
        <w:rPr>
          <w:rFonts w:ascii="Times New Roman" w:hAnsi="Times New Roman" w:eastAsia="Songti SC"/>
          <w:color w:val="000000"/>
        </w:rPr>
        <w:t>表4-4只针对T1的冻结候选宇宙，候选覆盖以金标完整对象为分母，Oracle以同一严格关系指标和合法性条件为准。单轮和多轮可达空间均包含no-op；多轮允许的轨迹包含单轮轨迹，全局可行空间包含这些终态。组件覆盖、关系候选覆盖与关系F1分别报告，不能互相替代。</w:t>
      </w:r>
    </w:p>
    <w:p>
      <w:pPr>
        <w:pStyle w:val="TableCaption"/>
      </w:pPr>
      <w:r>
        <w:rPr>
          <w:rFonts w:ascii="Times New Roman" w:hAnsi="Times New Roman" w:eastAsia="Songti SC"/>
          <w:color w:val="000000"/>
          <w:sz w:val="21"/>
        </w:rPr>
        <w:t>表4-4 候选与可达性诊断的预期情景占位</w:t>
      </w:r>
      <w:bookmarkStart w:id="166" w:name="v2_166"/>
      <w:bookmarkEnd w:id="16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78"/>
        <w:gridCol w:w="2835"/>
        <w:gridCol w:w="3289"/>
      </w:tblGrid>
      <w:tr>
        <w:trPr>
          <w:cantSplit/>
          <w:tblHeader/>
        </w:trPr>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诊断量</w:t>
            </w:r>
          </w:p>
        </w:tc>
        <w:tc>
          <w:tcPr>
            <w:tcW w:type="dxa" w:w="28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r>
          </w:p>
        </w:tc>
        <w:tc>
          <w:tcPr>
            <w:tcW w:type="dxa" w:w="328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严格组件候选覆盖率 百分比</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88.0P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全部关系端点覆盖率 百分比</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89.0P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完整关系候选覆盖率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初始图严格关系F1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多轮可达Oracle关系F1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全局可行图Oracle关系F1</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完整关系候选覆盖不超过全部端点覆盖；单轮Oracle不超过多轮，多轮不超过全局。Oracle使用金标，仅作诊断，不参与测试时选择或调参；这里的金标目标Oracle不是按预测效用求解的全局ILP。</w:t>
      </w:r>
    </w:p>
    <w:p>
      <w:r>
        <w:rPr>
          <w:rFonts w:ascii="Times New Roman" w:hAnsi="Times New Roman" w:eastAsia="Songti SC"/>
          <w:color w:val="000000"/>
        </w:rPr>
        <w:t>若真实候选覆盖较高而BR-J远低于可达Oracle，应进一步定位评分或搜索问题，不能仅用Oracle存在就断言系统可实现对应收益。CDCP必须要求完整源集合和目标同时出现；只覆盖若干单前提连接不算覆盖原生超边。反之，若关系对象根本未进入候选，改进评分器也无法将其恢复，应先处理候选来源和剪枝规则。</w:t>
      </w:r>
    </w:p>
    <w:p>
      <w:r>
        <w:rPr>
          <w:rFonts w:ascii="Times New Roman" w:hAnsi="Times New Roman" w:eastAsia="Songti SC"/>
          <w:color w:val="000000"/>
        </w:rPr>
        <w:t>候选诊断图预留“覆盖—可达—实际恢复”的真实数据位置。覆盖面板接入金标组件数、严格命中候选数、全部关系端点齐备数、完整关系候选数及资源裁剪数量；恢复面板接入初始、单轮Oracle、多轮Oracle、全局可行Oracle和BR-J的严格关系F1。两个面板分别展示覆盖比例与任务指标，避免将二者连接为同一数量变化。每个数据点同时绑定文档集合、候选缓存、邻域和预算，CDCP按超边元数分层。当前缺少对应预测与求解记录，不以表4-4的P后缀占位数值绘制实测图或区间。</w:t>
      </w:r>
    </w:p>
    <w:p>
      <w:pPr>
        <w:pStyle w:val="Heading3"/>
      </w:pPr>
      <w:r>
        <w:t>4.6.4 完整对象评分的可靠性</w:t>
      </w:r>
      <w:bookmarkStart w:id="88" w:name="v2_88"/>
      <w:bookmarkEnd w:id="88"/>
    </w:p>
    <w:p>
      <w:r>
        <w:rPr>
          <w:rFonts w:ascii="Times New Roman" w:hAnsi="Times New Roman" w:eastAsia="Songti SC"/>
          <w:color w:val="000000"/>
        </w:rPr>
        <w:t>评分诊断在固定提案上判断修改后真实任务变化。分别报告有益、无益及有害修改的排序质量，完整对象概率的可靠性图、Brier分数、校准误差，以及严格接受后的净TP/FP/FN变化。构造扰动与模型自然错误分开；校准文档和最终策略评估文档分开。针对不同图大小、事务类型、超边元数及训练方案检查分布漂移。随机因素上的良好校准不足以保证搜索选出的高分事务可靠。</w:t>
      </w:r>
    </w:p>
    <w:p>
      <w:r>
        <w:rPr>
          <w:rFonts w:ascii="Times New Roman" w:hAnsi="Times New Roman" w:eastAsia="Songti SC"/>
          <w:color w:val="000000"/>
        </w:rPr>
        <w:t>表4-5采用固定提案集合开展评分诊断，不让不同评分器通过各自搜索产生难度不同的提案。评分器在训练文档内部交叉拟合预测上学习，校准和策略选择按2.6节划分；表中的接受可靠性还需在真实搜索选出的事务上单独报告，不能从固定提案诊断直接推出。</w:t>
      </w:r>
    </w:p>
    <w:p>
      <w:pPr>
        <w:pStyle w:val="TableCaption"/>
      </w:pPr>
      <w:r>
        <w:rPr>
          <w:rFonts w:ascii="Times New Roman" w:hAnsi="Times New Roman" w:eastAsia="Songti SC"/>
          <w:color w:val="000000"/>
          <w:sz w:val="21"/>
        </w:rPr>
        <w:t>表4-5 固定提案评分诊断的预期情景占位</w:t>
      </w:r>
      <w:bookmarkStart w:id="167" w:name="v2_167"/>
      <w:bookmarkEnd w:id="16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78"/>
        <w:gridCol w:w="1531"/>
        <w:gridCol w:w="1531"/>
        <w:gridCol w:w="1531"/>
        <w:gridCol w:w="1531"/>
      </w:tblGrid>
      <w:tr>
        <w:trPr>
          <w:cantSplit/>
          <w:tblHeader/>
        </w:trPr>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评分方式</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br/>
              <w:t>有益排序</w:t>
              <w:br/>
              <w:t>AUROC</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br/>
              <w:t>有益排序</w:t>
              <w:br/>
              <w:t>AUROC</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br/>
              <w:t>关系</w:t>
              <w:br/>
              <w:t>Brier</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br/>
              <w:t>超边</w:t>
              <w:br/>
              <w:t>Brier</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仅端点条件标签评分</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0.65P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0.61P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完整对象评分 未校准</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0.73P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0.69P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0.22P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完整对象评分 经校准</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0.73P</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0.69P</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0.15P</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0.19P</w:t>
            </w:r>
          </w:p>
        </w:tc>
      </w:tr>
    </w:tbl>
    <w:p>
      <w:pPr>
        <w:spacing w:after="0" w:line="240" w:lineRule="auto"/>
      </w:pPr>
    </w:p>
    <w:p>
      <w:r>
        <w:rPr>
          <w:rFonts w:ascii="Times New Roman" w:hAnsi="Times New Roman" w:eastAsia="Songti SC"/>
          <w:color w:val="000000"/>
        </w:rPr>
        <w:t>注：全部为人为设定的占位值，非实测。AUROC以严格关系F1是否提高定义有益提案，平局及下降合为非有益，其比例另报；事务分数采用固定总效用差，类别不足时指标记不适用。Brier以完整关系是否严格正确为标签，预测对象包括跨度、类型及全部端点。端点条件标签概率不是完整对象概率，不计算同口径Brier。</w:t>
      </w:r>
    </w:p>
    <w:p>
      <w:r>
        <w:rPr>
          <w:rFonts w:ascii="Times New Roman" w:hAnsi="Times New Roman" w:eastAsia="Songti SC"/>
          <w:color w:val="000000"/>
        </w:rPr>
        <w:t>该情景允许校准降低Brier而不提高排序AUROC，避免将校准等同于更强的排序能力。正式报告还需给出非有益中的平局和有害比例、完整组件Brier、可靠性图及分组结果。即使固定提案排序改善，搜索仍可能集中选择错误高分事务；只有接受后净TP/FP/FN及误改率同时受控，才能支持使用该评分规则。</w:t>
      </w:r>
    </w:p>
    <w:p>
      <w:r>
        <w:rPr>
          <w:rFonts w:ascii="Times New Roman" w:hAnsi="Times New Roman" w:eastAsia="Songti SC"/>
          <w:color w:val="000000"/>
        </w:rPr>
        <w:t>评分可靠性图以冻结评分器在独立评估文档上的真实预测为输入。待接入字段包括完整对象语义键、来源、预测概率、严格正确标签、分箱边界、箱内样本量、平均预测概率和经验正确率，并关联相应的统计区间。组件、二元关系与原生超边分别作图，模型自然错误与构造扰动分别统计；分箱规则在观察测试结果前固定。另在真实搜索已接受事务中接入两项效用差、总效用差与实际TP/FP/FN变化，展示候选级校准和接受后可靠性之间的差别。上述图位等待真实记录，不从占位AUROC或Brier反推样本。</w:t>
      </w:r>
    </w:p>
    <w:p>
      <w:pPr>
        <w:pStyle w:val="Heading3"/>
      </w:pPr>
      <w:r>
        <w:t>4.6.5 误改风险与计算预算</w:t>
      </w:r>
      <w:bookmarkStart w:id="89" w:name="v2_89"/>
      <w:bookmarkEnd w:id="89"/>
    </w:p>
    <w:p>
      <w:r>
        <w:rPr>
          <w:rFonts w:ascii="Times New Roman" w:hAnsi="Times New Roman" w:eastAsia="Songti SC"/>
          <w:color w:val="000000"/>
        </w:rPr>
        <w:t>按插入、删除、重定型、边界替换、拆分、合并及仅关系修改分组，报告尝试、合法、接受、真实有益和真实有害的事务数。主动恢复必须确实新增正确组件或完整关系；净收益为正但主要来自删去大量错误预测的结果不能直接表述为“恢复遗漏结构”。同时报告原本正确对象的保留率、误删、误加、端点修改后的关系重建准确率及无修改比例。</w:t>
      </w:r>
    </w:p>
    <w:p>
      <w:r>
        <w:rPr>
          <w:rFonts w:ascii="Times New Roman" w:hAnsi="Times New Roman" w:eastAsia="Songti SC"/>
          <w:color w:val="000000"/>
        </w:rPr>
        <w:t>表4-6采用T1下的AAEC同候选同评分比较，CDCP按相同字段单列，并按超边元数分层。接受单元定义为算法一次完整提交；为避免顺序方法与事务方法的分组粒度不同造成误导，还必须报告固定文档级的净TP/FP/FN及编辑数，不能仅比较单元比例。</w:t>
      </w:r>
    </w:p>
    <w:p>
      <w:pPr>
        <w:pStyle w:val="TableCaption"/>
      </w:pPr>
      <w:r>
        <w:rPr>
          <w:rFonts w:ascii="Times New Roman" w:hAnsi="Times New Roman" w:eastAsia="Songti SC"/>
          <w:color w:val="000000"/>
          <w:sz w:val="21"/>
        </w:rPr>
        <w:t>表4-6 AAEC风险与成本的预期情景占位</w:t>
      </w:r>
      <w:bookmarkStart w:id="168" w:name="v2_168"/>
      <w:bookmarkEnd w:id="16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同评分方法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有益单元率 百分比</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有害单元率 百分比</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预测效用</w:t>
              <w:br/>
              <w:t>增量</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推理时延比</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顺序组件及关系修正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BR-J闭合事务</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 最优情景</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2.50P</w:t>
            </w:r>
          </w:p>
        </w:tc>
      </w:tr>
    </w:tbl>
    <w:p>
      <w:pPr>
        <w:spacing w:after="0" w:line="240" w:lineRule="auto"/>
      </w:pPr>
    </w:p>
    <w:p>
      <w:r>
        <w:rPr>
          <w:rFonts w:ascii="Times New Roman" w:hAnsi="Times New Roman" w:eastAsia="Songti SC"/>
          <w:color w:val="000000"/>
        </w:rPr>
        <w:t>注：全部为人为设定的占位值，非实测。单元率分母为所有已接受单元，按提交前后严格关系F1的正、负、零变化分为有益、有害和中性；中性比例为剩余部分。效用增量为相对相同初始图的每文档平均固定预测效用变化，全局行假定各文档证明最优。时延比以同检查点MCR-only总推理时延为1，包括候选补充、评分、失败尝试及求解，不包含训练。</w:t>
      </w:r>
    </w:p>
    <w:p>
      <w:r>
        <w:rPr>
          <w:rFonts w:ascii="Times New Roman" w:hAnsi="Times New Roman" w:eastAsia="Songti SC"/>
          <w:color w:val="000000"/>
        </w:rPr>
        <w:t>在此假设情景中，BR-J相较顺序修正减少有害提交，但付出更高推理成本；它也没有达到全局最优的代理效用。若实测出现这种折中，可结合预算曲线讨论采用条件。相反，若误改率下降只来自极少提交，应同时展示总接受量和文档覆盖；若收益主要来自删除错误关系，则不能称为主动恢复。插入、拆分和合并的贡献须由新增正确组件或完整关系的净计数支持。</w:t>
      </w:r>
    </w:p>
    <w:p>
      <w:r>
        <w:rPr>
          <w:rFonts w:ascii="Times New Roman" w:hAnsi="Times New Roman" w:eastAsia="Songti SC"/>
          <w:color w:val="000000"/>
        </w:rPr>
        <w:t>正式成本表同时列出实际硬件、token、调用、训练时间及峰值显存。预算曲线预留实际总调用数、输入输出token及端到端时延三个资源坐标，分别对应严格组件和关系F1、有害提交率、接受总量、无修改文档比例和文档覆盖率；CDCP同时记录超边元数。各预算点使用相同候选与评分身份，并记录失败尝试、求解间隙和最优性状态。统计区间来自真实重复或预先规定的抽样，不从P后缀比例反推事务计数，也不将占位时延比换算为秒数。</w:t>
      </w:r>
    </w:p>
    <w:p>
      <w:pPr>
        <w:pStyle w:val="Heading3"/>
      </w:pPr>
      <w:r>
        <w:t>4.6.6 真实案例的对照与失败分析</w:t>
      </w:r>
      <w:bookmarkStart w:id="90" w:name="v2_90"/>
      <w:bookmarkEnd w:id="90"/>
    </w:p>
    <w:p>
      <w:r>
        <w:rPr>
          <w:rFonts w:ascii="Times New Roman" w:hAnsi="Times New Roman" w:eastAsia="Songti SC"/>
          <w:color w:val="000000"/>
        </w:rPr>
        <w:t>图4-1的图书馆片段是人为构造的机制示意，用于解释不同错误需要什么条件才能恢复。它没有真实文档ID、模型输出或运行轨迹，不作为成功率、误改率或数据集表现的证据。真实案例从独立测试记录中按预先固定的误差类别和抽样规则选取，至少覆盖成功恢复、错误接受、错误拒绝、候选不可达和预算耗尽；不能为示意片段补上样本编号后将其充作实测。</w:t>
      </w:r>
    </w:p>
    <w:p>
      <w:r>
        <w:rPr>
          <w:rFonts w:ascii="Times New Roman" w:hAnsi="Times New Roman" w:eastAsia="Songti SC"/>
          <w:color w:val="000000"/>
        </w:rPr>
        <w:t>在组件遗漏场景中，假设原文包含</w:t>
      </w:r>
      <m:oMath>
        <m:sSub>
          <m:e>
            <m:r>
              <m:t xml:space="preserve">c</m:t>
            </m:r>
          </m:e>
          <m:sub>
            <m:r>
              <m:t xml:space="preserve">3</m:t>
            </m:r>
          </m:sub>
        </m:sSub>
      </m:oMath>
      <w:r>
        <w:rPr>
          <w:rFonts w:ascii="Times New Roman" w:hAnsi="Times New Roman" w:eastAsia="Songti SC"/>
          <w:color w:val="000000"/>
        </w:rPr>
        <w:t>，初始图却没有抽出它。固定组件的关系修正无法生成以</w:t>
      </w:r>
      <m:oMath>
        <m:sSub>
          <m:e>
            <m:r>
              <m:t xml:space="preserve">c</m:t>
            </m:r>
          </m:e>
          <m:sub>
            <m:r>
              <m:t xml:space="preserve">3</m:t>
            </m:r>
          </m:sub>
        </m:sSub>
      </m:oMath>
      <w:r>
        <w:rPr>
          <w:rFonts w:ascii="Times New Roman" w:hAnsi="Times New Roman" w:eastAsia="Songti SC"/>
          <w:color w:val="000000"/>
        </w:rPr>
        <w:t>为端点的完整正确关系。若独立跨度提议或其他生成候选提供了</w:t>
      </w:r>
      <m:oMath>
        <m:sSub>
          <m:e>
            <m:r>
              <m:t xml:space="preserve">c</m:t>
            </m:r>
          </m:e>
          <m:sub>
            <m:r>
              <m:t xml:space="preserve">3</m:t>
            </m:r>
          </m:sub>
        </m:sSub>
      </m:oMath>
      <w:r>
        <w:rPr>
          <w:rFonts w:ascii="Times New Roman" w:hAnsi="Times New Roman" w:eastAsia="Songti SC"/>
          <w:color w:val="000000"/>
        </w:rPr>
        <w:t>，BR-J可以将其作为插入提议，并同时重新选择涉及该对象的合法关系。只有组件与关系的完整方案通过接受条件，插入才会提交。这个场景将“候选中存在可用对象”与“评分和搜索实际选中该对象”分开，也说明候选覆盖不能直接解释为恢复成绩。</w:t>
      </w:r>
    </w:p>
    <w:p>
      <w:r>
        <w:rPr>
          <w:rFonts w:ascii="Times New Roman" w:hAnsi="Times New Roman" w:eastAsia="Songti SC"/>
          <w:color w:val="000000"/>
        </w:rPr>
        <w:t>在边界替换场景中，初始组件</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只包含“图书馆现有座位不足”，候选</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覆盖完整论据。顺序策略可能先接受组件变化，再发现原有关系的完整对象已经失效；闭合事务则把删除旧关系、判断新关系及其效用一并计算。若新组件的分数提高却伴随关系分项下降，事务会被拒绝。这种拒绝说明接受规则限制了某类代理代价交换，但不证明被拒绝的修改在真实评价上一定有害。</w:t>
      </w:r>
    </w:p>
    <w:p>
      <w:r>
        <w:rPr>
          <w:rFonts w:ascii="Times New Roman" w:hAnsi="Times New Roman" w:eastAsia="Songti SC"/>
          <w:color w:val="000000"/>
        </w:rPr>
        <w:t>失败可能发生在不同环节。若</w:t>
      </w:r>
      <m:oMath>
        <m:sSub>
          <m:e>
            <m:r>
              <m:t xml:space="preserve">c</m:t>
            </m:r>
          </m:e>
          <m:sub>
            <m:r>
              <m:t xml:space="preserve">3</m:t>
            </m:r>
          </m:sub>
        </m:sSub>
      </m:oMath>
      <w:r>
        <w:rPr>
          <w:rFonts w:ascii="Times New Roman" w:hAnsi="Times New Roman" w:eastAsia="Songti SC"/>
          <w:color w:val="000000"/>
        </w:rPr>
        <w:t>或所需完整超边未进入候选宇宙，修正器无法恢复它；若错误对象被评分器高估，一次通过全部代理门限的事务仍可能降低真实F1；若可用修改超出当前集合规模或剩余预算，则系统返回原图或最后一个合法状态。前者对应候选覆盖问题，第二种对应评分问题，第三种对应搜索范围与成本限制，不能都归结为“模型没有理解语义”。</w:t>
      </w:r>
    </w:p>
    <w:p>
      <w:r>
        <w:rPr>
          <w:rFonts w:ascii="Times New Roman" w:hAnsi="Times New Roman" w:eastAsia="Songti SC"/>
          <w:color w:val="000000"/>
        </w:rPr>
        <w:t>真实成功和失败案例采用相同的记录结构，防止只呈现有利结果。目前下列字段均待真实预测与日志接入，不能由上述示意或P后缀表格填充。</w:t>
      </w:r>
    </w:p>
    <w:p>
      <w:r>
        <w:rPr>
          <w:rFonts w:ascii="Times New Roman" w:hAnsi="Times New Roman" w:eastAsia="Songti SC"/>
          <w:color w:val="000000"/>
        </w:rPr>
        <w:t>（1）原文与金标准。给出数据集、固定划分、真实文档ID、相关原文及上下文，列出金标组件的跨度、类型和完整关系；CDCP逐项列出超边源集合。金标准仅用于事后评价，不进入测试时的提议、评分和接受过程。</w:t>
      </w:r>
    </w:p>
    <w:p>
      <w:r>
        <w:rPr>
          <w:rFonts w:ascii="Times New Roman" w:hAnsi="Times New Roman" w:eastAsia="Songti SC"/>
          <w:color w:val="000000"/>
        </w:rPr>
        <w:t>（2）初始状态与候选。展示同一合法初始图、每个候选的来源与完整语义键，并注明遗漏对象是否在固定宇宙中、所需对象能否兼容共存。无法构造所需完整关系时，应将候选缺失与局部邻域不可达分别标出。</w:t>
      </w:r>
    </w:p>
    <w:p>
      <w:r>
        <w:rPr>
          <w:rFonts w:ascii="Times New Roman" w:hAnsi="Times New Roman" w:eastAsia="Songti SC"/>
          <w:color w:val="000000"/>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r>
        <w:rPr>
          <w:rFonts w:ascii="Times New Roman" w:hAnsi="Times New Roman" w:eastAsia="Songti SC"/>
          <w:color w:val="000000"/>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r>
        <w:rPr>
          <w:rFonts w:ascii="Times New Roman" w:hAnsi="Times New Roman" w:eastAsia="Songti SC"/>
          <w:color w:val="000000"/>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r>
        <w:rPr>
          <w:rFonts w:ascii="Times New Roman" w:hAnsi="Times New Roman" w:eastAsia="Songti SC"/>
          <w:color w:val="000000"/>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r>
        <w:rPr>
          <w:rFonts w:ascii="Times New Roman" w:hAnsi="Times New Roman" w:eastAsia="Songti SC"/>
          <w:color w:val="000000"/>
        </w:rPr>
        <w:t>案例解释用于定位机制发挥作用或失效的具体环节，整体效果仍由主结果、控制比较和风险统计共同判断。正式接入数据时，应按完整表格、图与相邻分析一起更新；跨表复用行必须来自同一配置，结果方向变化时同步调整解释，而不根据占位趋势选择种子或舍弃失败运行。</w:t>
      </w:r>
    </w:p>
    <w:p>
      <w:pPr>
        <w:pStyle w:val="Heading2"/>
      </w:pPr>
      <w:r>
        <w:t>4.7 本章小结</w:t>
      </w:r>
      <w:bookmarkStart w:id="91" w:name="v2_91"/>
      <w:bookmarkEnd w:id="91"/>
    </w:p>
    <w:p>
      <w:r>
        <w:rPr>
          <w:rFonts w:ascii="Times New Roman" w:hAnsi="Times New Roman" w:eastAsia="Songti SC"/>
          <w:color w:val="000000"/>
        </w:rPr>
        <w:t>本章将 MCR 保留的多种结构假设转化为固定候选空间，以冲突闭合的组件集合替换及完整关系依赖重建作为修正单位。固定对象评分使修改差值可以精确核算，代价敏感效用明确了误检与漏检的取舍，分项门与预算约束使接受和停止条件可复现。相较于仅冻结组件或逐项修改，本章进一步表达了拆分、合并与关系重建之间的耦合；其有效性仍取决于候选覆盖、评分质量及预算内的可达性，不能由代理目标的单调性直接推出。</w:t>
      </w:r>
    </w:p>
    <w:p>
      <w:r>
        <w:rPr>
          <w:rFonts w:ascii="Times New Roman" w:hAnsi="Times New Roman" w:eastAsia="Songti SC"/>
          <w:color w:val="000000"/>
        </w:rPr>
        <w:t>本章的实验设计分别检验候选覆盖、对象评分和事务搜索，并通过顺序修正、仅关系修改及同目标全局ILP明确归因边界。候选诊断与真实案例定位恢复受阻的环节，风险和预算评价则检验额外修改是否值得采用。现有P后缀数值和人为机制示意只提供分析框架，BR-J的独立增量与成本优势仍须由固定候选、固定评分和相应资源对齐的真实实验确定。</w:t>
      </w:r>
    </w:p>
    <w:p>
      <w:pPr>
        <w:pStyle w:val="Heading1"/>
      </w:pPr>
      <w:r>
        <w:t>第五章 两阶段框架的综合分析</w:t>
      </w:r>
      <w:bookmarkStart w:id="92" w:name="v2_92"/>
      <w:bookmarkEnd w:id="92"/>
    </w:p>
    <w:p>
      <w:r>
        <w:rPr>
          <w:rFonts w:ascii="Times New Roman" w:hAnsi="Times New Roman" w:eastAsia="Songti SC"/>
          <w:color w:val="000000"/>
        </w:rPr>
        <w:t>第三、四章分别检验训练监督保持与推理结构恢复。本章进一步讨论两阶段同时使用时的表现：训练改进是否改变修正空间，推理收益是否依赖特定生成器，以及新增开销在何种条件下具有使用价值。组合总分、独立方法增量与内部机制归因分别回答不同问题，不能相互替代。</w:t>
      </w:r>
    </w:p>
    <w:p>
      <w:pPr>
        <w:pStyle w:val="Heading2"/>
      </w:pPr>
      <w:r>
        <w:t>5.1 两阶段组合设计</w:t>
      </w:r>
      <w:bookmarkStart w:id="93" w:name="v2_93"/>
      <w:bookmarkEnd w:id="93"/>
    </w:p>
    <w:p>
      <w:pPr>
        <w:pStyle w:val="Heading3"/>
      </w:pPr>
      <w:r>
        <w:t>5.1.1 训练与推理开关</w:t>
      </w:r>
      <w:bookmarkStart w:id="94" w:name="v2_94"/>
      <w:bookmarkEnd w:id="94"/>
    </w:p>
    <w:p>
      <w:r>
        <w:rPr>
          <w:rFonts w:ascii="Times New Roman" w:hAnsi="Times New Roman" w:eastAsia="Songti SC"/>
          <w:color w:val="000000"/>
        </w:rPr>
        <w:t>组合实验采用训练T0/T1与推理I0/I1的2×2设计。T0保留前期结论专项适配、线索提示及句子辅助目标，不含新增关系感知增强与因素对齐；T1采用第三章完整方法。I0为MCR-only初始图，I1为第四章BR-J修正。四种配置在AAEC和CDCP上分别评价，共享2.6节的数据用途、统计和成本协议。</w:t>
      </w:r>
    </w:p>
    <w:p>
      <w:r>
        <w:rPr>
          <w:rFonts w:ascii="Times New Roman" w:hAnsi="Times New Roman" w:eastAsia="Songti SC"/>
          <w:color w:val="000000"/>
        </w:rPr>
        <w:t>同一训练检查点的I0和I1使用相同初始图与候选缓存，使二者的差异来自后续修正。T0与T1各自产生候选，不强制不同检查点共享同一候选池，因为候选质量变化本身是训练效果的一部分。第三章的同数据学习消融和第四章的同候选同评分比较负责内部归因，本章不重复其全部结果表。</w:t>
      </w:r>
    </w:p>
    <w:p>
      <w:pPr>
        <w:pStyle w:val="Heading3"/>
      </w:pPr>
      <w:r>
        <w:t>5.1.2 主效应与相互作用</w:t>
      </w:r>
      <w:bookmarkStart w:id="95" w:name="v2_95"/>
      <w:bookmarkEnd w:id="95"/>
    </w:p>
    <w:p>
      <w:r>
        <w:rPr>
          <w:rFonts w:ascii="Times New Roman" w:hAnsi="Times New Roman" w:eastAsia="Songti SC"/>
          <w:color w:val="000000"/>
        </w:rPr>
        <w:t>训练效应分别在I0与I1下比较T1和T0，推理效应分别在T0与T1下比较I1和I0。若两个阶段在各自固定条件下均有稳定作用，可以讨论其互补性；若一项只在另一项启用时有效，则需说明这种依赖条件。组合不以超加性增益为成立前提，交互差只用于描述两阶段差异的变化。</w:t>
      </w:r>
    </w:p>
    <w:p>
      <w:r>
        <w:rPr>
          <w:rFonts w:ascii="Times New Roman" w:hAnsi="Times New Roman" w:eastAsia="Songti SC"/>
          <w:color w:val="000000"/>
        </w:rPr>
        <w:t>判断同时依赖统计区间与误差组成。整体F1提高可能来自Precision和Recall的不同取舍，因此每格保留组件、关系的P/R/F1及原始TP/FP/FN。重复实验数量、种子与失败运行按公共协议完整报告，不能通过挑选种子获得预设的组合趋势。</w:t>
      </w:r>
    </w:p>
    <w:p>
      <w:pPr>
        <w:pStyle w:val="Heading2"/>
      </w:pPr>
      <w:r>
        <w:t>5.2 组合表现与误差分析</w:t>
      </w:r>
      <w:bookmarkStart w:id="96" w:name="v2_96"/>
      <w:bookmarkEnd w:id="96"/>
    </w:p>
    <w:p>
      <w:pPr>
        <w:pStyle w:val="Heading3"/>
      </w:pPr>
      <w:r>
        <w:t>5.2.1 四格结果与解释范围</w:t>
      </w:r>
      <w:bookmarkStart w:id="97" w:name="v2_97"/>
      <w:bookmarkEnd w:id="97"/>
    </w:p>
    <w:p>
      <w:r>
        <w:rPr>
          <w:rFonts w:ascii="Times New Roman" w:hAnsi="Times New Roman" w:eastAsia="Songti SC"/>
          <w:color w:val="000000"/>
        </w:rPr>
        <w:t>表5-1沿用人工设置的预期情景，只展示四格比较和分析口径。所有P后缀数值均非实测，基线行也不是已公开成绩。新增方法的定量结论仍需绑定实际预测与严格评价。</w:t>
      </w:r>
    </w:p>
    <w:p>
      <w:pPr>
        <w:pStyle w:val="TableCaption"/>
      </w:pPr>
      <w:r>
        <w:rPr>
          <w:rFonts w:ascii="Times New Roman" w:hAnsi="Times New Roman" w:eastAsia="Songti SC"/>
          <w:color w:val="000000"/>
          <w:sz w:val="21"/>
        </w:rPr>
        <w:t>表5-1 两阶段组合的预期情景占位</w:t>
      </w:r>
      <w:bookmarkStart w:id="169" w:name="v2_169"/>
      <w:bookmarkEnd w:id="16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注：全部为人为设定的占位值，非实测。P仅标记占位；各格不是多种子均值，不带显著性含义。表中基线行也不是已公开成绩。</w:t>
      </w:r>
    </w:p>
    <w:p>
      <w:r>
        <w:rPr>
          <w:rFonts w:ascii="Times New Roman" w:hAnsi="Times New Roman" w:eastAsia="Songti SC"/>
          <w:color w:val="000000"/>
        </w:rPr>
        <w:t>在该假设情景中，不使用BR-J时，训练侧的关系F1增量在AAEC和CDCP上均为2.0P个百分点；固定T1检查点后，推理侧对应增量为2.0P和3.0P个百分点。两项同时启用相对T0＋I0的关系增量分别为4.0P和5.0P个百分点。四格关系F1的交互差“完整组合−仅训练−仅修正＋均关闭”为0.0P，该设置不预设超加性。以上仅为计算示例，不是对实际收益的预测。</w:t>
      </w:r>
    </w:p>
    <w:p>
      <w:r>
        <w:rPr>
          <w:rFonts w:ascii="Times New Roman" w:hAnsi="Times New Roman" w:eastAsia="Songti SC"/>
          <w:color w:val="000000"/>
        </w:rPr>
        <w:t>正式分析首先报告四格及区间，再比较两个阶段在不同固定条件下的差值。若只有T1＋I1改善，结论应限定为组合依赖；若F1提高主要来自Precision上升而Recall下降，则继续检查真阳性删除与遗漏恢复。内部模块是否必要仍由第三、四章的受控实验回答。</w:t>
      </w:r>
    </w:p>
    <w:p>
      <w:r>
        <w:rPr>
          <w:rFonts w:ascii="Times New Roman" w:hAnsi="Times New Roman" w:eastAsia="Songti SC"/>
          <w:color w:val="000000"/>
        </w:rPr>
        <w:t>四格比较图位保留给真实多种子结果：横轴为训练配置，线型区分推理开关，组件和严格关系指标分面展示，误差线说明对应的统计区间及重复单位。当前没有生成该图，以免将人工占位值画成观测曲线；实测图应与表5-1来自同一运行集合。</w:t>
      </w:r>
    </w:p>
    <w:p>
      <w:pPr>
        <w:pStyle w:val="Heading3"/>
      </w:pPr>
      <w:r>
        <w:t>5.2.2 组合后的错误结构</w:t>
      </w:r>
      <w:bookmarkStart w:id="98" w:name="v2_98"/>
      <w:bookmarkEnd w:id="98"/>
    </w:p>
    <w:p>
      <w:r>
        <w:rPr>
          <w:rFonts w:ascii="Times New Roman" w:hAnsi="Times New Roman" w:eastAsia="Songti SC"/>
          <w:color w:val="000000"/>
        </w:rPr>
        <w:t>训练改进可能减少组件边界错误，也可能改变候选数量和错误类型。修正方法因此未必在T0与T1上具有相同的恢复空间。组合分析按组件遗漏、多检、边界、类型及完整关系错误分组，对比修正前后的严格计数；CDCP额外按超边元数分层，以辨别长源集合的端点错误是否限制组合收益。</w:t>
      </w:r>
    </w:p>
    <w:p>
      <w:r>
        <w:rPr>
          <w:rFonts w:ascii="Times New Roman" w:hAnsi="Times New Roman" w:eastAsia="Songti SC"/>
          <w:color w:val="000000"/>
        </w:rPr>
        <w:t>报告对象覆盖、可行图上界和实际恢复时，各训练检查点分别使用自己的冻结候选池。若T1提高候选覆盖而修正收益不变，可进一步检查评分与搜索；若候选上界接近初始表现，修正增量较小也可能源于可恢复空间缩小。此类解释需要对应诊断支持，不能仅依据四格总分反推原因。</w:t>
      </w:r>
    </w:p>
    <w:p>
      <w:r>
        <w:rPr>
          <w:rFonts w:ascii="Times New Roman" w:hAnsi="Times New Roman" w:eastAsia="Songti SC"/>
          <w:color w:val="000000"/>
        </w:rPr>
        <w:t>组合案例沿用第四章的真实案例字段，并在同一文档上并列T0、T1及其修正结果。成功恢复、错误接受、错误拒绝和无修改均按预先固定规则取样。机制图用于解释操作，真实案例用于说明运行，两者分别标识。</w:t>
      </w:r>
    </w:p>
    <w:p>
      <w:pPr>
        <w:pStyle w:val="Heading2"/>
      </w:pPr>
      <w:r>
        <w:t>5.3 整体成本与方法互补性</w:t>
      </w:r>
      <w:bookmarkStart w:id="99" w:name="v2_99"/>
      <w:bookmarkEnd w:id="99"/>
    </w:p>
    <w:p>
      <w:pPr>
        <w:pStyle w:val="Heading3"/>
      </w:pPr>
      <w:r>
        <w:t>5.3.1 训练投入与推理开销</w:t>
      </w:r>
      <w:bookmarkStart w:id="100" w:name="v2_100"/>
      <w:bookmarkEnd w:id="100"/>
    </w:p>
    <w:p>
      <w:r>
        <w:rPr>
          <w:rFonts w:ascii="Times New Roman" w:hAnsi="Times New Roman" w:eastAsia="Songti SC"/>
          <w:color w:val="000000"/>
        </w:rPr>
        <w:t>训练增强和推理修正的成本发生在不同阶段。增强生成、筛选与成对学习主要增加训练投入，候选评分与事务求解则随测试文档发生。整体成本应同时报告训练时间、增强尝试与接受规模、可训练参数量，以及单文档推理调用、token、时延和峰值显存，不能只比较最终修正步骤的CPU时间。</w:t>
      </w:r>
    </w:p>
    <w:p>
      <w:r>
        <w:rPr>
          <w:rFonts w:ascii="Times New Roman" w:hAnsi="Times New Roman" w:eastAsia="Songti SC"/>
          <w:color w:val="000000"/>
        </w:rPr>
        <w:t>成本比较固定硬件、批处理方式、缓存规则和评价规模。对部署情景，可以另报训练投入在不同文档量下的摊销，但文档量与计费条件必须显式给定，不能用未测得的时延比例推算秒数或经济收益。当前实际设备与运行字段见表2-2，尚待真实记录绑定。</w:t>
      </w:r>
    </w:p>
    <w:p>
      <w:pPr>
        <w:pStyle w:val="Heading3"/>
      </w:pPr>
      <w:r>
        <w:t>5.3.2 质量与成本的选择条件</w:t>
      </w:r>
      <w:bookmarkStart w:id="101" w:name="v2_101"/>
      <w:bookmarkEnd w:id="101"/>
    </w:p>
    <w:p>
      <w:r>
        <w:rPr>
          <w:rFonts w:ascii="Times New Roman" w:hAnsi="Times New Roman" w:eastAsia="Songti SC"/>
          <w:color w:val="000000"/>
        </w:rPr>
        <w:t>综合分析同时展示严格关系F1、组件F1、错误修改和端到端成本。训练阶段的投入可能在较大测试规模下摊销，推理修正则可通过预算调整使用强度；实际选择取决于可恢复错误、评分可靠性及延迟约束。方法必要性应由相对于强对照的质量成本折中说明，而不是由模块数量或代理效用单调性说明。</w:t>
      </w:r>
    </w:p>
    <w:p>
      <w:r>
        <w:rPr>
          <w:rFonts w:ascii="Times New Roman" w:hAnsi="Times New Roman" w:eastAsia="Songti SC"/>
          <w:color w:val="000000"/>
        </w:rPr>
        <w:t>整体质量成本图位采用实际耗时或调用资源为横轴，以严格关系F1为纵轴，四格配置使用不同符号；误改指标另作同条件面板。图中只连接具有可比预算和配置的运行，并标明测量设备、统计口径和失败配置。当前仅确定报告结构，不填入虚构曲线。</w:t>
      </w:r>
    </w:p>
    <w:p>
      <w:pPr>
        <w:pStyle w:val="Heading2"/>
      </w:pPr>
      <w:r>
        <w:t>5.4 跨语料适用性</w:t>
      </w:r>
      <w:bookmarkStart w:id="102" w:name="v2_102"/>
      <w:bookmarkEnd w:id="102"/>
    </w:p>
    <w:p>
      <w:pPr>
        <w:pStyle w:val="Heading3"/>
      </w:pPr>
      <w:r>
        <w:t>5.4.1 标签映射与迁移设定</w:t>
      </w:r>
      <w:bookmarkStart w:id="103" w:name="v2_103"/>
      <w:bookmarkEnd w:id="103"/>
    </w:p>
    <w:p>
      <w:r>
        <w:rPr>
          <w:rFonts w:ascii="Times New Roman" w:hAnsi="Times New Roman" w:eastAsia="Songti SC"/>
          <w:color w:val="000000"/>
        </w:rPr>
        <w:t>AAEC到CDCP的迁移沿用独立的粗粒度补充协议：AAEC的MajorClaim和Claim归为Claim，Premise保持；CDCP的Policy和Value归为Claim，Fact、Testimony和Reference归为Premise。该映射是工程上的功能归约，不主张不同语料类型天然等价。</w:t>
      </w:r>
    </w:p>
    <w:p>
      <w:r>
        <w:rPr>
          <w:rFonts w:ascii="Times New Roman" w:hAnsi="Times New Roman" w:eastAsia="Songti SC"/>
          <w:color w:val="000000"/>
        </w:rPr>
        <w:t>关系可在补充轨道中归约为有向无标签连接。若把CDCP多前提超边投影为多个源到目标的连接，则协议名称明确标为“二元投影”，固定去重和计数规则，并报告受影响的原生关系数。投影Link-F1与域内原生Relation-F1分别展示，不用于计算所谓原生超边性能下降。</w:t>
      </w:r>
    </w:p>
    <w:p>
      <w:r>
        <w:rPr>
          <w:rFonts w:ascii="Times New Roman" w:hAnsi="Times New Roman" w:eastAsia="Songti SC"/>
          <w:color w:val="000000"/>
        </w:rPr>
        <w:t>零样本迁移不使用目标训练或开发标签调整评分、阈值、映射和预算。若目标标签用于校准，该轨道称为目标域校准迁移。域内CDCP训练和迁移实验分别维护数据用途及模型身份，前期粗粒度结果保留在附录E，新方法按相同补充协议另行评价。</w:t>
      </w:r>
    </w:p>
    <w:p>
      <w:pPr>
        <w:pStyle w:val="Heading3"/>
      </w:pPr>
      <w:r>
        <w:t>5.4.2 域外错误与适用边界</w:t>
      </w:r>
      <w:bookmarkStart w:id="104" w:name="v2_104"/>
      <w:bookmarkEnd w:id="104"/>
    </w:p>
    <w:p>
      <w:r>
        <w:rPr>
          <w:rFonts w:ascii="Times New Roman" w:hAnsi="Times New Roman" w:eastAsia="Songti SC"/>
          <w:color w:val="000000"/>
        </w:rPr>
        <w:t>跨语料结果主要检验表达、组件角色及关系分布变化下的适用性。除总体指标外，分析显式线索有无、组件长度、候选覆盖和评分校准差异。若Cue-aware分支的域内收益在目标域消失，应讨论其线索依赖；若修正器错误接受增加，应检查对象分布与校准变化，而不直接归因于搜索预算不足。</w:t>
      </w:r>
    </w:p>
    <w:p>
      <w:r>
        <w:rPr>
          <w:rFonts w:ascii="Times New Roman" w:hAnsi="Times New Roman" w:eastAsia="Songti SC"/>
          <w:color w:val="000000"/>
        </w:rPr>
        <w:t>跨语料分析不新增第三项方法贡献，也不替代域内独立验证。结果持平或下降时保留对应配置，并将结论限制在已验证的数据与协议范围。本文未开展中文或多语言实验，不从两个英文语料推断更广泛的语言适用性。</w:t>
      </w:r>
    </w:p>
    <w:p>
      <w:pPr>
        <w:pStyle w:val="Heading2"/>
      </w:pPr>
      <w:r>
        <w:t>5.5 本章小结</w:t>
      </w:r>
      <w:bookmarkStart w:id="105" w:name="v2_105"/>
      <w:bookmarkEnd w:id="105"/>
    </w:p>
    <w:p>
      <w:r>
        <w:rPr>
          <w:rFonts w:ascii="Times New Roman" w:hAnsi="Times New Roman" w:eastAsia="Songti SC"/>
          <w:color w:val="000000"/>
        </w:rPr>
        <w:t>本章以训练与推理的四格设计连接两项独立研究，区分阶段增量、组合依赖和整体使用成本。错误结构分析用于解释候选、评分与搜索如何随训练变化，跨语料协议则限定结论的适用范围。当前占位表仅承载比较与计算示例，完整系统的效果结论仍需由同一运行集合中的真实预测、统计区间和成本记录共同支持。</w:t>
      </w:r>
    </w:p>
    <w:p>
      <w:pPr>
        <w:pStyle w:val="Heading1"/>
      </w:pPr>
      <w:r>
        <w:t>第六章 总结与展望</w:t>
      </w:r>
      <w:bookmarkStart w:id="106" w:name="v2_106"/>
      <w:bookmarkEnd w:id="106"/>
    </w:p>
    <w:p>
      <w:pPr>
        <w:pStyle w:val="Heading2"/>
      </w:pPr>
      <w:r>
        <w:t>6.1 研究总结</w:t>
      </w:r>
      <w:bookmarkStart w:id="107" w:name="v2_107"/>
      <w:bookmarkEnd w:id="107"/>
    </w:p>
    <w:p>
      <w:r>
        <w:rPr>
          <w:rFonts w:ascii="Times New Roman" w:hAnsi="Times New Roman" w:eastAsia="Songti SC"/>
          <w:color w:val="000000"/>
        </w:rPr>
        <w:t>本文围绕组件与关系之间的依赖，形成训练监督保持与推理结构恢复两项互补方法。训练阶段改变指定组件的表达，并维护经过检查的监督；推理阶段保持原文不变，协调修改模型预测的组件及其关系。两项研究使用统一任务表示，但分别作用于学习过程和结构决策过程。</w:t>
      </w:r>
    </w:p>
    <w:p>
      <w:r>
        <w:rPr>
          <w:rFonts w:ascii="Times New Roman" w:hAnsi="Times New Roman" w:eastAsia="Songti SC"/>
          <w:color w:val="000000"/>
        </w:rPr>
        <w:t>第一项研究在前期结论组件专项建模基础上，定义关系影响域约束的增强与成对因素学习。影响域按端点关联确定，同时覆盖内部、跨边界组合及正关系、NONE状态。标注迁移建立新旧组件对应，组件与关系监督连接增强数据和共享生成表示。第三章据此将增强质量、中心选择与同数据学习目标分别纳入比较，使研究问题对应到可识别的实验条件。</w:t>
      </w:r>
    </w:p>
    <w:p>
      <w:r>
        <w:rPr>
          <w:rFonts w:ascii="Times New Roman" w:hAnsi="Times New Roman" w:eastAsia="Songti SC"/>
          <w:color w:val="000000"/>
        </w:rPr>
        <w:t>第二项研究在前期多候选重排序与有界修正基础上，以兼容组件集合替换及全部受影响关系重建构成依赖闭合事务。完整对象评分与计数效用提供接受依据，整图约束、分项非下降条件和编辑预算限定可提交的修改。局部差值分析及有限终止性质说明固定候选与目标下的算法行为，第四章通过覆盖、评分、动作对照及风险成本分析区分恢复能力的来源。</w:t>
      </w:r>
    </w:p>
    <w:p>
      <w:r>
        <w:rPr>
          <w:rFonts w:ascii="Times New Roman" w:hAnsi="Times New Roman" w:eastAsia="Songti SC"/>
          <w:color w:val="000000"/>
        </w:rPr>
        <w:t>第五章进一步以两阶段四格组合和跨语料补充协议讨论互补性及适用范围。前期结果与轻量诊断提供研究基础，当前P后缀数值和人为构造案例仅支持分析框架与机制解释。新增方法尚无可据本稿确认的定量效果结论，代理效用性质也不等价于真实F1或全局最优保证。</w:t>
      </w:r>
    </w:p>
    <w:p>
      <w:pPr>
        <w:pStyle w:val="Heading2"/>
      </w:pPr>
      <w:r>
        <w:t>6.2 研究局限</w:t>
      </w:r>
      <w:bookmarkStart w:id="108" w:name="v2_108"/>
      <w:bookmarkEnd w:id="108"/>
    </w:p>
    <w:p>
      <w:pPr>
        <w:pStyle w:val="Heading3"/>
      </w:pPr>
      <w:r>
        <w:t>6.2.1 训练监督的可靠性</w:t>
      </w:r>
      <w:bookmarkStart w:id="109" w:name="v2_109"/>
      <w:bookmarkEnd w:id="109"/>
    </w:p>
    <w:p>
      <w:r>
        <w:rPr>
          <w:rFonts w:ascii="Times New Roman" w:hAnsi="Times New Roman" w:eastAsia="Songti SC"/>
          <w:color w:val="000000"/>
        </w:rPr>
        <w:t>语义检查和一致性目标可能共同偏向容易改写、关系显式的样本。有限影响域无法保证覆盖任意潜在语义变化，NONE还可能反映标注不完备而非语义上绝对无关系。过强对齐也可能压制有价值的表达差异。因此，标签可靠性、表达多样性、接受覆盖与原始文本上的严格任务表现需要共同考察。</w:t>
      </w:r>
    </w:p>
    <w:p>
      <w:pPr>
        <w:pStyle w:val="Heading3"/>
      </w:pPr>
      <w:r>
        <w:t>6.2.2 候选与决策的限制</w:t>
      </w:r>
      <w:bookmarkStart w:id="110" w:name="v2_110"/>
      <w:bookmarkEnd w:id="110"/>
    </w:p>
    <w:p>
      <w:r>
        <w:rPr>
          <w:rFonts w:ascii="Times New Roman" w:hAnsi="Times New Roman" w:eastAsia="Songti SC"/>
          <w:color w:val="000000"/>
        </w:rPr>
        <w:t>推理修正受候选和评分共同限制。未进入候选宇宙的正确跨度或完整超边不可恢复，搜索反复选择高分对象可能放大评分偏差。组件与关系分项非下降条件也可能拒绝真实有益但代理分量下降的事务。有限集合规模与预算不能覆盖任意分割、合并或远距离结构变化，局部方法的成本价值仍需与全局ILP和等资源重生成比较。</w:t>
      </w:r>
    </w:p>
    <w:p>
      <w:pPr>
        <w:pStyle w:val="Heading3"/>
      </w:pPr>
      <w:r>
        <w:t>6.2.3 证据与适用范围</w:t>
      </w:r>
      <w:bookmarkStart w:id="111" w:name="v2_111"/>
      <w:bookmarkEnd w:id="111"/>
    </w:p>
    <w:p>
      <w:r>
        <w:rPr>
          <w:rFonts w:ascii="Times New Roman" w:hAnsi="Times New Roman" w:eastAsia="Songti SC"/>
          <w:color w:val="000000"/>
        </w:rPr>
        <w:t>语料规模、标注体系及历史结果的协议差异限制比较范围。训练集内CPU诊断不代表完整LLM系统，粗粒度迁移不代表原生超边迁移。新增方法的主结果、独立消融、标签审计和真实案例仍需与实际运行绑定；这些缺口限定当前结论强度，不改变对负结果和失败运行的报告要求。</w:t>
      </w:r>
    </w:p>
    <w:p>
      <w:pPr>
        <w:pStyle w:val="Heading2"/>
      </w:pPr>
      <w:r>
        <w:t>6.3 后续研究方向</w:t>
      </w:r>
      <w:bookmarkStart w:id="112" w:name="v2_112"/>
      <w:bookmarkEnd w:id="112"/>
    </w:p>
    <w:p>
      <w:r>
        <w:rPr>
          <w:rFonts w:ascii="Times New Roman" w:hAnsi="Times New Roman" w:eastAsia="Songti SC"/>
          <w:color w:val="000000"/>
        </w:rPr>
        <w:t>候选空间与计算代价之间的关系值得进一步研究。扩大跨度和超边组合可能覆盖更多错误，也增加评分、约束求解及选择错误高分对象的风险。后续可在固定资源条件下比较不同候选组织方式，同时观察覆盖、恢复、误改和成本，确定哪些扩展真正改善最终结构。</w:t>
      </w:r>
    </w:p>
    <w:p>
      <w:r>
        <w:rPr>
          <w:rFonts w:ascii="Times New Roman" w:hAnsi="Times New Roman" w:eastAsia="Songti SC"/>
          <w:color w:val="000000"/>
        </w:rPr>
        <w:t>语义检查与评分可靠性是另一方向。增强标签漂移和推理错误接受都受到模型判断影响，但两者的输入与监督目标不同。可针对隐式关系、长超边以及否定、模态和指代现象开展分组研究，分析不同错误在检查、校准及事务决策中如何传播，并评估拒绝策略的适用条件。</w:t>
      </w:r>
    </w:p>
    <w:p>
      <w:pPr>
        <w:pStyle w:val="Heading1"/>
      </w:pPr>
      <w:r>
        <w:t>参考文献</w:t>
      </w:r>
      <w:bookmarkStart w:id="113" w:name="v2_113"/>
      <w:bookmarkEnd w:id="113"/>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pStyle w:val="Heading1"/>
      </w:pPr>
      <w:r>
        <w:t>附录A 数据处理与复现协议</w:t>
      </w:r>
      <w:bookmarkStart w:id="114" w:name="v2_114"/>
      <w:bookmarkEnd w:id="114"/>
    </w:p>
    <w:p>
      <w:pPr>
        <w:pStyle w:val="Heading2"/>
      </w:pPr>
      <w:r>
        <w:t>A.1 坐标与结构数据</w:t>
      </w:r>
      <w:bookmarkStart w:id="115" w:name="v2_115"/>
      <w:bookmarkEnd w:id="115"/>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16" w:name="v2_116"/>
      <w:bookmarkEnd w:id="116"/>
    </w:p>
    <w:p>
      <w:pPr>
        <w:spacing w:line="380" w:lineRule="exact"/>
      </w:pPr>
      <w:r>
        <w:rPr>
          <w:rFonts w:ascii="Times New Roman" w:hAnsi="Times New Roman" w:eastAsia="Songti SC"/>
          <w:color w:val="000000"/>
          <w:sz w:val="22"/>
        </w:rPr>
        <w:t>表A-1给出结果复核所需的关联字段。历史成绩与新增实验分别维护运行身份，缺少原始材料时保留“未绑定”状态，不以新的参考实现补充证明历史运行。</w:t>
      </w:r>
    </w:p>
    <w:p>
      <w:pPr>
        <w:pStyle w:val="TableCaption"/>
        <w:spacing w:line="380" w:lineRule="exact"/>
      </w:pPr>
      <w:r>
        <w:rPr>
          <w:rFonts w:ascii="Times New Roman" w:hAnsi="Times New Roman" w:eastAsia="Songti SC"/>
          <w:color w:val="000000"/>
          <w:sz w:val="21"/>
        </w:rPr>
        <w:t>表A-1 复现材料的关联字段</w:t>
      </w:r>
      <w:bookmarkStart w:id="170" w:name="v2_170"/>
      <w:bookmarkEnd w:id="17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17" w:name="v2_117"/>
      <w:bookmarkEnd w:id="117"/>
    </w:p>
    <w:p>
      <w:pPr>
        <w:spacing w:line="380" w:lineRule="exact"/>
      </w:pPr>
      <w:r>
        <w:rPr>
          <w:rFonts w:ascii="Times New Roman" w:hAnsi="Times New Roman" w:eastAsia="Songti SC"/>
          <w:color w:val="000000"/>
          <w:sz w:val="22"/>
        </w:rPr>
        <w:t>本文主实验使用英文AAEC和CDCP，未验证中文或多语言能力。ORCHID面向中文辩论的目标无关立场检测和论辩对话摘要[28]，IAM整合多项论辩挖掘任务并使用英文资源[29]。二者可用于认识论辩任务的资源差异，但不直接替代从原文定位组件并预测关系的同协议测试。</w:t>
      </w:r>
    </w:p>
    <w:p>
      <w:pPr>
        <w:pStyle w:val="Heading1"/>
      </w:pPr>
      <w:r>
        <w:t>附录B 评分与事务执行记录</w:t>
      </w:r>
      <w:bookmarkStart w:id="118" w:name="v2_118"/>
      <w:bookmarkEnd w:id="118"/>
    </w:p>
    <w:p>
      <w:pPr>
        <w:pStyle w:val="Heading2"/>
      </w:pPr>
      <w:r>
        <w:t>B.1 数据与模型身份</w:t>
      </w:r>
      <w:bookmarkStart w:id="119" w:name="v2_119"/>
      <w:bookmarkEnd w:id="119"/>
    </w:p>
    <w:p>
      <w:pPr>
        <w:spacing w:line="380" w:lineRule="exact"/>
      </w:pPr>
      <w:r>
        <w:rPr>
          <w:rFonts w:ascii="Times New Roman" w:hAnsi="Times New Roman" w:eastAsia="Songti SC"/>
          <w:color w:val="000000"/>
          <w:sz w:val="22"/>
        </w:rPr>
        <w:t>每次运行保存run ID、源文档ID及完整文本哈希、数据版本与划分、原字符和评价token映射、模型权重revision、提示与配置哈希、代码版本、环境、种子及运行时间。增强变体保存其唯一源文档和组件对应，不以变体ID重新划分数据。派生结果同时指向候选缓存、评分缓存和评价配置。</w:t>
      </w:r>
    </w:p>
    <w:p>
      <w:pPr>
        <w:pStyle w:val="Heading2"/>
      </w:pPr>
      <w:r>
        <w:t>B.2 评分与接受轨迹</w:t>
      </w:r>
      <w:bookmarkStart w:id="120" w:name="v2_120"/>
      <w:bookmarkEnd w:id="120"/>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21" w:name="v2_121"/>
      <w:bookmarkEnd w:id="121"/>
    </w:p>
    <w:p>
      <w:pPr>
        <w:spacing w:line="380" w:lineRule="exact"/>
      </w:pPr>
      <w:r>
        <w:rPr>
          <w:rFonts w:ascii="Times New Roman" w:hAnsi="Times New Roman" w:eastAsia="Songti SC"/>
          <w:color w:val="000000"/>
          <w:sz w:val="22"/>
        </w:rPr>
        <w:t>无修改状态是独立的可行回退项。候选构造失败、局部求解不可行、超时未得到可接受解或队列耗尽时，返回当前图并保留原因。事务按实际加入和删除的组件及完整关系对象计费，不因整体提交就仅计一次编辑。尝试、接受、求解和模型调用预算分别记录，被拒绝操作仍计入成本。</w:t>
      </w:r>
    </w:p>
    <w:p>
      <w:pPr>
        <w:pStyle w:val="Heading2"/>
      </w:pPr>
      <w:r>
        <w:t>B.4 实现一致性测试</w:t>
      </w:r>
      <w:bookmarkStart w:id="122" w:name="v2_122"/>
      <w:bookmarkEnd w:id="122"/>
    </w:p>
    <w:p>
      <w:pPr>
        <w:spacing w:line="380" w:lineRule="exact"/>
      </w:pPr>
      <w:r>
        <w:rPr>
          <w:rFonts w:ascii="Times New Roman" w:hAnsi="Times New Roman" w:eastAsia="Songti SC"/>
          <w:color w:val="000000"/>
          <w:sz w:val="22"/>
        </w:rPr>
        <w:t>实现测试覆盖坐标往返、原生超边匹配、同坐标不同类型、纯ID重排、非传递的两两候选冲突、组件插入引起的超边源连续性变化、原NONE因素新增、纯关系修改、拆分合并、分项接受条件、空增强与空因素域、预算耗尽及原子回退。对可枚举小图，以穷举比较ILP最优值和局部差分。构造测试用于检查实现是否遵循定义，正式任务收益由真实数据实验评价。</w:t>
      </w:r>
    </w:p>
    <w:p>
      <w:pPr>
        <w:pStyle w:val="Heading1"/>
      </w:pPr>
      <w:r>
        <w:t>附录C 成果归属与研究声明</w:t>
      </w:r>
      <w:bookmarkStart w:id="123" w:name="v2_123"/>
      <w:bookmarkEnd w:id="123"/>
    </w:p>
    <w:p>
      <w:pPr>
        <w:pStyle w:val="Heading2"/>
      </w:pPr>
      <w:r>
        <w:t>C.1 前期共同成果</w:t>
      </w:r>
      <w:bookmarkStart w:id="124" w:name="v2_124"/>
      <w:bookmarkEnd w:id="124"/>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本人分工、合作贡献及发表状态需依据正式材料核准，不仅根据署名顺序推断。</w:t>
      </w:r>
    </w:p>
    <w:p>
      <w:pPr>
        <w:spacing w:line="380" w:lineRule="exact"/>
      </w:pPr>
      <w:r>
        <w:rPr>
          <w:rFonts w:ascii="Times New Roman" w:hAnsi="Times New Roman" w:eastAsia="Songti SC"/>
          <w:color w:val="000000"/>
          <w:sz w:val="22"/>
        </w:rPr>
        <w:t>作者贡献说明采用研究构思、方法设计、软件、验证、数据整理、初稿和修订等角色描述实际工作。当前共同作者之间的具体分工尚未由作者确认，本版不代填个人贡献比例或CRediT角色归属。</w:t>
      </w:r>
    </w:p>
    <w:p>
      <w:pPr>
        <w:pStyle w:val="Heading2"/>
      </w:pPr>
      <w:r>
        <w:t>C.2 数据与材料可得性</w:t>
      </w:r>
      <w:bookmarkStart w:id="125" w:name="v2_125"/>
      <w:bookmarkEnd w:id="125"/>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新增方法的正式检查点、逐例预测、完整事务轨迹和运行配置尚待绑定；现有参考代码和附录D中的轻量诊断不被声明为完整复现包。材料公开范围及存放入口由作者在真实材料完成后核准。</w:t>
      </w:r>
    </w:p>
    <w:p>
      <w:pPr>
        <w:pStyle w:val="Heading2"/>
      </w:pPr>
      <w:r>
        <w:t>C.3 研究辅助与伦理说明</w:t>
      </w:r>
      <w:bookmarkStart w:id="126" w:name="v2_126"/>
      <w:bookmarkEnd w:id="126"/>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本文拟开展的标签可靠性人工审计尚未形成可报告的判断者人数、分歧裁决或一致性统计，本版不填入相关数值。后续涉及人员参与、语料再使用及可能的敏感信息时，应按实际研究内容履行适用的机构程序；本文不代替伦理审查或自行认定豁免。</w:t>
      </w:r>
    </w:p>
    <w:p>
      <w:pPr>
        <w:pStyle w:val="Heading2"/>
      </w:pPr>
      <w:r>
        <w:t>C.4 资助与利益冲突</w:t>
      </w:r>
      <w:bookmarkStart w:id="127" w:name="v2_127"/>
      <w:bookmarkEnd w:id="127"/>
    </w:p>
    <w:p>
      <w:pPr>
        <w:spacing w:line="380" w:lineRule="exact"/>
      </w:pPr>
      <w:r>
        <w:rPr>
          <w:rFonts w:ascii="Times New Roman" w:hAnsi="Times New Roman" w:eastAsia="Songti SC"/>
          <w:color w:val="000000"/>
          <w:sz w:val="22"/>
        </w:rPr>
        <w:t>资助来源和利益冲突信息尚待作者依据真实情况确认。本版保留这一未确认状态，不据材料缺失推断“无资助”或“无利益冲突”。学位论文原创性声明、使用授权、签名和日期按学校适用表单由相应责任人核准，不移植参考论文的声明与身份信息。</w:t>
      </w:r>
    </w:p>
    <w:p>
      <w:pPr>
        <w:pStyle w:val="Heading1"/>
      </w:pPr>
      <w:r>
        <w:t>附录D 前期实验基础与轻量诊断</w:t>
      </w:r>
      <w:bookmarkStart w:id="128" w:name="v2_128"/>
      <w:bookmarkEnd w:id="128"/>
    </w:p>
    <w:p>
      <w:pPr>
        <w:pStyle w:val="Heading2"/>
      </w:pPr>
      <w:r>
        <w:t>D.1 前期结果的使用范围</w:t>
      </w:r>
      <w:bookmarkStart w:id="129" w:name="v2_129"/>
      <w:bookmarkEnd w:id="129"/>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30" w:name="v2_130"/>
      <w:bookmarkEnd w:id="130"/>
    </w:p>
    <w:p>
      <w:pPr>
        <w:spacing w:line="380" w:lineRule="exact"/>
      </w:pPr>
      <w:r>
        <w:rPr>
          <w:rFonts w:ascii="Times New Roman" w:hAnsi="Times New Roman" w:eastAsia="Songti SC"/>
          <w:color w:val="000000"/>
          <w:sz w:val="22"/>
        </w:rPr>
        <w:t>既有CPU诊断记录仅使用官方训练集内容。AAEC纳入322篇，按拟合、校准、审计划为191、65、66篇；CDCP在记录排除文档00411后纳入580篇，对应348、116、116篇。划分按完整文本哈希分组，测试文件未用于解析、拟合、选择或评分。AAEC使用固定版本镜像及官方划分文件，镜像与原下载包的逐字节一致性尚未证明；CDCP的数据异常和跨度映射问题保留在原诊断日志中。这些数量只描述该次轻量诊断，不能填入表2-2作为新增正式实验划分。</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31" w:name="v2_131"/>
      <w:bookmarkEnd w:id="131"/>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1"/>
      </w:pPr>
      <w:r>
        <w:t>附录E 前期数值与协议存档</w:t>
      </w:r>
      <w:bookmarkStart w:id="132" w:name="v2_132"/>
      <w:bookmarkEnd w:id="132"/>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3" w:name="v2_133"/>
      <w:bookmarkEnd w:id="133"/>
    </w:p>
    <w:p>
      <w:pPr>
        <w:pStyle w:val="TableCaption"/>
        <w:spacing w:line="380" w:lineRule="exact"/>
      </w:pPr>
      <w:r>
        <w:rPr>
          <w:rFonts w:ascii="Times New Roman" w:hAnsi="Times New Roman" w:eastAsia="Songti SC"/>
          <w:color w:val="000000"/>
          <w:sz w:val="21"/>
        </w:rPr>
        <w:t>表E-1 AAEC组件分类别旧稿记录</w:t>
      </w:r>
      <w:bookmarkStart w:id="171" w:name="v2_171"/>
      <w:bookmarkEnd w:id="17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4" w:name="v2_134"/>
      <w:bookmarkEnd w:id="134"/>
    </w:p>
    <w:p>
      <w:pPr>
        <w:pStyle w:val="TableCaption"/>
        <w:spacing w:line="380" w:lineRule="exact"/>
      </w:pPr>
      <w:r>
        <w:rPr>
          <w:rFonts w:ascii="Times New Roman" w:hAnsi="Times New Roman" w:eastAsia="Songti SC"/>
          <w:color w:val="000000"/>
          <w:sz w:val="21"/>
        </w:rPr>
        <w:t>表E-2 ICIC原版AAEC域内结果记录</w:t>
      </w:r>
      <w:bookmarkStart w:id="172" w:name="v2_172"/>
      <w:bookmarkEnd w:id="17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5" w:name="v2_135"/>
      <w:bookmarkEnd w:id="135"/>
    </w:p>
    <w:p>
      <w:pPr>
        <w:pStyle w:val="TableCaption"/>
        <w:spacing w:line="380" w:lineRule="exact"/>
      </w:pPr>
      <w:r>
        <w:rPr>
          <w:rFonts w:ascii="Times New Roman" w:hAnsi="Times New Roman" w:eastAsia="Songti SC"/>
          <w:color w:val="000000"/>
          <w:sz w:val="21"/>
        </w:rPr>
        <w:t>表E-3 ICIC原版CDCP域内结果记录</w:t>
      </w:r>
      <w:bookmarkStart w:id="173" w:name="v2_173"/>
      <w:bookmarkEnd w:id="17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6" w:name="v2_136"/>
      <w:bookmarkEnd w:id="136"/>
    </w:p>
    <w:p>
      <w:pPr>
        <w:pStyle w:val="TableCaption"/>
        <w:spacing w:line="380" w:lineRule="exact"/>
      </w:pPr>
      <w:r>
        <w:rPr>
          <w:rFonts w:ascii="Times New Roman" w:hAnsi="Times New Roman" w:eastAsia="Songti SC"/>
          <w:color w:val="000000"/>
          <w:sz w:val="21"/>
        </w:rPr>
        <w:t>表E-4 ICIC原版模块消融记录</w:t>
      </w:r>
      <w:bookmarkStart w:id="174" w:name="v2_174"/>
      <w:bookmarkEnd w:id="17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37" w:name="v2_137"/>
      <w:bookmarkEnd w:id="137"/>
    </w:p>
    <w:p>
      <w:pPr>
        <w:pStyle w:val="TableCaption"/>
        <w:spacing w:line="380" w:lineRule="exact"/>
      </w:pPr>
      <w:r>
        <w:rPr>
          <w:rFonts w:ascii="Times New Roman" w:hAnsi="Times New Roman" w:eastAsia="Songti SC"/>
          <w:color w:val="000000"/>
          <w:sz w:val="21"/>
        </w:rPr>
        <w:t>表E-5 ICIC原版验证器替换记录</w:t>
      </w:r>
      <w:bookmarkStart w:id="175" w:name="v2_175"/>
      <w:bookmarkEnd w:id="17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38" w:name="v2_138"/>
      <w:bookmarkEnd w:id="138"/>
    </w:p>
    <w:p>
      <w:pPr>
        <w:pStyle w:val="TableCaption"/>
        <w:spacing w:line="380" w:lineRule="exact"/>
      </w:pPr>
      <w:r>
        <w:rPr>
          <w:rFonts w:ascii="Times New Roman" w:hAnsi="Times New Roman" w:eastAsia="Songti SC"/>
          <w:color w:val="000000"/>
          <w:sz w:val="21"/>
        </w:rPr>
        <w:t>表E-6 ICIC原版Oracle记录</w:t>
      </w:r>
      <w:bookmarkStart w:id="176" w:name="v2_176"/>
      <w:bookmarkEnd w:id="17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39" w:name="v2_139"/>
      <w:bookmarkEnd w:id="139"/>
    </w:p>
    <w:p>
      <w:pPr>
        <w:pStyle w:val="TableCaption"/>
        <w:spacing w:line="380" w:lineRule="exact"/>
      </w:pPr>
      <w:r>
        <w:rPr>
          <w:rFonts w:ascii="Times New Roman" w:hAnsi="Times New Roman" w:eastAsia="Songti SC"/>
          <w:color w:val="000000"/>
          <w:sz w:val="21"/>
        </w:rPr>
        <w:t>表E-7 ICIC原版修正行为记录</w:t>
      </w:r>
      <w:bookmarkStart w:id="177" w:name="v2_177"/>
      <w:bookmarkEnd w:id="17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0" w:name="v2_140"/>
      <w:bookmarkEnd w:id="140"/>
    </w:p>
    <w:p>
      <w:pPr>
        <w:pStyle w:val="TableCaption"/>
        <w:spacing w:line="380" w:lineRule="exact"/>
      </w:pPr>
      <w:r>
        <w:rPr>
          <w:rFonts w:ascii="Times New Roman" w:hAnsi="Times New Roman" w:eastAsia="Songti SC"/>
          <w:color w:val="000000"/>
          <w:sz w:val="21"/>
        </w:rPr>
        <w:t>表E-8 前期粗粒度组件映射</w:t>
      </w:r>
      <w:bookmarkStart w:id="178" w:name="v2_178"/>
      <w:bookmarkEnd w:id="17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1" w:name="v2_141"/>
      <w:bookmarkEnd w:id="141"/>
    </w:p>
    <w:p>
      <w:pPr>
        <w:pStyle w:val="TableCaption"/>
        <w:spacing w:line="380" w:lineRule="exact"/>
      </w:pPr>
      <w:r>
        <w:rPr>
          <w:rFonts w:ascii="Times New Roman" w:hAnsi="Times New Roman" w:eastAsia="Songti SC"/>
          <w:color w:val="000000"/>
          <w:sz w:val="21"/>
        </w:rPr>
        <w:t>表E-9 ICIC原版AAEC到CDCP迁移记录</w:t>
      </w:r>
      <w:bookmarkStart w:id="179" w:name="v2_179"/>
      <w:bookmarkEnd w:id="17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2" w:name="v2_142"/>
      <w:bookmarkEnd w:id="142"/>
    </w:p>
    <w:p>
      <w:pPr>
        <w:pStyle w:val="Heading2"/>
      </w:pPr>
      <w:r>
        <w:t>F.1 核心术语与符号</w:t>
      </w:r>
      <w:bookmarkStart w:id="143" w:name="v2_143"/>
      <w:bookmarkEnd w:id="143"/>
    </w:p>
    <w:p>
      <w:pPr>
        <w:spacing w:line="380" w:lineRule="exact"/>
      </w:pPr>
      <w:r>
        <w:rPr>
          <w:rFonts w:ascii="Times New Roman" w:hAnsi="Times New Roman" w:eastAsia="Songti SC"/>
          <w:color w:val="000000"/>
          <w:sz w:val="22"/>
        </w:rPr>
        <w:t>表F-1汇总方法中容易混淆的对象。正文在首次使用时给出定义，本表用于回查。相同字母的局部含义以所在章节为准，第三章可改写集合与第四章变化组件集合不能互换。</w:t>
      </w:r>
    </w:p>
    <w:p>
      <w:pPr>
        <w:pStyle w:val="TableCaption"/>
        <w:spacing w:line="380" w:lineRule="exact"/>
      </w:pPr>
      <w:r>
        <w:rPr>
          <w:rFonts w:ascii="Times New Roman" w:hAnsi="Times New Roman" w:eastAsia="Songti SC"/>
          <w:color w:val="000000"/>
          <w:sz w:val="21"/>
        </w:rPr>
        <w:t>表F-1 核心符号及其语义</w:t>
      </w:r>
      <w:bookmarkStart w:id="180" w:name="v2_180"/>
      <w:bookmarkEnd w:id="18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不同于给定金标跨度的训练标签概率</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4" w:name="v2_144"/>
      <w:bookmarkEnd w:id="144"/>
    </w:p>
    <w:p>
      <w:pPr>
        <w:spacing w:line="380" w:lineRule="exact"/>
      </w:pPr>
      <w:r>
        <w:rPr>
          <w:rFonts w:ascii="Times New Roman" w:hAnsi="Times New Roman" w:eastAsia="Songti SC"/>
          <w:color w:val="000000"/>
          <w:sz w:val="22"/>
        </w:rPr>
        <w:t>标注输运按原字符区间替换指定槽位，回填全文后重新分词并更新全部组件位置。字符坐标、评价token和模型子词分别保存映射，训练头只读取输入文档表示，排除聊天模板、连续提示与金标回答。槽位重叠或坐标往返不一致时拒绝变体，不通过删除问题标注获得表面合法性。</w:t>
      </w:r>
    </w:p>
    <w:p>
      <w:pPr>
        <w:spacing w:line="380" w:lineRule="exact"/>
      </w:pPr>
      <w:r>
        <w:rPr>
          <w:rFonts w:ascii="Times New Roman" w:hAnsi="Times New Roman" w:eastAsia="Songti SC"/>
          <w:color w:val="000000"/>
          <w:sz w:val="22"/>
        </w:rPr>
        <w:t>梯度检查单独反传成对对齐项，确认至少一个共享生成参数具有非零梯度，隐藏状态未被分离，表示中不包含金标回答。输入阶段结论专项门控关闭，因此对齐项不直接训练专项分支；专项分支由生成损失更新。开发评价和测试移除训练辅助头，推理评分器采用第四章单独定义的数据与目标。</w:t>
      </w:r>
    </w:p>
    <w:p>
      <w:pPr>
        <w:spacing w:line="380" w:lineRule="exact"/>
      </w:pPr>
      <w:r>
        <w:rPr>
          <w:rFonts w:ascii="Times New Roman" w:hAnsi="Times New Roman" w:eastAsia="Songti SC"/>
          <w:color w:val="000000"/>
          <w:sz w:val="22"/>
        </w:rPr>
        <w:t>事务检查比较修改前后的完整语义对象。新组件与旧组件冲突时扩张删除集合，旧端点失效时删除全部依赖关系，新端点合法组合重新参与选择。若整图合法性需要改变事务外结构，则显式扩张并重新计费，或拒绝提议。中断、无可行解及预算不足时返回最后一个完整合法状态，记录字段见附录B。</w:t>
      </w:r>
    </w:p>
    <w:p>
      <w:pPr>
        <w:pStyle w:val="Heading2"/>
      </w:pPr>
      <w:r>
        <w:t>F.3 研究问题阅读索引</w:t>
      </w:r>
      <w:bookmarkStart w:id="145" w:name="v2_145"/>
      <w:bookmarkEnd w:id="145"/>
    </w:p>
    <w:p>
      <w:pPr>
        <w:spacing w:line="380" w:lineRule="exact"/>
      </w:pPr>
      <w:r>
        <w:rPr>
          <w:rFonts w:ascii="Times New Roman" w:hAnsi="Times New Roman" w:eastAsia="Songti SC"/>
          <w:color w:val="000000"/>
          <w:sz w:val="22"/>
        </w:rPr>
        <w:t>表F-2将概念、方法和验证位置对应起来，便于连续阅读和交叉回查。该索引只说明正文组织，不表示尚待接入的正式实验已经完成。</w:t>
      </w:r>
    </w:p>
    <w:p>
      <w:pPr>
        <w:pStyle w:val="TableCaption"/>
        <w:spacing w:line="380" w:lineRule="exact"/>
      </w:pPr>
      <w:r>
        <w:rPr>
          <w:rFonts w:ascii="Times New Roman" w:hAnsi="Times New Roman" w:eastAsia="Songti SC"/>
          <w:color w:val="000000"/>
          <w:sz w:val="21"/>
        </w:rPr>
        <w:t>表F-2 方法与实验的阅读索引</w:t>
      </w:r>
      <w:bookmarkStart w:id="181" w:name="v2_181"/>
      <w:bookmarkEnd w:id="18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bl>
    <w:p>
      <w:pPr>
        <w:pStyle w:val="ContinuationCaption"/>
        <w:pageBreakBefore/>
      </w:pPr>
      <w:r>
        <w:t>表F-2（续）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3.6.3同数据学习消融</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4.3及图4-1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4.6同候选同评分比较</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5.1至5.3四格误差及整体成本</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5.4及附录E.8至E.9</w:t>
            </w:r>
          </w:p>
        </w:tc>
      </w:tr>
    </w:tbl>
    <w:p>
      <w:pPr>
        <w:spacing w:after="0" w:line="240" w:lineRule="auto"/>
      </w:pPr>
    </w:p>
    <w:sectPr>
      <w:headerReference w:type="default" r:id="rId72"/>
      <w:footerReference w:type="default" r:id="rId73"/>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val="0"/>
      <w:tabs>
        <w:tab w:pos="8902" w:val="right" w:leader="dot"/>
      </w:tabs>
      <w:spacing w:after="60" w:line="320" w:lineRule="exact"/>
      <w:ind w:firstLine="0" w:left="0" w:right="510"/>
    </w:pPr>
    <w:rPr>
      <w:b/>
      <w:color w:val="000000"/>
      <w:sz w:val="22"/>
    </w:rPr>
  </w:style>
  <w:style w:type="paragraph" w:customStyle="1" w:styleId="TOC2">
    <w:name w:val="TOC 2"/>
    <w:basedOn w:val="Normal"/>
    <w:pPr>
      <w:keepNext w:val="0"/>
      <w:tabs>
        <w:tab w:pos="8902" w:val="right" w:leader="dot"/>
      </w:tabs>
      <w:spacing w:after="20" w:line="320" w:lineRule="exact"/>
      <w:ind w:firstLine="0" w:left="283" w:right="510"/>
    </w:pPr>
    <w:rPr>
      <w:b w:val="0"/>
      <w:color w:val="000000"/>
      <w:sz w:val="22"/>
    </w:rPr>
  </w:style>
  <w:style w:type="paragraph" w:customStyle="1" w:styleId="TOC3">
    <w:name w:val="TOC 3"/>
    <w:basedOn w:val="Normal"/>
    <w:pPr>
      <w:keepNext w:val="0"/>
      <w:tabs>
        <w:tab w:pos="8902" w:val="right" w:leader="dot"/>
      </w:tabs>
      <w:spacing w:after="20" w:line="320" w:lineRule="exact"/>
      <w:ind w:firstLine="0" w:left="567" w:right="510"/>
    </w:pPr>
    <w:rPr>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1007-v2 修订稿　含非实测占位　勿送审</dc:subject>
  <dc:creator>Chen Tang</dc:creator>
  <cp:keywords>关系感知学习 依赖闭合修正 非实测占位 勿送审</cp:keywords>
  <dc:description>generated by python-docx</dc:description>
  <cp:lastModifiedBy/>
  <cp:revision>1</cp:revision>
  <dcterms:created xsi:type="dcterms:W3CDTF">2013-12-23T23:15:00Z</dcterms:created>
  <dcterms:modified xsi:type="dcterms:W3CDTF">2013-12-23T23:15:00Z</dcterms:modified>
  <cp:category/>
</cp:coreProperties>
</file>