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1008-v3 修订稿　含非实测占位　勿送审</w:t>
      </w:r>
    </w:p>
    <w:p>
      <w:pPr>
        <w:spacing w:before="300"/>
        <w:ind w:firstLine="0"/>
        <w:jc w:val="center"/>
      </w:pPr>
      <w:r>
        <w:rPr>
          <w:rFonts w:ascii="Times New Roman" w:hAnsi="Times New Roman" w:eastAsia="Songti SC"/>
          <w:color w:val="000000"/>
        </w:rPr>
        <w:t>2026年10月</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3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文以AAEC与CDCP为验证对象，保留CDCP原生多前提关系，通过独立方法对照、训练与推理组合、误改风险及计算成本分析区分两项研究的作用。前期成果用于说明研究基础，新增方法的验证框架已明确。当前版本所列P后缀数值均为人工占位，尚不构成新增方法的实测结论；方法性质也不保证真实抽取F1提高。</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3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evaluation framework uses AAEC and CDCP, retaining CDCP multi-premise relations as native hyperedges. Independent comparisons, a training-by-inference factorial design, harmful-edit analysis, and cost measurements separate the two methods and their combined effects. Prior results establish the research basis. Values marked with a P suffix in this revision are manually specified placeholders, not measurements; empirical conclusions for the new methods remain pending.</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3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3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3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3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3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3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3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3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3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3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3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3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3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3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3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3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3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3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3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3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3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10</w:t>
        </w:r>
      </w:hyperlink>
    </w:p>
    <w:p>
      <w:pPr>
        <w:pStyle w:val="TOC2"/>
      </w:pPr>
      <w:hyperlink w:anchor="v3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3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3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3_34" w:history="1">
        <w:r>
          <w:rPr>
            <w:rFonts w:ascii="Times New Roman" w:hAnsi="Times New Roman" w:eastAsia="Songti SC"/>
            <w:color w:val="000000"/>
            <w:sz w:val="22"/>
          </w:rPr>
          <w:t>2.6 公共实验协议</w:t>
        </w:r>
        <w:r>
          <w:rPr>
            <w:rFonts w:ascii="Times New Roman" w:hAnsi="Times New Roman" w:eastAsia="Songti SC"/>
            <w:color w:val="000000"/>
            <w:sz w:val="22"/>
          </w:rPr>
          <w:tab/>
          <w:t>12</w:t>
        </w:r>
      </w:hyperlink>
    </w:p>
    <w:p>
      <w:pPr>
        <w:pStyle w:val="TOC3"/>
      </w:pPr>
      <w:hyperlink w:anchor="v3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12</w:t>
        </w:r>
      </w:hyperlink>
    </w:p>
    <w:p>
      <w:pPr>
        <w:pStyle w:val="TOC3"/>
      </w:pPr>
      <w:hyperlink w:anchor="v3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3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14</w:t>
        </w:r>
      </w:hyperlink>
    </w:p>
    <w:p>
      <w:pPr>
        <w:pStyle w:val="TOC2"/>
      </w:pPr>
      <w:hyperlink w:anchor="v3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3_39" w:history="1">
        <w:r>
          <w:rPr>
            <w:rFonts w:ascii="Times New Roman" w:hAnsi="Times New Roman" w:eastAsia="Songti SC"/>
            <w:color w:val="000000"/>
            <w:sz w:val="22"/>
          </w:rPr>
          <w:t>2.8 本章小结</w:t>
        </w:r>
        <w:r>
          <w:rPr>
            <w:rFonts w:ascii="Times New Roman" w:hAnsi="Times New Roman" w:eastAsia="Songti SC"/>
            <w:color w:val="000000"/>
            <w:sz w:val="22"/>
          </w:rPr>
          <w:tab/>
          <w:t>15</w:t>
        </w:r>
      </w:hyperlink>
    </w:p>
    <w:p>
      <w:pPr>
        <w:pStyle w:val="TOC1"/>
        <w:keepNext/>
        <w:spacing w:before="120"/>
      </w:pPr>
      <w:hyperlink w:anchor="v3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16</w:t>
        </w:r>
      </w:hyperlink>
    </w:p>
    <w:p>
      <w:pPr>
        <w:pStyle w:val="TOC2"/>
      </w:pPr>
      <w:hyperlink w:anchor="v3_41" w:history="1">
        <w:r>
          <w:rPr>
            <w:rFonts w:ascii="Times New Roman" w:hAnsi="Times New Roman" w:eastAsia="Songti SC"/>
            <w:color w:val="000000"/>
            <w:sz w:val="22"/>
          </w:rPr>
          <w:t>3.1 引言</w:t>
        </w:r>
        <w:r>
          <w:rPr>
            <w:rFonts w:ascii="Times New Roman" w:hAnsi="Times New Roman" w:eastAsia="Songti SC"/>
            <w:color w:val="000000"/>
            <w:sz w:val="22"/>
          </w:rPr>
          <w:tab/>
          <w:t>16</w:t>
        </w:r>
      </w:hyperlink>
    </w:p>
    <w:p>
      <w:pPr>
        <w:pStyle w:val="TOC2"/>
      </w:pPr>
      <w:hyperlink w:anchor="v3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3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3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17</w:t>
        </w:r>
      </w:hyperlink>
    </w:p>
    <w:p>
      <w:pPr>
        <w:pStyle w:val="TOC2"/>
      </w:pPr>
      <w:hyperlink w:anchor="v3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3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3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20</w:t>
        </w:r>
      </w:hyperlink>
    </w:p>
    <w:p>
      <w:pPr>
        <w:pStyle w:val="TOC3"/>
      </w:pPr>
      <w:hyperlink w:anchor="v3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3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21</w:t>
        </w:r>
      </w:hyperlink>
    </w:p>
    <w:p>
      <w:pPr>
        <w:pStyle w:val="TOC3"/>
      </w:pPr>
      <w:hyperlink w:anchor="v3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22</w:t>
        </w:r>
      </w:hyperlink>
    </w:p>
    <w:p>
      <w:pPr>
        <w:pStyle w:val="TOC3"/>
      </w:pPr>
      <w:hyperlink w:anchor="v3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23</w:t>
        </w:r>
      </w:hyperlink>
    </w:p>
    <w:p>
      <w:pPr>
        <w:pStyle w:val="TOC3"/>
      </w:pPr>
      <w:hyperlink w:anchor="v3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24</w:t>
        </w:r>
      </w:hyperlink>
    </w:p>
    <w:p>
      <w:pPr>
        <w:pStyle w:val="TOC2"/>
      </w:pPr>
      <w:hyperlink w:anchor="v3_53" w:history="1">
        <w:r>
          <w:rPr>
            <w:rFonts w:ascii="Times New Roman" w:hAnsi="Times New Roman" w:eastAsia="Songti SC"/>
            <w:color w:val="000000"/>
            <w:sz w:val="22"/>
          </w:rPr>
          <w:t>3.5 算法及性质</w:t>
        </w:r>
        <w:r>
          <w:rPr>
            <w:rFonts w:ascii="Times New Roman" w:hAnsi="Times New Roman" w:eastAsia="Songti SC"/>
            <w:color w:val="000000"/>
            <w:sz w:val="22"/>
          </w:rPr>
          <w:tab/>
          <w:t>24</w:t>
        </w:r>
      </w:hyperlink>
    </w:p>
    <w:p>
      <w:pPr>
        <w:pStyle w:val="TOC3"/>
      </w:pPr>
      <w:hyperlink w:anchor="v3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24</w:t>
        </w:r>
      </w:hyperlink>
    </w:p>
    <w:p>
      <w:pPr>
        <w:pStyle w:val="TOC3"/>
      </w:pPr>
      <w:hyperlink w:anchor="v3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26</w:t>
        </w:r>
      </w:hyperlink>
    </w:p>
    <w:p>
      <w:pPr>
        <w:pStyle w:val="TOC2"/>
      </w:pPr>
      <w:hyperlink w:anchor="v3_56" w:history="1">
        <w:r>
          <w:rPr>
            <w:rFonts w:ascii="Times New Roman" w:hAnsi="Times New Roman" w:eastAsia="Songti SC"/>
            <w:color w:val="000000"/>
            <w:sz w:val="22"/>
          </w:rPr>
          <w:t>3.6 实验与分析</w:t>
        </w:r>
        <w:r>
          <w:rPr>
            <w:rFonts w:ascii="Times New Roman" w:hAnsi="Times New Roman" w:eastAsia="Songti SC"/>
            <w:color w:val="000000"/>
            <w:sz w:val="22"/>
          </w:rPr>
          <w:tab/>
          <w:t>26</w:t>
        </w:r>
      </w:hyperlink>
    </w:p>
    <w:p>
      <w:pPr>
        <w:pStyle w:val="TOC3"/>
      </w:pPr>
      <w:hyperlink w:anchor="v3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26</w:t>
        </w:r>
      </w:hyperlink>
    </w:p>
    <w:p>
      <w:pPr>
        <w:pStyle w:val="TOC3"/>
      </w:pPr>
      <w:hyperlink w:anchor="v3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28</w:t>
        </w:r>
      </w:hyperlink>
    </w:p>
    <w:p>
      <w:pPr>
        <w:pStyle w:val="TOC3"/>
      </w:pPr>
      <w:hyperlink w:anchor="v3_59" w:history="1">
        <w:r>
          <w:rPr>
            <w:rFonts w:ascii="Times New Roman" w:hAnsi="Times New Roman" w:eastAsia="Songti SC"/>
            <w:color w:val="000000"/>
            <w:sz w:val="22"/>
          </w:rPr>
          <w:t>3.6.3 主结果及学习消融</w:t>
        </w:r>
        <w:r>
          <w:rPr>
            <w:rFonts w:ascii="Times New Roman" w:hAnsi="Times New Roman" w:eastAsia="Songti SC"/>
            <w:color w:val="000000"/>
            <w:sz w:val="22"/>
          </w:rPr>
          <w:tab/>
          <w:t>28</w:t>
        </w:r>
      </w:hyperlink>
    </w:p>
    <w:p>
      <w:pPr>
        <w:pStyle w:val="TOC3"/>
      </w:pPr>
      <w:hyperlink w:anchor="v3_60" w:history="1">
        <w:r>
          <w:rPr>
            <w:rFonts w:ascii="Times New Roman" w:hAnsi="Times New Roman" w:eastAsia="Songti SC"/>
            <w:color w:val="000000"/>
            <w:sz w:val="22"/>
          </w:rPr>
          <w:t>3.6.4 中心选择与线索依赖</w:t>
        </w:r>
        <w:r>
          <w:rPr>
            <w:rFonts w:ascii="Times New Roman" w:hAnsi="Times New Roman" w:eastAsia="Songti SC"/>
            <w:color w:val="000000"/>
            <w:sz w:val="22"/>
          </w:rPr>
          <w:tab/>
          <w:t>30</w:t>
        </w:r>
      </w:hyperlink>
    </w:p>
    <w:p>
      <w:pPr>
        <w:pStyle w:val="TOC3"/>
      </w:pPr>
      <w:hyperlink w:anchor="v3_61" w:history="1">
        <w:r>
          <w:rPr>
            <w:rFonts w:ascii="Times New Roman" w:hAnsi="Times New Roman" w:eastAsia="Songti SC"/>
            <w:color w:val="000000"/>
            <w:sz w:val="22"/>
          </w:rPr>
          <w:t>3.6.5 构造成本与案例分析</w:t>
        </w:r>
        <w:r>
          <w:rPr>
            <w:rFonts w:ascii="Times New Roman" w:hAnsi="Times New Roman" w:eastAsia="Songti SC"/>
            <w:color w:val="000000"/>
            <w:sz w:val="22"/>
          </w:rPr>
          <w:tab/>
          <w:t>30</w:t>
        </w:r>
      </w:hyperlink>
    </w:p>
    <w:p>
      <w:pPr>
        <w:pStyle w:val="TOC2"/>
      </w:pPr>
      <w:hyperlink w:anchor="v3_62" w:history="1">
        <w:r>
          <w:rPr>
            <w:rFonts w:ascii="Times New Roman" w:hAnsi="Times New Roman" w:eastAsia="Songti SC"/>
            <w:color w:val="000000"/>
            <w:sz w:val="22"/>
          </w:rPr>
          <w:t>3.7 本章小结</w:t>
        </w:r>
        <w:r>
          <w:rPr>
            <w:rFonts w:ascii="Times New Roman" w:hAnsi="Times New Roman" w:eastAsia="Songti SC"/>
            <w:color w:val="000000"/>
            <w:sz w:val="22"/>
          </w:rPr>
          <w:tab/>
          <w:t>31</w:t>
        </w:r>
      </w:hyperlink>
    </w:p>
    <w:p>
      <w:pPr>
        <w:pStyle w:val="TOC1"/>
        <w:keepNext/>
        <w:spacing w:before="120"/>
      </w:pPr>
      <w:hyperlink w:anchor="v3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32</w:t>
        </w:r>
      </w:hyperlink>
    </w:p>
    <w:p>
      <w:pPr>
        <w:pStyle w:val="TOC2"/>
      </w:pPr>
      <w:hyperlink w:anchor="v3_64" w:history="1">
        <w:r>
          <w:rPr>
            <w:rFonts w:ascii="Times New Roman" w:hAnsi="Times New Roman" w:eastAsia="Songti SC"/>
            <w:color w:val="000000"/>
            <w:sz w:val="22"/>
          </w:rPr>
          <w:t>4.1 引言</w:t>
        </w:r>
        <w:r>
          <w:rPr>
            <w:rFonts w:ascii="Times New Roman" w:hAnsi="Times New Roman" w:eastAsia="Songti SC"/>
            <w:color w:val="000000"/>
            <w:sz w:val="22"/>
          </w:rPr>
          <w:tab/>
          <w:t>32</w:t>
        </w:r>
      </w:hyperlink>
    </w:p>
    <w:p>
      <w:pPr>
        <w:pStyle w:val="TOC2"/>
      </w:pPr>
      <w:hyperlink w:anchor="v3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34</w:t>
        </w:r>
      </w:hyperlink>
    </w:p>
    <w:p>
      <w:pPr>
        <w:pStyle w:val="TOC3"/>
      </w:pPr>
      <w:hyperlink w:anchor="v3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34</w:t>
        </w:r>
      </w:hyperlink>
    </w:p>
    <w:p>
      <w:pPr>
        <w:pStyle w:val="TOC3"/>
      </w:pPr>
      <w:hyperlink w:anchor="v3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34</w:t>
        </w:r>
      </w:hyperlink>
    </w:p>
    <w:p>
      <w:pPr>
        <w:pStyle w:val="TOC3"/>
      </w:pPr>
      <w:hyperlink w:anchor="v3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35</w:t>
        </w:r>
      </w:hyperlink>
    </w:p>
    <w:p>
      <w:pPr>
        <w:pStyle w:val="TOC3"/>
      </w:pPr>
      <w:hyperlink w:anchor="v3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35</w:t>
        </w:r>
      </w:hyperlink>
    </w:p>
    <w:p>
      <w:pPr>
        <w:pStyle w:val="TOC2"/>
      </w:pPr>
      <w:hyperlink w:anchor="v3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36</w:t>
        </w:r>
      </w:hyperlink>
    </w:p>
    <w:p>
      <w:pPr>
        <w:pStyle w:val="TOC3"/>
      </w:pPr>
      <w:hyperlink w:anchor="v3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36</w:t>
        </w:r>
      </w:hyperlink>
    </w:p>
    <w:p>
      <w:pPr>
        <w:pStyle w:val="TOC3"/>
      </w:pPr>
      <w:hyperlink w:anchor="v3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36</w:t>
        </w:r>
      </w:hyperlink>
    </w:p>
    <w:p>
      <w:pPr>
        <w:pStyle w:val="TOC2"/>
      </w:pPr>
      <w:hyperlink w:anchor="v3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37</w:t>
        </w:r>
      </w:hyperlink>
    </w:p>
    <w:p>
      <w:pPr>
        <w:pStyle w:val="TOC3"/>
      </w:pPr>
      <w:hyperlink w:anchor="v3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37</w:t>
        </w:r>
      </w:hyperlink>
    </w:p>
    <w:p>
      <w:pPr>
        <w:pStyle w:val="TOC3"/>
      </w:pPr>
      <w:hyperlink w:anchor="v3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38</w:t>
        </w:r>
      </w:hyperlink>
    </w:p>
    <w:p>
      <w:pPr>
        <w:pStyle w:val="TOC3"/>
      </w:pPr>
      <w:hyperlink w:anchor="v3_76" w:history="1">
        <w:r>
          <w:rPr>
            <w:rFonts w:ascii="Times New Roman" w:hAnsi="Times New Roman" w:eastAsia="Songti SC"/>
            <w:color w:val="000000"/>
            <w:sz w:val="22"/>
          </w:rPr>
          <w:t>4.4.3 固定计数效用</w:t>
        </w:r>
        <w:r>
          <w:rPr>
            <w:rFonts w:ascii="Times New Roman" w:hAnsi="Times New Roman" w:eastAsia="Songti SC"/>
            <w:color w:val="000000"/>
            <w:sz w:val="22"/>
          </w:rPr>
          <w:tab/>
          <w:t>38</w:t>
        </w:r>
      </w:hyperlink>
    </w:p>
    <w:p>
      <w:pPr>
        <w:pStyle w:val="TOC3"/>
      </w:pPr>
      <w:hyperlink w:anchor="v3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39</w:t>
        </w:r>
      </w:hyperlink>
    </w:p>
    <w:p>
      <w:pPr>
        <w:pStyle w:val="TOC3"/>
      </w:pPr>
      <w:hyperlink w:anchor="v3_78"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39</w:t>
        </w:r>
      </w:hyperlink>
    </w:p>
    <w:p>
      <w:pPr>
        <w:pStyle w:val="TOC2"/>
      </w:pPr>
      <w:hyperlink w:anchor="v3_79" w:history="1">
        <w:r>
          <w:rPr>
            <w:rFonts w:ascii="Times New Roman" w:hAnsi="Times New Roman" w:eastAsia="Songti SC"/>
            <w:color w:val="000000"/>
            <w:sz w:val="22"/>
          </w:rPr>
          <w:t>4.5 求解算法及性质</w:t>
        </w:r>
        <w:r>
          <w:rPr>
            <w:rFonts w:ascii="Times New Roman" w:hAnsi="Times New Roman" w:eastAsia="Songti SC"/>
            <w:color w:val="000000"/>
            <w:sz w:val="22"/>
          </w:rPr>
          <w:tab/>
          <w:t>40</w:t>
        </w:r>
      </w:hyperlink>
    </w:p>
    <w:p>
      <w:pPr>
        <w:pStyle w:val="TOC3"/>
      </w:pPr>
      <w:hyperlink w:anchor="v3_80"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41</w:t>
        </w:r>
      </w:hyperlink>
    </w:p>
    <w:p>
      <w:pPr>
        <w:pStyle w:val="TOC3"/>
      </w:pPr>
      <w:hyperlink w:anchor="v3_81"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41</w:t>
        </w:r>
      </w:hyperlink>
    </w:p>
    <w:p>
      <w:pPr>
        <w:pStyle w:val="TOC3"/>
      </w:pPr>
      <w:hyperlink w:anchor="v3_82"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45</w:t>
        </w:r>
      </w:hyperlink>
    </w:p>
    <w:p>
      <w:pPr>
        <w:pStyle w:val="TOC3"/>
      </w:pPr>
      <w:hyperlink w:anchor="v3_83"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45</w:t>
        </w:r>
      </w:hyperlink>
    </w:p>
    <w:p>
      <w:pPr>
        <w:pStyle w:val="TOC3"/>
      </w:pPr>
      <w:hyperlink w:anchor="v3_84"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45</w:t>
        </w:r>
      </w:hyperlink>
    </w:p>
    <w:p>
      <w:pPr>
        <w:pStyle w:val="TOC2"/>
      </w:pPr>
      <w:hyperlink w:anchor="v3_85" w:history="1">
        <w:r>
          <w:rPr>
            <w:rFonts w:ascii="Times New Roman" w:hAnsi="Times New Roman" w:eastAsia="Songti SC"/>
            <w:color w:val="000000"/>
            <w:sz w:val="22"/>
          </w:rPr>
          <w:t>4.6 实验与分析</w:t>
        </w:r>
        <w:r>
          <w:rPr>
            <w:rFonts w:ascii="Times New Roman" w:hAnsi="Times New Roman" w:eastAsia="Songti SC"/>
            <w:color w:val="000000"/>
            <w:sz w:val="22"/>
          </w:rPr>
          <w:tab/>
          <w:t>46</w:t>
        </w:r>
      </w:hyperlink>
    </w:p>
    <w:p>
      <w:pPr>
        <w:pStyle w:val="TOC3"/>
      </w:pPr>
      <w:hyperlink w:anchor="v3_86"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46</w:t>
        </w:r>
      </w:hyperlink>
    </w:p>
    <w:p>
      <w:pPr>
        <w:pStyle w:val="TOC3"/>
      </w:pPr>
      <w:hyperlink w:anchor="v3_87" w:history="1">
        <w:r>
          <w:rPr>
            <w:rFonts w:ascii="Times New Roman" w:hAnsi="Times New Roman" w:eastAsia="Songti SC"/>
            <w:color w:val="000000"/>
            <w:sz w:val="22"/>
          </w:rPr>
          <w:t>4.6.2 组件与关系联合修正的独立作用</w:t>
        </w:r>
        <w:r>
          <w:rPr>
            <w:rFonts w:ascii="Times New Roman" w:hAnsi="Times New Roman" w:eastAsia="Songti SC"/>
            <w:color w:val="000000"/>
            <w:sz w:val="22"/>
          </w:rPr>
          <w:tab/>
          <w:t>49</w:t>
        </w:r>
      </w:hyperlink>
    </w:p>
    <w:p>
      <w:pPr>
        <w:pStyle w:val="TOC3"/>
      </w:pPr>
      <w:hyperlink w:anchor="v3_88" w:history="1">
        <w:r>
          <w:rPr>
            <w:rFonts w:ascii="Times New Roman" w:hAnsi="Times New Roman" w:eastAsia="Songti SC"/>
            <w:color w:val="000000"/>
            <w:sz w:val="22"/>
          </w:rPr>
          <w:t>4.6.3 候选覆盖与预算内可达性</w:t>
        </w:r>
        <w:r>
          <w:rPr>
            <w:rFonts w:ascii="Times New Roman" w:hAnsi="Times New Roman" w:eastAsia="Songti SC"/>
            <w:color w:val="000000"/>
            <w:sz w:val="22"/>
          </w:rPr>
          <w:tab/>
          <w:t>50</w:t>
        </w:r>
      </w:hyperlink>
    </w:p>
    <w:p>
      <w:pPr>
        <w:pStyle w:val="TOC3"/>
      </w:pPr>
      <w:hyperlink w:anchor="v3_89" w:history="1">
        <w:r>
          <w:rPr>
            <w:rFonts w:ascii="Times New Roman" w:hAnsi="Times New Roman" w:eastAsia="Songti SC"/>
            <w:color w:val="000000"/>
            <w:sz w:val="22"/>
          </w:rPr>
          <w:t>4.6.4 完整对象评分的可靠性</w:t>
        </w:r>
        <w:r>
          <w:rPr>
            <w:rFonts w:ascii="Times New Roman" w:hAnsi="Times New Roman" w:eastAsia="Songti SC"/>
            <w:color w:val="000000"/>
            <w:sz w:val="22"/>
          </w:rPr>
          <w:tab/>
          <w:t>51</w:t>
        </w:r>
      </w:hyperlink>
    </w:p>
    <w:p>
      <w:pPr>
        <w:pStyle w:val="TOC3"/>
      </w:pPr>
      <w:hyperlink w:anchor="v3_90" w:history="1">
        <w:r>
          <w:rPr>
            <w:rFonts w:ascii="Times New Roman" w:hAnsi="Times New Roman" w:eastAsia="Songti SC"/>
            <w:color w:val="000000"/>
            <w:sz w:val="22"/>
          </w:rPr>
          <w:t>4.6.5 误改风险与计算预算</w:t>
        </w:r>
        <w:r>
          <w:rPr>
            <w:rFonts w:ascii="Times New Roman" w:hAnsi="Times New Roman" w:eastAsia="Songti SC"/>
            <w:color w:val="000000"/>
            <w:sz w:val="22"/>
          </w:rPr>
          <w:tab/>
          <w:t>52</w:t>
        </w:r>
      </w:hyperlink>
    </w:p>
    <w:p>
      <w:pPr>
        <w:pStyle w:val="TOC3"/>
      </w:pPr>
      <w:hyperlink w:anchor="v3_91" w:history="1">
        <w:r>
          <w:rPr>
            <w:rFonts w:ascii="Times New Roman" w:hAnsi="Times New Roman" w:eastAsia="Songti SC"/>
            <w:color w:val="000000"/>
            <w:sz w:val="22"/>
          </w:rPr>
          <w:t>4.6.6 真实案例的对照与失败分析</w:t>
        </w:r>
        <w:r>
          <w:rPr>
            <w:rFonts w:ascii="Times New Roman" w:hAnsi="Times New Roman" w:eastAsia="Songti SC"/>
            <w:color w:val="000000"/>
            <w:sz w:val="22"/>
          </w:rPr>
          <w:tab/>
          <w:t>53</w:t>
        </w:r>
      </w:hyperlink>
    </w:p>
    <w:p>
      <w:pPr>
        <w:pStyle w:val="TOC2"/>
      </w:pPr>
      <w:hyperlink w:anchor="v3_92" w:history="1">
        <w:r>
          <w:rPr>
            <w:rFonts w:ascii="Times New Roman" w:hAnsi="Times New Roman" w:eastAsia="Songti SC"/>
            <w:color w:val="000000"/>
            <w:sz w:val="22"/>
          </w:rPr>
          <w:t>4.7 本章小结</w:t>
        </w:r>
        <w:r>
          <w:rPr>
            <w:rFonts w:ascii="Times New Roman" w:hAnsi="Times New Roman" w:eastAsia="Songti SC"/>
            <w:color w:val="000000"/>
            <w:sz w:val="22"/>
          </w:rPr>
          <w:tab/>
          <w:t>54</w:t>
        </w:r>
      </w:hyperlink>
    </w:p>
    <w:p>
      <w:pPr>
        <w:pStyle w:val="TOC1"/>
        <w:keepNext/>
        <w:spacing w:before="120"/>
      </w:pPr>
      <w:hyperlink w:anchor="v3_93"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55</w:t>
        </w:r>
      </w:hyperlink>
    </w:p>
    <w:p>
      <w:pPr>
        <w:pStyle w:val="TOC2"/>
      </w:pPr>
      <w:hyperlink w:anchor="v3_94" w:history="1">
        <w:r>
          <w:rPr>
            <w:rFonts w:ascii="Times New Roman" w:hAnsi="Times New Roman" w:eastAsia="Songti SC"/>
            <w:color w:val="000000"/>
            <w:sz w:val="22"/>
          </w:rPr>
          <w:t>5.1 两阶段组合设计</w:t>
        </w:r>
        <w:r>
          <w:rPr>
            <w:rFonts w:ascii="Times New Roman" w:hAnsi="Times New Roman" w:eastAsia="Songti SC"/>
            <w:color w:val="000000"/>
            <w:sz w:val="22"/>
          </w:rPr>
          <w:tab/>
          <w:t>55</w:t>
        </w:r>
      </w:hyperlink>
    </w:p>
    <w:p>
      <w:pPr>
        <w:pStyle w:val="TOC2"/>
      </w:pPr>
      <w:hyperlink w:anchor="v3_95" w:history="1">
        <w:r>
          <w:rPr>
            <w:rFonts w:ascii="Times New Roman" w:hAnsi="Times New Roman" w:eastAsia="Songti SC"/>
            <w:color w:val="000000"/>
            <w:sz w:val="22"/>
          </w:rPr>
          <w:t>5.2 组合表现与误差分析</w:t>
        </w:r>
        <w:r>
          <w:rPr>
            <w:rFonts w:ascii="Times New Roman" w:hAnsi="Times New Roman" w:eastAsia="Songti SC"/>
            <w:color w:val="000000"/>
            <w:sz w:val="22"/>
          </w:rPr>
          <w:tab/>
          <w:t>55</w:t>
        </w:r>
      </w:hyperlink>
    </w:p>
    <w:p>
      <w:pPr>
        <w:pStyle w:val="TOC3"/>
      </w:pPr>
      <w:hyperlink w:anchor="v3_96" w:history="1">
        <w:r>
          <w:rPr>
            <w:rFonts w:ascii="Times New Roman" w:hAnsi="Times New Roman" w:eastAsia="Songti SC"/>
            <w:color w:val="000000"/>
            <w:sz w:val="22"/>
          </w:rPr>
          <w:t>5.2.1 四格结果与解释范围</w:t>
        </w:r>
        <w:r>
          <w:rPr>
            <w:rFonts w:ascii="Times New Roman" w:hAnsi="Times New Roman" w:eastAsia="Songti SC"/>
            <w:color w:val="000000"/>
            <w:sz w:val="22"/>
          </w:rPr>
          <w:tab/>
          <w:t>55</w:t>
        </w:r>
      </w:hyperlink>
    </w:p>
    <w:p>
      <w:pPr>
        <w:pStyle w:val="TOC3"/>
      </w:pPr>
      <w:hyperlink w:anchor="v3_97" w:history="1">
        <w:r>
          <w:rPr>
            <w:rFonts w:ascii="Times New Roman" w:hAnsi="Times New Roman" w:eastAsia="Songti SC"/>
            <w:color w:val="000000"/>
            <w:sz w:val="22"/>
          </w:rPr>
          <w:t>5.2.2 组合后的错误结构</w:t>
        </w:r>
        <w:r>
          <w:rPr>
            <w:rFonts w:ascii="Times New Roman" w:hAnsi="Times New Roman" w:eastAsia="Songti SC"/>
            <w:color w:val="000000"/>
            <w:sz w:val="22"/>
          </w:rPr>
          <w:tab/>
          <w:t>56</w:t>
        </w:r>
      </w:hyperlink>
    </w:p>
    <w:p>
      <w:pPr>
        <w:pStyle w:val="TOC2"/>
      </w:pPr>
      <w:hyperlink w:anchor="v3_98" w:history="1">
        <w:r>
          <w:rPr>
            <w:rFonts w:ascii="Times New Roman" w:hAnsi="Times New Roman" w:eastAsia="Songti SC"/>
            <w:color w:val="000000"/>
            <w:sz w:val="22"/>
          </w:rPr>
          <w:t>5.3 整体成本与方法互补性</w:t>
        </w:r>
        <w:r>
          <w:rPr>
            <w:rFonts w:ascii="Times New Roman" w:hAnsi="Times New Roman" w:eastAsia="Songti SC"/>
            <w:color w:val="000000"/>
            <w:sz w:val="22"/>
          </w:rPr>
          <w:tab/>
          <w:t>57</w:t>
        </w:r>
      </w:hyperlink>
    </w:p>
    <w:p>
      <w:pPr>
        <w:pStyle w:val="TOC2"/>
      </w:pPr>
      <w:hyperlink w:anchor="v3_99" w:history="1">
        <w:r>
          <w:rPr>
            <w:rFonts w:ascii="Times New Roman" w:hAnsi="Times New Roman" w:eastAsia="Songti SC"/>
            <w:color w:val="000000"/>
            <w:sz w:val="22"/>
          </w:rPr>
          <w:t>5.4 跨语料适用性</w:t>
        </w:r>
        <w:r>
          <w:rPr>
            <w:rFonts w:ascii="Times New Roman" w:hAnsi="Times New Roman" w:eastAsia="Songti SC"/>
            <w:color w:val="000000"/>
            <w:sz w:val="22"/>
          </w:rPr>
          <w:tab/>
          <w:t>57</w:t>
        </w:r>
      </w:hyperlink>
    </w:p>
    <w:p>
      <w:pPr>
        <w:pStyle w:val="TOC3"/>
      </w:pPr>
      <w:hyperlink w:anchor="v3_100" w:history="1">
        <w:r>
          <w:rPr>
            <w:rFonts w:ascii="Times New Roman" w:hAnsi="Times New Roman" w:eastAsia="Songti SC"/>
            <w:color w:val="000000"/>
            <w:sz w:val="22"/>
          </w:rPr>
          <w:t>5.4.1 标签映射与迁移设定</w:t>
        </w:r>
        <w:r>
          <w:rPr>
            <w:rFonts w:ascii="Times New Roman" w:hAnsi="Times New Roman" w:eastAsia="Songti SC"/>
            <w:color w:val="000000"/>
            <w:sz w:val="22"/>
          </w:rPr>
          <w:tab/>
          <w:t>57</w:t>
        </w:r>
      </w:hyperlink>
    </w:p>
    <w:p>
      <w:pPr>
        <w:pStyle w:val="TOC3"/>
      </w:pPr>
      <w:hyperlink w:anchor="v3_101" w:history="1">
        <w:r>
          <w:rPr>
            <w:rFonts w:ascii="Times New Roman" w:hAnsi="Times New Roman" w:eastAsia="Songti SC"/>
            <w:color w:val="000000"/>
            <w:sz w:val="22"/>
          </w:rPr>
          <w:t>5.4.2 域外错误与适用边界</w:t>
        </w:r>
        <w:r>
          <w:rPr>
            <w:rFonts w:ascii="Times New Roman" w:hAnsi="Times New Roman" w:eastAsia="Songti SC"/>
            <w:color w:val="000000"/>
            <w:sz w:val="22"/>
          </w:rPr>
          <w:tab/>
          <w:t>58</w:t>
        </w:r>
      </w:hyperlink>
    </w:p>
    <w:p>
      <w:pPr>
        <w:pStyle w:val="TOC2"/>
      </w:pPr>
      <w:hyperlink w:anchor="v3_102" w:history="1">
        <w:r>
          <w:rPr>
            <w:rFonts w:ascii="Times New Roman" w:hAnsi="Times New Roman" w:eastAsia="Songti SC"/>
            <w:color w:val="000000"/>
            <w:sz w:val="22"/>
          </w:rPr>
          <w:t>5.5 本章小结</w:t>
        </w:r>
        <w:r>
          <w:rPr>
            <w:rFonts w:ascii="Times New Roman" w:hAnsi="Times New Roman" w:eastAsia="Songti SC"/>
            <w:color w:val="000000"/>
            <w:sz w:val="22"/>
          </w:rPr>
          <w:tab/>
          <w:t>58</w:t>
        </w:r>
      </w:hyperlink>
    </w:p>
    <w:p>
      <w:pPr>
        <w:pStyle w:val="TOC1"/>
        <w:keepNext/>
        <w:spacing w:before="120"/>
      </w:pPr>
      <w:hyperlink w:anchor="v3_103" w:history="1">
        <w:r>
          <w:rPr>
            <w:rFonts w:ascii="Times New Roman" w:hAnsi="Times New Roman" w:eastAsia="Songti SC"/>
            <w:color w:val="000000"/>
            <w:sz w:val="22"/>
          </w:rPr>
          <w:t>第六章 总结与展望</w:t>
        </w:r>
        <w:r>
          <w:rPr>
            <w:rFonts w:ascii="Times New Roman" w:hAnsi="Times New Roman" w:eastAsia="Songti SC"/>
            <w:color w:val="000000"/>
            <w:sz w:val="22"/>
          </w:rPr>
          <w:tab/>
          <w:t>59</w:t>
        </w:r>
      </w:hyperlink>
    </w:p>
    <w:p>
      <w:pPr>
        <w:pStyle w:val="TOC2"/>
      </w:pPr>
      <w:hyperlink w:anchor="v3_104" w:history="1">
        <w:r>
          <w:rPr>
            <w:rFonts w:ascii="Times New Roman" w:hAnsi="Times New Roman" w:eastAsia="Songti SC"/>
            <w:color w:val="000000"/>
            <w:sz w:val="22"/>
          </w:rPr>
          <w:t>6.1 研究总结</w:t>
        </w:r>
        <w:r>
          <w:rPr>
            <w:rFonts w:ascii="Times New Roman" w:hAnsi="Times New Roman" w:eastAsia="Songti SC"/>
            <w:color w:val="000000"/>
            <w:sz w:val="22"/>
          </w:rPr>
          <w:tab/>
          <w:t>59</w:t>
        </w:r>
      </w:hyperlink>
    </w:p>
    <w:p>
      <w:pPr>
        <w:pStyle w:val="TOC2"/>
      </w:pPr>
      <w:hyperlink w:anchor="v3_105" w:history="1">
        <w:r>
          <w:rPr>
            <w:rFonts w:ascii="Times New Roman" w:hAnsi="Times New Roman" w:eastAsia="Songti SC"/>
            <w:color w:val="000000"/>
            <w:sz w:val="22"/>
          </w:rPr>
          <w:t>6.2 研究局限</w:t>
        </w:r>
        <w:r>
          <w:rPr>
            <w:rFonts w:ascii="Times New Roman" w:hAnsi="Times New Roman" w:eastAsia="Songti SC"/>
            <w:color w:val="000000"/>
            <w:sz w:val="22"/>
          </w:rPr>
          <w:tab/>
          <w:t>59</w:t>
        </w:r>
      </w:hyperlink>
    </w:p>
    <w:p>
      <w:pPr>
        <w:pStyle w:val="TOC2"/>
      </w:pPr>
      <w:hyperlink w:anchor="v3_106" w:history="1">
        <w:r>
          <w:rPr>
            <w:rFonts w:ascii="Times New Roman" w:hAnsi="Times New Roman" w:eastAsia="Songti SC"/>
            <w:color w:val="000000"/>
            <w:sz w:val="22"/>
          </w:rPr>
          <w:t>6.3 后续研究方向</w:t>
        </w:r>
        <w:r>
          <w:rPr>
            <w:rFonts w:ascii="Times New Roman" w:hAnsi="Times New Roman" w:eastAsia="Songti SC"/>
            <w:color w:val="000000"/>
            <w:sz w:val="22"/>
          </w:rPr>
          <w:tab/>
          <w:t>60</w:t>
        </w:r>
      </w:hyperlink>
    </w:p>
    <w:p>
      <w:pPr>
        <w:pStyle w:val="TOC1"/>
        <w:keepNext/>
        <w:spacing w:before="120"/>
      </w:pPr>
      <w:hyperlink w:anchor="v3_107" w:history="1">
        <w:r>
          <w:rPr>
            <w:rFonts w:ascii="Times New Roman" w:hAnsi="Times New Roman" w:eastAsia="Songti SC"/>
            <w:color w:val="000000"/>
            <w:sz w:val="22"/>
          </w:rPr>
          <w:t>参考文献</w:t>
        </w:r>
        <w:r>
          <w:rPr>
            <w:rFonts w:ascii="Times New Roman" w:hAnsi="Times New Roman" w:eastAsia="Songti SC"/>
            <w:color w:val="000000"/>
            <w:sz w:val="22"/>
          </w:rPr>
          <w:tab/>
          <w:t>61</w:t>
        </w:r>
      </w:hyperlink>
    </w:p>
    <w:p>
      <w:pPr>
        <w:pStyle w:val="TOC1"/>
        <w:keepNext/>
        <w:spacing w:before="120"/>
      </w:pPr>
      <w:hyperlink w:anchor="v3_108"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65</w:t>
        </w:r>
      </w:hyperlink>
    </w:p>
    <w:p>
      <w:pPr>
        <w:pStyle w:val="TOC2"/>
      </w:pPr>
      <w:hyperlink w:anchor="v3_109" w:history="1">
        <w:r>
          <w:rPr>
            <w:rFonts w:ascii="Times New Roman" w:hAnsi="Times New Roman" w:eastAsia="Songti SC"/>
            <w:color w:val="000000"/>
            <w:sz w:val="22"/>
          </w:rPr>
          <w:t>A.1 坐标与结构数据</w:t>
        </w:r>
        <w:r>
          <w:rPr>
            <w:rFonts w:ascii="Times New Roman" w:hAnsi="Times New Roman" w:eastAsia="Songti SC"/>
            <w:color w:val="000000"/>
            <w:sz w:val="22"/>
          </w:rPr>
          <w:tab/>
          <w:t>65</w:t>
        </w:r>
      </w:hyperlink>
    </w:p>
    <w:p>
      <w:pPr>
        <w:pStyle w:val="TOC2"/>
      </w:pPr>
      <w:hyperlink w:anchor="v3_110" w:history="1">
        <w:r>
          <w:rPr>
            <w:rFonts w:ascii="Times New Roman" w:hAnsi="Times New Roman" w:eastAsia="Songti SC"/>
            <w:color w:val="000000"/>
            <w:sz w:val="22"/>
          </w:rPr>
          <w:t>A.2 配置与结果的关联</w:t>
        </w:r>
        <w:r>
          <w:rPr>
            <w:rFonts w:ascii="Times New Roman" w:hAnsi="Times New Roman" w:eastAsia="Songti SC"/>
            <w:color w:val="000000"/>
            <w:sz w:val="22"/>
          </w:rPr>
          <w:tab/>
          <w:t>65</w:t>
        </w:r>
      </w:hyperlink>
    </w:p>
    <w:p>
      <w:pPr>
        <w:pStyle w:val="TOC2"/>
      </w:pPr>
      <w:hyperlink w:anchor="v3_111"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66</w:t>
        </w:r>
      </w:hyperlink>
    </w:p>
    <w:p>
      <w:pPr>
        <w:pStyle w:val="TOC1"/>
        <w:keepNext/>
        <w:spacing w:before="120"/>
      </w:pPr>
      <w:hyperlink w:anchor="v3_112"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67</w:t>
        </w:r>
      </w:hyperlink>
    </w:p>
    <w:p>
      <w:pPr>
        <w:pStyle w:val="TOC2"/>
      </w:pPr>
      <w:hyperlink w:anchor="v3_113" w:history="1">
        <w:r>
          <w:rPr>
            <w:rFonts w:ascii="Times New Roman" w:hAnsi="Times New Roman" w:eastAsia="Songti SC"/>
            <w:color w:val="000000"/>
            <w:sz w:val="22"/>
          </w:rPr>
          <w:t>B.1 数据与模型身份</w:t>
        </w:r>
        <w:r>
          <w:rPr>
            <w:rFonts w:ascii="Times New Roman" w:hAnsi="Times New Roman" w:eastAsia="Songti SC"/>
            <w:color w:val="000000"/>
            <w:sz w:val="22"/>
          </w:rPr>
          <w:tab/>
          <w:t>67</w:t>
        </w:r>
      </w:hyperlink>
    </w:p>
    <w:p>
      <w:pPr>
        <w:pStyle w:val="TOC2"/>
      </w:pPr>
      <w:hyperlink w:anchor="v3_114" w:history="1">
        <w:r>
          <w:rPr>
            <w:rFonts w:ascii="Times New Roman" w:hAnsi="Times New Roman" w:eastAsia="Songti SC"/>
            <w:color w:val="000000"/>
            <w:sz w:val="22"/>
          </w:rPr>
          <w:t>B.2 评分与接受轨迹</w:t>
        </w:r>
        <w:r>
          <w:rPr>
            <w:rFonts w:ascii="Times New Roman" w:hAnsi="Times New Roman" w:eastAsia="Songti SC"/>
            <w:color w:val="000000"/>
            <w:sz w:val="22"/>
          </w:rPr>
          <w:tab/>
          <w:t>67</w:t>
        </w:r>
      </w:hyperlink>
    </w:p>
    <w:p>
      <w:pPr>
        <w:pStyle w:val="TOC2"/>
      </w:pPr>
      <w:hyperlink w:anchor="v3_115" w:history="1">
        <w:r>
          <w:rPr>
            <w:rFonts w:ascii="Times New Roman" w:hAnsi="Times New Roman" w:eastAsia="Songti SC"/>
            <w:color w:val="000000"/>
            <w:sz w:val="22"/>
          </w:rPr>
          <w:t>B.3 回退与预算</w:t>
        </w:r>
        <w:r>
          <w:rPr>
            <w:rFonts w:ascii="Times New Roman" w:hAnsi="Times New Roman" w:eastAsia="Songti SC"/>
            <w:color w:val="000000"/>
            <w:sz w:val="22"/>
          </w:rPr>
          <w:tab/>
          <w:t>67</w:t>
        </w:r>
      </w:hyperlink>
    </w:p>
    <w:p>
      <w:pPr>
        <w:pStyle w:val="TOC2"/>
      </w:pPr>
      <w:hyperlink w:anchor="v3_116" w:history="1">
        <w:r>
          <w:rPr>
            <w:rFonts w:ascii="Times New Roman" w:hAnsi="Times New Roman" w:eastAsia="Songti SC"/>
            <w:color w:val="000000"/>
            <w:sz w:val="22"/>
          </w:rPr>
          <w:t>B.4 实现一致性测试</w:t>
        </w:r>
        <w:r>
          <w:rPr>
            <w:rFonts w:ascii="Times New Roman" w:hAnsi="Times New Roman" w:eastAsia="Songti SC"/>
            <w:color w:val="000000"/>
            <w:sz w:val="22"/>
          </w:rPr>
          <w:tab/>
          <w:t>67</w:t>
        </w:r>
      </w:hyperlink>
    </w:p>
    <w:p>
      <w:pPr>
        <w:pStyle w:val="TOC2"/>
      </w:pPr>
      <w:hyperlink w:anchor="v3_117" w:history="1">
        <w:r>
          <w:rPr>
            <w:rFonts w:ascii="Times New Roman" w:hAnsi="Times New Roman" w:eastAsia="Songti SC"/>
            <w:color w:val="000000"/>
            <w:sz w:val="22"/>
          </w:rPr>
          <w:t>B.5 真实案例的统一记录模板</w:t>
        </w:r>
        <w:r>
          <w:rPr>
            <w:rFonts w:ascii="Times New Roman" w:hAnsi="Times New Roman" w:eastAsia="Songti SC"/>
            <w:color w:val="000000"/>
            <w:sz w:val="22"/>
          </w:rPr>
          <w:tab/>
          <w:t>68</w:t>
        </w:r>
      </w:hyperlink>
    </w:p>
    <w:p>
      <w:pPr>
        <w:pStyle w:val="TOC1"/>
        <w:keepNext/>
        <w:spacing w:before="120"/>
      </w:pPr>
      <w:hyperlink w:anchor="v3_118"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69</w:t>
        </w:r>
      </w:hyperlink>
    </w:p>
    <w:p>
      <w:pPr>
        <w:pStyle w:val="TOC2"/>
      </w:pPr>
      <w:hyperlink w:anchor="v3_119" w:history="1">
        <w:r>
          <w:rPr>
            <w:rFonts w:ascii="Times New Roman" w:hAnsi="Times New Roman" w:eastAsia="Songti SC"/>
            <w:color w:val="000000"/>
            <w:sz w:val="22"/>
          </w:rPr>
          <w:t>C.1 前期共同成果</w:t>
        </w:r>
        <w:r>
          <w:rPr>
            <w:rFonts w:ascii="Times New Roman" w:hAnsi="Times New Roman" w:eastAsia="Songti SC"/>
            <w:color w:val="000000"/>
            <w:sz w:val="22"/>
          </w:rPr>
          <w:tab/>
          <w:t>69</w:t>
        </w:r>
      </w:hyperlink>
    </w:p>
    <w:p>
      <w:pPr>
        <w:pStyle w:val="TOC2"/>
      </w:pPr>
      <w:hyperlink w:anchor="v3_120" w:history="1">
        <w:r>
          <w:rPr>
            <w:rFonts w:ascii="Times New Roman" w:hAnsi="Times New Roman" w:eastAsia="Songti SC"/>
            <w:color w:val="000000"/>
            <w:sz w:val="22"/>
          </w:rPr>
          <w:t>C.2 数据与材料可得性</w:t>
        </w:r>
        <w:r>
          <w:rPr>
            <w:rFonts w:ascii="Times New Roman" w:hAnsi="Times New Roman" w:eastAsia="Songti SC"/>
            <w:color w:val="000000"/>
            <w:sz w:val="22"/>
          </w:rPr>
          <w:tab/>
          <w:t>69</w:t>
        </w:r>
      </w:hyperlink>
    </w:p>
    <w:p>
      <w:pPr>
        <w:pStyle w:val="TOC2"/>
      </w:pPr>
      <w:hyperlink w:anchor="v3_121"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69</w:t>
        </w:r>
      </w:hyperlink>
    </w:p>
    <w:p>
      <w:pPr>
        <w:pStyle w:val="TOC2"/>
      </w:pPr>
      <w:hyperlink w:anchor="v3_122" w:history="1">
        <w:r>
          <w:rPr>
            <w:rFonts w:ascii="Times New Roman" w:hAnsi="Times New Roman" w:eastAsia="Songti SC"/>
            <w:color w:val="000000"/>
            <w:sz w:val="22"/>
          </w:rPr>
          <w:t>C.4 资助与利益冲突</w:t>
        </w:r>
        <w:r>
          <w:rPr>
            <w:rFonts w:ascii="Times New Roman" w:hAnsi="Times New Roman" w:eastAsia="Songti SC"/>
            <w:color w:val="000000"/>
            <w:sz w:val="22"/>
          </w:rPr>
          <w:tab/>
          <w:t>69</w:t>
        </w:r>
      </w:hyperlink>
    </w:p>
    <w:p>
      <w:pPr>
        <w:pStyle w:val="TOC1"/>
        <w:keepNext/>
        <w:spacing w:before="120"/>
      </w:pPr>
      <w:hyperlink w:anchor="v3_123"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70</w:t>
        </w:r>
      </w:hyperlink>
    </w:p>
    <w:p>
      <w:pPr>
        <w:pStyle w:val="TOC2"/>
      </w:pPr>
      <w:hyperlink w:anchor="v3_124"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70</w:t>
        </w:r>
      </w:hyperlink>
    </w:p>
    <w:p>
      <w:pPr>
        <w:pStyle w:val="TOC2"/>
      </w:pPr>
      <w:hyperlink w:anchor="v3_125"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70</w:t>
        </w:r>
      </w:hyperlink>
    </w:p>
    <w:p>
      <w:pPr>
        <w:pStyle w:val="TOC2"/>
      </w:pPr>
      <w:hyperlink w:anchor="v3_126"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70</w:t>
        </w:r>
      </w:hyperlink>
    </w:p>
    <w:p>
      <w:pPr>
        <w:pStyle w:val="TOC1"/>
        <w:keepNext/>
        <w:spacing w:before="120"/>
      </w:pPr>
      <w:hyperlink w:anchor="v3_127"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71</w:t>
        </w:r>
      </w:hyperlink>
    </w:p>
    <w:p>
      <w:pPr>
        <w:pStyle w:val="TOC2"/>
      </w:pPr>
      <w:hyperlink w:anchor="v3_128"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71</w:t>
        </w:r>
      </w:hyperlink>
    </w:p>
    <w:p>
      <w:pPr>
        <w:pStyle w:val="TOC2"/>
      </w:pPr>
      <w:hyperlink w:anchor="v3_129"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71</w:t>
        </w:r>
      </w:hyperlink>
    </w:p>
    <w:p>
      <w:pPr>
        <w:pStyle w:val="TOC2"/>
      </w:pPr>
      <w:hyperlink w:anchor="v3_130"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72</w:t>
        </w:r>
      </w:hyperlink>
    </w:p>
    <w:p>
      <w:pPr>
        <w:pStyle w:val="TOC2"/>
      </w:pPr>
      <w:hyperlink w:anchor="v3_131"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72</w:t>
        </w:r>
      </w:hyperlink>
    </w:p>
    <w:p>
      <w:pPr>
        <w:pStyle w:val="TOC2"/>
      </w:pPr>
      <w:hyperlink w:anchor="v3_132"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73</w:t>
        </w:r>
      </w:hyperlink>
    </w:p>
    <w:p>
      <w:pPr>
        <w:pStyle w:val="TOC2"/>
      </w:pPr>
      <w:hyperlink w:anchor="v3_133" w:history="1">
        <w:r>
          <w:rPr>
            <w:rFonts w:ascii="Times New Roman" w:hAnsi="Times New Roman" w:eastAsia="Songti SC"/>
            <w:color w:val="000000"/>
            <w:sz w:val="22"/>
          </w:rPr>
          <w:t>E.6 ICIC原版Oracle记录</w:t>
        </w:r>
        <w:r>
          <w:rPr>
            <w:rFonts w:ascii="Times New Roman" w:hAnsi="Times New Roman" w:eastAsia="Songti SC"/>
            <w:color w:val="000000"/>
            <w:sz w:val="22"/>
          </w:rPr>
          <w:tab/>
          <w:t>73</w:t>
        </w:r>
      </w:hyperlink>
    </w:p>
    <w:p>
      <w:pPr>
        <w:pStyle w:val="TOC2"/>
      </w:pPr>
      <w:hyperlink w:anchor="v3_134"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73</w:t>
        </w:r>
      </w:hyperlink>
    </w:p>
    <w:p>
      <w:pPr>
        <w:pStyle w:val="TOC2"/>
      </w:pPr>
      <w:hyperlink w:anchor="v3_135"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74</w:t>
        </w:r>
      </w:hyperlink>
    </w:p>
    <w:p>
      <w:pPr>
        <w:pStyle w:val="TOC2"/>
      </w:pPr>
      <w:hyperlink w:anchor="v3_136"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75</w:t>
        </w:r>
      </w:hyperlink>
    </w:p>
    <w:p>
      <w:pPr>
        <w:pStyle w:val="TOC1"/>
        <w:keepNext/>
        <w:spacing w:before="120"/>
      </w:pPr>
      <w:hyperlink w:anchor="v3_137"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76</w:t>
        </w:r>
      </w:hyperlink>
    </w:p>
    <w:p>
      <w:pPr>
        <w:pStyle w:val="TOC2"/>
      </w:pPr>
      <w:hyperlink w:anchor="v3_138" w:history="1">
        <w:r>
          <w:rPr>
            <w:rFonts w:ascii="Times New Roman" w:hAnsi="Times New Roman" w:eastAsia="Songti SC"/>
            <w:color w:val="000000"/>
            <w:sz w:val="22"/>
          </w:rPr>
          <w:t>F.1 核心术语与符号</w:t>
        </w:r>
        <w:r>
          <w:rPr>
            <w:rFonts w:ascii="Times New Roman" w:hAnsi="Times New Roman" w:eastAsia="Songti SC"/>
            <w:color w:val="000000"/>
            <w:sz w:val="22"/>
          </w:rPr>
          <w:tab/>
          <w:t>76</w:t>
        </w:r>
      </w:hyperlink>
    </w:p>
    <w:p>
      <w:pPr>
        <w:pStyle w:val="TOC2"/>
      </w:pPr>
      <w:hyperlink w:anchor="v3_139" w:history="1">
        <w:r>
          <w:rPr>
            <w:rFonts w:ascii="Times New Roman" w:hAnsi="Times New Roman" w:eastAsia="Songti SC"/>
            <w:color w:val="000000"/>
            <w:sz w:val="22"/>
          </w:rPr>
          <w:t>F.2 实现接口补充</w:t>
        </w:r>
        <w:r>
          <w:rPr>
            <w:rFonts w:ascii="Times New Roman" w:hAnsi="Times New Roman" w:eastAsia="Songti SC"/>
            <w:color w:val="000000"/>
            <w:sz w:val="22"/>
          </w:rPr>
          <w:tab/>
          <w:t>77</w:t>
        </w:r>
      </w:hyperlink>
    </w:p>
    <w:p>
      <w:pPr>
        <w:pStyle w:val="TOC2"/>
      </w:pPr>
      <w:hyperlink w:anchor="v3_140" w:history="1">
        <w:r>
          <w:rPr>
            <w:rFonts w:ascii="Times New Roman" w:hAnsi="Times New Roman" w:eastAsia="Songti SC"/>
            <w:color w:val="000000"/>
            <w:sz w:val="22"/>
          </w:rPr>
          <w:t>F.3 研究问题阅读索引</w:t>
        </w:r>
        <w:r>
          <w:rPr>
            <w:rFonts w:ascii="Times New Roman" w:hAnsi="Times New Roman" w:eastAsia="Songti SC"/>
            <w:color w:val="000000"/>
            <w:sz w:val="22"/>
          </w:rPr>
          <w:tab/>
          <w:t>77</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3_141"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3_143"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3_147"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15</w:t>
        </w:r>
      </w:hyperlink>
    </w:p>
    <w:p>
      <w:pPr>
        <w:pStyle w:val="FigureList"/>
      </w:pPr>
      <w:hyperlink w:anchor="v3_149"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3_150"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22</w:t>
        </w:r>
      </w:hyperlink>
    </w:p>
    <w:p>
      <w:pPr>
        <w:pStyle w:val="FigureList"/>
      </w:pPr>
      <w:hyperlink w:anchor="v3_155"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33</w:t>
        </w:r>
      </w:hyperlink>
    </w:p>
    <w:p>
      <w:pPr>
        <w:pStyle w:val="FigureList"/>
      </w:pPr>
      <w:hyperlink w:anchor="v3_157"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44</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3_142"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3_144"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ableList"/>
      </w:pPr>
      <w:hyperlink w:anchor="v3_145"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9</w:t>
        </w:r>
      </w:hyperlink>
    </w:p>
    <w:p>
      <w:pPr>
        <w:pStyle w:val="TableList"/>
      </w:pPr>
      <w:hyperlink w:anchor="v3_146" w:history="1">
        <w:r>
          <w:rPr>
            <w:rFonts w:ascii="Times New Roman" w:hAnsi="Times New Roman" w:eastAsia="Songti SC"/>
            <w:color w:val="000000"/>
            <w:sz w:val="22"/>
          </w:rPr>
          <w:t>表2-2 共享实验配置与运行绑定字段</w:t>
        </w:r>
        <w:r>
          <w:rPr>
            <w:rFonts w:ascii="Times New Roman" w:hAnsi="Times New Roman" w:eastAsia="Songti SC"/>
            <w:color w:val="000000"/>
            <w:sz w:val="22"/>
          </w:rPr>
          <w:tab/>
          <w:t>13</w:t>
        </w:r>
      </w:hyperlink>
    </w:p>
    <w:p>
      <w:pPr>
        <w:pStyle w:val="TableList"/>
      </w:pPr>
      <w:hyperlink w:anchor="v3_148"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18</w:t>
        </w:r>
      </w:hyperlink>
    </w:p>
    <w:p>
      <w:pPr>
        <w:pStyle w:val="TableList"/>
      </w:pPr>
      <w:hyperlink w:anchor="v3_152" w:history="1">
        <w:r>
          <w:rPr>
            <w:rFonts w:ascii="Times New Roman" w:hAnsi="Times New Roman" w:eastAsia="Songti SC"/>
            <w:color w:val="000000"/>
            <w:sz w:val="22"/>
          </w:rPr>
          <w:t>表3-2 训练侧必要对照及其回答的问题</w:t>
        </w:r>
        <w:r>
          <w:rPr>
            <w:rFonts w:ascii="Times New Roman" w:hAnsi="Times New Roman" w:eastAsia="Songti SC"/>
            <w:color w:val="000000"/>
            <w:sz w:val="22"/>
          </w:rPr>
          <w:tab/>
          <w:t>27</w:t>
        </w:r>
      </w:hyperlink>
    </w:p>
    <w:p>
      <w:pPr>
        <w:pStyle w:val="TableList"/>
      </w:pPr>
      <w:hyperlink w:anchor="v3_153" w:history="1">
        <w:r>
          <w:rPr>
            <w:rFonts w:ascii="Times New Roman" w:hAnsi="Times New Roman" w:eastAsia="Songti SC"/>
            <w:color w:val="000000"/>
            <w:sz w:val="22"/>
          </w:rPr>
          <w:t>表3-3 训练侧消融的预期情景占位</w:t>
        </w:r>
        <w:r>
          <w:rPr>
            <w:rFonts w:ascii="Times New Roman" w:hAnsi="Times New Roman" w:eastAsia="Songti SC"/>
            <w:color w:val="000000"/>
            <w:sz w:val="22"/>
          </w:rPr>
          <w:tab/>
          <w:t>29</w:t>
        </w:r>
      </w:hyperlink>
    </w:p>
    <w:p>
      <w:pPr>
        <w:pStyle w:val="TableList"/>
      </w:pPr>
      <w:hyperlink w:anchor="v3_154" w:history="1">
        <w:r>
          <w:rPr>
            <w:rFonts w:ascii="Times New Roman" w:hAnsi="Times New Roman" w:eastAsia="Songti SC"/>
            <w:color w:val="000000"/>
            <w:sz w:val="22"/>
          </w:rPr>
          <w:t>表3-4 增强成功与失败案例的报告字段（待实测）</w:t>
        </w:r>
        <w:r>
          <w:rPr>
            <w:rFonts w:ascii="Times New Roman" w:hAnsi="Times New Roman" w:eastAsia="Songti SC"/>
            <w:color w:val="000000"/>
            <w:sz w:val="22"/>
          </w:rPr>
          <w:tab/>
          <w:t>31</w:t>
        </w:r>
      </w:hyperlink>
    </w:p>
    <w:p>
      <w:pPr>
        <w:pStyle w:val="TableList"/>
      </w:pPr>
      <w:hyperlink w:anchor="v3_158"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47</w:t>
        </w:r>
      </w:hyperlink>
    </w:p>
    <w:p>
      <w:pPr>
        <w:pStyle w:val="TableList"/>
      </w:pPr>
      <w:hyperlink w:anchor="v3_159"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48</w:t>
        </w:r>
      </w:hyperlink>
    </w:p>
    <w:p>
      <w:pPr>
        <w:pStyle w:val="TableList"/>
      </w:pPr>
      <w:hyperlink w:anchor="v3_160" w:history="1">
        <w:r>
          <w:rPr>
            <w:rFonts w:ascii="Times New Roman" w:hAnsi="Times New Roman" w:eastAsia="Songti SC"/>
            <w:color w:val="000000"/>
            <w:sz w:val="22"/>
          </w:rPr>
          <w:t>表4-3 推理侧比较的预期情景占位</w:t>
        </w:r>
        <w:r>
          <w:rPr>
            <w:rFonts w:ascii="Times New Roman" w:hAnsi="Times New Roman" w:eastAsia="Songti SC"/>
            <w:color w:val="000000"/>
            <w:sz w:val="22"/>
          </w:rPr>
          <w:tab/>
          <w:t>49</w:t>
        </w:r>
      </w:hyperlink>
    </w:p>
    <w:p>
      <w:pPr>
        <w:pStyle w:val="TableList"/>
      </w:pPr>
      <w:hyperlink w:anchor="v3_161" w:history="1">
        <w:r>
          <w:rPr>
            <w:rFonts w:ascii="Times New Roman" w:hAnsi="Times New Roman" w:eastAsia="Songti SC"/>
            <w:color w:val="000000"/>
            <w:sz w:val="22"/>
          </w:rPr>
          <w:t>表4-4 候选与可达性诊断的预期情景占位</w:t>
        </w:r>
        <w:r>
          <w:rPr>
            <w:rFonts w:ascii="Times New Roman" w:hAnsi="Times New Roman" w:eastAsia="Songti SC"/>
            <w:color w:val="000000"/>
            <w:sz w:val="22"/>
          </w:rPr>
          <w:tab/>
          <w:t>50</w:t>
        </w:r>
      </w:hyperlink>
    </w:p>
    <w:p>
      <w:pPr>
        <w:pStyle w:val="TableList"/>
      </w:pPr>
      <w:hyperlink w:anchor="v3_162" w:history="1">
        <w:r>
          <w:rPr>
            <w:rFonts w:ascii="Times New Roman" w:hAnsi="Times New Roman" w:eastAsia="Songti SC"/>
            <w:color w:val="000000"/>
            <w:sz w:val="22"/>
          </w:rPr>
          <w:t>表4-5 固定提案评分诊断的预期情景占位</w:t>
        </w:r>
        <w:r>
          <w:rPr>
            <w:rFonts w:ascii="Times New Roman" w:hAnsi="Times New Roman" w:eastAsia="Songti SC"/>
            <w:color w:val="000000"/>
            <w:sz w:val="22"/>
          </w:rPr>
          <w:tab/>
          <w:t>51</w:t>
        </w:r>
      </w:hyperlink>
    </w:p>
    <w:p>
      <w:pPr>
        <w:pStyle w:val="TableList"/>
      </w:pPr>
      <w:hyperlink w:anchor="v3_163" w:history="1">
        <w:r>
          <w:rPr>
            <w:rFonts w:ascii="Times New Roman" w:hAnsi="Times New Roman" w:eastAsia="Songti SC"/>
            <w:color w:val="000000"/>
            <w:sz w:val="22"/>
          </w:rPr>
          <w:t>表4-6 AAEC风险与成本的预期情景占位</w:t>
        </w:r>
        <w:r>
          <w:rPr>
            <w:rFonts w:ascii="Times New Roman" w:hAnsi="Times New Roman" w:eastAsia="Songti SC"/>
            <w:color w:val="000000"/>
            <w:sz w:val="22"/>
          </w:rPr>
          <w:tab/>
          <w:t>52</w:t>
        </w:r>
      </w:hyperlink>
    </w:p>
    <w:p>
      <w:pPr>
        <w:pStyle w:val="TableList"/>
      </w:pPr>
      <w:hyperlink w:anchor="v3_164" w:history="1">
        <w:r>
          <w:rPr>
            <w:rFonts w:ascii="Times New Roman" w:hAnsi="Times New Roman" w:eastAsia="Songti SC"/>
            <w:color w:val="000000"/>
            <w:sz w:val="22"/>
          </w:rPr>
          <w:t>表5-1 两阶段组合的预期情景占位</w:t>
        </w:r>
        <w:r>
          <w:rPr>
            <w:rFonts w:ascii="Times New Roman" w:hAnsi="Times New Roman" w:eastAsia="Songti SC"/>
            <w:color w:val="000000"/>
            <w:sz w:val="22"/>
          </w:rPr>
          <w:tab/>
          <w:t>56</w:t>
        </w:r>
      </w:hyperlink>
    </w:p>
    <w:p>
      <w:pPr>
        <w:pStyle w:val="TableList"/>
      </w:pPr>
      <w:hyperlink w:anchor="v3_165"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65</w:t>
        </w:r>
      </w:hyperlink>
    </w:p>
    <w:p>
      <w:pPr>
        <w:pStyle w:val="TableList"/>
      </w:pPr>
      <w:hyperlink w:anchor="v3_16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71</w:t>
        </w:r>
      </w:hyperlink>
    </w:p>
    <w:p>
      <w:pPr>
        <w:pStyle w:val="TableList"/>
      </w:pPr>
      <w:hyperlink w:anchor="v3_16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71</w:t>
        </w:r>
      </w:hyperlink>
    </w:p>
    <w:p>
      <w:pPr>
        <w:pStyle w:val="TableList"/>
      </w:pPr>
      <w:hyperlink w:anchor="v3_16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72</w:t>
        </w:r>
      </w:hyperlink>
    </w:p>
    <w:p>
      <w:pPr>
        <w:pStyle w:val="TableList"/>
      </w:pPr>
      <w:hyperlink w:anchor="v3_16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72</w:t>
        </w:r>
      </w:hyperlink>
    </w:p>
    <w:p>
      <w:pPr>
        <w:pStyle w:val="TableList"/>
      </w:pPr>
      <w:hyperlink w:anchor="v3_17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73</w:t>
        </w:r>
      </w:hyperlink>
    </w:p>
    <w:p>
      <w:pPr>
        <w:pStyle w:val="TableList"/>
      </w:pPr>
      <w:hyperlink w:anchor="v3_17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73</w:t>
        </w:r>
      </w:hyperlink>
    </w:p>
    <w:p>
      <w:pPr>
        <w:pStyle w:val="TableList"/>
      </w:pPr>
      <w:hyperlink w:anchor="v3_17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73</w:t>
        </w:r>
      </w:hyperlink>
    </w:p>
    <w:p>
      <w:pPr>
        <w:pStyle w:val="TableList"/>
      </w:pPr>
      <w:hyperlink w:anchor="v3_17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74</w:t>
        </w:r>
      </w:hyperlink>
    </w:p>
    <w:p>
      <w:pPr>
        <w:pStyle w:val="TableList"/>
      </w:pPr>
      <w:hyperlink w:anchor="v3_17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75</w:t>
        </w:r>
      </w:hyperlink>
    </w:p>
    <w:p>
      <w:pPr>
        <w:pStyle w:val="TableList"/>
      </w:pPr>
      <w:hyperlink w:anchor="v3_17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76</w:t>
        </w:r>
      </w:hyperlink>
    </w:p>
    <w:p>
      <w:pPr>
        <w:pStyle w:val="TableList"/>
      </w:pPr>
      <w:hyperlink w:anchor="v3_17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78</w:t>
        </w:r>
      </w:hyperlink>
      <w:r>
        <w:fldChar w:fldCharType="end"/>
      </w:r>
    </w:p>
    <w:p>
      <w:pPr>
        <w:sectPr>
          <w:headerReference w:type="default" r:id="rId81"/>
          <w:footerReference w:type="default" r:id="rId8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3_12"/>
      <w:bookmarkEnd w:id="12"/>
    </w:p>
    <w:p>
      <w:pPr>
        <w:pStyle w:val="Heading2"/>
      </w:pPr>
      <w:r>
        <w:t>1.1 研究背景与问题提出</w:t>
      </w:r>
      <w:bookmarkStart w:id="13" w:name="v3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机制示意，非实测案例。"/>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1" w:name="v3_141"/>
      <w:bookmarkEnd w:id="141"/>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形成两项互补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3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3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3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局部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3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3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将跨语料分析作为适用范围检验，区分多任务训练、单源零样本迁移和目标域校准，不把这些设定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2" w:name="v3_142"/>
      <w:bookmarkEnd w:id="14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3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机制示意，非实测案例。"/>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3" w:name="v3_143"/>
      <w:bookmarkEnd w:id="143"/>
    </w:p>
    <w:p>
      <w:pPr>
        <w:pStyle w:val="Heading3"/>
      </w:pPr>
      <w:r>
        <w:t>1.3.1 研究问题</w:t>
      </w:r>
      <w:bookmarkStart w:id="20" w:name="v3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训练与推理的组合实验用于分析两项方法的互补性，跨语料实验用于说明适用边界，均不另列为第三项算法创新。</w:t>
      </w:r>
    </w:p>
    <w:p>
      <w:pPr>
        <w:pStyle w:val="Heading3"/>
      </w:pPr>
      <w:r>
        <w:t>1.3.2 主要研究内容</w:t>
      </w:r>
      <w:bookmarkStart w:id="21" w:name="v3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3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44" w:name="v3_144"/>
      <w:bookmarkEnd w:id="14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3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和跨语料适用性。第六章总结方法与局限，并讨论后续研究方向。</w:t>
      </w:r>
    </w:p>
    <w:p>
      <w:r>
        <w:rPr>
          <w:rFonts w:ascii="Times New Roman" w:hAnsi="Times New Roman" w:eastAsia="Songti SC"/>
          <w:color w:val="000000"/>
        </w:rPr>
        <w:t>附录补充复现协议、执行记录、成果说明、前期诊断、历史数值和符号索引。各方法章中的占位数值均保留明确标记，不作为实验结论。</w:t>
      </w:r>
    </w:p>
    <w:p>
      <w:pPr>
        <w:pStyle w:val="Heading1"/>
      </w:pPr>
      <w:r>
        <w:t>第二章 任务表示与方法基础</w:t>
      </w:r>
      <w:bookmarkStart w:id="24" w:name="v3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3_25"/>
      <w:bookmarkEnd w:id="25"/>
    </w:p>
    <w:p>
      <w:pPr>
        <w:pStyle w:val="Heading3"/>
      </w:pPr>
      <w:r>
        <w:t>2.1.1 组件及二元关系</w:t>
      </w:r>
      <w:bookmarkStart w:id="26" w:name="v3_26"/>
      <w:bookmarkEnd w:id="26"/>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，第三、四章将同一输入简记为</w:t>
      </w:r>
      <m:oMath>
        <m:r>
          <m:t xml:space="preserve">x</m:t>
        </m:r>
      </m:oMath>
      <w:r>
        <w:rPr>
          <w:rFonts w:ascii="Times New Roman" w:hAnsi="Times New Roman" w:eastAsia="Songti SC"/>
          <w:color w:val="000000"/>
        </w:rPr>
        <w:t>；第四章的</w:t>
      </w:r>
      <m:oMath>
        <m:r>
          <m:t xml:space="preserve">D</m:t>
        </m:r>
      </m:oMath>
      <w:r>
        <w:rPr>
          <w:rFonts w:ascii="Times New Roman" w:hAnsi="Times New Roman" w:eastAsia="Songti SC"/>
          <w:color w:val="000000"/>
        </w:rPr>
        <w:t>另指待删除的组件集合。组件定义为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3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45" w:name="v3_145"/>
      <w:bookmarkEnd w:id="14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表2-1依据语料与联合预测研究区分两种任务[2][3][46]。CDCP中的结论角色仅用于第三章选择增强中心，不改变原生组件标签。第五章跨语料分析采用另行声明的粗粒度映射，该映射不反向改变域内金标。</w:t>
      </w:r>
    </w:p>
    <w:p>
      <w:pPr>
        <w:pStyle w:val="Heading2"/>
      </w:pPr>
      <w:r>
        <w:t>2.2 合法结构与对象身份</w:t>
      </w:r>
      <w:bookmarkStart w:id="28" w:name="v3_28"/>
      <w:bookmarkEnd w:id="28"/>
    </w:p>
    <w:p>
      <w:pPr>
        <w:pStyle w:val="Heading3"/>
      </w:pPr>
      <w:r>
        <w:t>2.2.1 语料约束与候选范围</w:t>
      </w:r>
      <w:bookmarkStart w:id="29" w:name="v3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3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3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3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3_33"/>
      <w:bookmarkEnd w:id="33"/>
    </w:p>
    <w:p>
      <w:pPr>
        <w:keepNext/>
      </w:pPr>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3_34"/>
      <w:bookmarkEnd w:id="34"/>
    </w:p>
    <w:p>
      <w:pPr>
        <w:pStyle w:val="Heading3"/>
      </w:pPr>
      <w:r>
        <w:t>2.6.1 数据划分与使用范围</w:t>
      </w:r>
      <w:bookmarkStart w:id="35" w:name="v3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生成器只使用训练数据，增强中心选择、提示调整、早停和超参数筛选不使用测试标签。评分器的训练候选由训练集内部三折交叉拟合产生，使每个文档的预测不由已经拟合该文档标签的生成器直接给出。两种训练方案各自产生交叉拟合候选，覆盖其实际错误分布。</w:t>
      </w:r>
    </w:p>
    <w:p>
      <w:r>
        <w:rPr>
          <w:rFonts w:ascii="Times New Roman" w:hAnsi="Times New Roman" w:eastAsia="Songti SC"/>
          <w:color w:val="000000"/>
        </w:rPr>
        <w:t>开发文档划分为校准部分与策略选择部分，分别用于概率校准及阈值、预算选择。数据不足时采用预先固定的交叉验证安排，并记录每个阶段的数据用途。最终选择冻结后再进行完整测试报告。上述隔离控制数据泄漏；模型误差的关系仍须按2.4节区分。</w:t>
      </w:r>
    </w:p>
    <w:p>
      <w:pPr>
        <w:pStyle w:val="Heading3"/>
      </w:pPr>
      <w:r>
        <w:t>2.6.2 运行配置与可复现记录</w:t>
      </w:r>
      <w:bookmarkStart w:id="36" w:name="v3_36"/>
      <w:bookmarkEnd w:id="36"/>
    </w:p>
    <w:p>
      <w:r>
        <w:rPr>
          <w:rFonts w:ascii="Times New Roman" w:hAnsi="Times New Roman" w:eastAsia="Songti SC"/>
          <w:color w:val="000000"/>
        </w:rPr>
        <w:t>表2-2集中列出共享配置，避免在两个方法章重复说明。前期数值是配置起点，不等同于新增方法已经运行或达到最佳设置；尚未与实际运行绑定的字段保留“待绑定”。各方法专有的增强约束、损失、候选和事务设置在对应章节定义。</w:t>
      </w:r>
    </w:p>
    <w:p>
      <w:pPr>
        <w:pStyle w:val="TableCaption"/>
      </w:pPr>
      <w:r>
        <w:rPr>
          <w:rFonts w:ascii="Times New Roman" w:hAnsi="Times New Roman" w:eastAsia="Songti SC"/>
          <w:color w:val="000000"/>
          <w:sz w:val="21"/>
        </w:rPr>
        <w:t>表2-2 共享实验配置与运行绑定字段</w:t>
      </w:r>
      <w:bookmarkStart w:id="146" w:name="v3_146"/>
      <w:bookmarkEnd w:id="14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AAEC和CDCP分别按原生协议评价</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发布版本、各划分文档数、哈希与异常清单待绑定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骨干与分词器</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Qwen2.5-7B-Instruct</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权重revision、分词器revision及精度待绑定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参数高效适配</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前期文字配置为rank 16、alpha 32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目标层、可训练参数数及实际配置待绑定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提示与句子监督</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前期为4个提示向量、句子权重0.5</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位置、门控与损失归一化记录待绑定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生成与初始选择</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前期K=3，MCR权重0.4/0.4/0.2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解码、候选缓存及合法化版本待绑定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优化器与训练规模</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在开发集选择后冻结</w:t>
            </w:r>
          </w:p>
        </w:tc>
        <w:tc>
          <w:tcPr>
            <w:tcW w:type="dxa" w:w="37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学习率、batch、更新步数、epoch及有效token待绑定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评分器数据</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训练集内三折交叉拟合，开发集校准与策略分离</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折ID、评分器检查点、校准参数待绑定</w:t>
            </w:r>
          </w:p>
        </w:tc>
      </w:tr>
    </w:tbl>
    <w:p>
      <w:pPr>
        <w:pStyle w:val="ContinuationCaption"/>
        <w:pageBreakBefore/>
      </w:pPr>
      <w:r>
        <w:t>表2-2（续）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新增损失与候选预算</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第三、四章给出定义及工程起点</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实际权重、阈值、候选与编辑预算待绑定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求解器与时限</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局部及全局ILP使用一致的求解设置</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软件版本、线程、时间上限与gap待绑定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硬件与环境</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CPU和GPU开销分别记录</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设备型号、显存、软件版本及环境文件待绑定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随机种子与统计</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核心配置至少3个种子，资源允许时优先5个</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种子列表、有效运行数及区间待绑定</w:t>
            </w:r>
          </w:p>
        </w:tc>
      </w:tr>
    </w:tbl>
    <w:p>
      <w:pPr>
        <w:spacing w:after="0" w:line="240" w:lineRule="auto"/>
      </w:pPr>
    </w:p>
    <w:p>
      <w:r>
        <w:rPr>
          <w:rFonts w:ascii="Times New Roman" w:hAnsi="Times New Roman" w:eastAsia="Songti SC"/>
          <w:color w:val="000000"/>
        </w:rPr>
        <w:t>表中前期取值仅确认其来自原稿配置描述，不补充证明历史运行身份。原始运行材料、新配置和逐例预测应以同一run ID关联，数据、增强集合、检查点、配置、代码和评价器的哈希共同确定实验身份。前期结果与轻量诊断的使用范围见附录D。</w:t>
      </w:r>
    </w:p>
    <w:p>
      <w:pPr>
        <w:pStyle w:val="Heading3"/>
      </w:pPr>
      <w:r>
        <w:t>2.6.3 统计分析与计算成本</w:t>
      </w:r>
      <w:bookmarkStart w:id="37" w:name="v3_37"/>
      <w:bookmarkEnd w:id="37"/>
    </w:p>
    <w:p>
      <w:r>
        <w:rPr>
          <w:rFonts w:ascii="Times New Roman" w:hAnsi="Times New Roman" w:eastAsia="Songti SC"/>
          <w:color w:val="000000"/>
        </w:rPr>
        <w:t>核心实验使用预先登记的多个随机种子；表2-2中的重复次数是验证要求，不是已完成的运行数量。主指标限定为组件与严格关系micro-F1，其他指标用于解释机制。跨种子差值和文档级配对重采样共同报告，重复文本按组处理，不将多个种子中的同一文档当作额外独立样本。区间、效应量、持平、下降和失败配置均保留，不依据结果临时选择检验方式。</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局部与全局ILP采用一致的软件、线程和时间上限。超时报告可行解、上界或gap，运行到时限不等于求得最优。只有与实际运行绑定的统计量才能进入效果结论。</w:t>
      </w:r>
    </w:p>
    <w:p>
      <w:pPr>
        <w:pStyle w:val="Heading2"/>
      </w:pPr>
      <w:r>
        <w:t>2.7 训练与推理的接口</w:t>
      </w:r>
      <w:bookmarkStart w:id="38" w:name="v3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机制示意，非实测案例。"/>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47" w:name="v3_147"/>
      <w:bookmarkEnd w:id="147"/>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3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3_40"/>
      <w:bookmarkEnd w:id="40"/>
    </w:p>
    <w:p>
      <w:pPr>
        <w:pStyle w:val="Heading2"/>
      </w:pPr>
      <w:r>
        <w:t>3.1 引言</w:t>
      </w:r>
      <w:bookmarkStart w:id="41" w:name="v3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3_42"/>
      <w:bookmarkEnd w:id="42"/>
    </w:p>
    <w:p>
      <w:pPr>
        <w:pStyle w:val="Heading3"/>
      </w:pPr>
      <w:r>
        <w:t>3.2.1 类型条件低秩适配</w:t>
      </w:r>
      <w:bookmarkStart w:id="43" w:name="v3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3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词典只控制提示启用，不赋予结论标签。话语标记的收益不能由标记数量直接推定[40]；原文与增强文分别按各自文本触发提示，线索依赖由3.6.4节检验。</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3_45"/>
      <w:bookmarkEnd w:id="45"/>
    </w:p>
    <w:p>
      <w:pPr>
        <w:pStyle w:val="Heading3"/>
      </w:pPr>
      <w:r>
        <w:t>3.3.1 改写区域与关系因素</w:t>
      </w:r>
      <w:bookmarkStart w:id="46" w:name="v3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48" w:name="v3_148"/>
      <w:bookmarkEnd w:id="14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机制示意，非实测案例。"/>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49" w:name="v3_149"/>
      <w:bookmarkEnd w:id="149"/>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3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3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3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机制示意，非实测案例。"/>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0" w:name="v3_150"/>
      <w:bookmarkEnd w:id="150"/>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3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为全文输入结束且回答尚未开始处的隐藏状态。坐标映射和输入隔离的实现检查见附录F.2。组件表示与类型分布定义为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3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3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具体梯度核验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3_53"/>
      <w:bookmarkEnd w:id="53"/>
    </w:p>
    <w:p>
      <w:pPr>
        <w:pStyle w:val="Heading3"/>
      </w:pPr>
      <w:r>
        <w:t>3.5.1 数据构造与参数学习</w:t>
      </w:r>
      <w:bookmarkStart w:id="54" w:name="v3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1" w:name="v3_151"/>
      <w:bookmarkEnd w:id="151"/>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输出：结论专项生成器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建立因素宇宙 Ω(C_d)，按固定规则选择改写组件集合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07</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10</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12</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16</w:t>
        <w:tab/>
      </w:r>
      <w:r>
        <w:rPr>
          <w:rFonts w:ascii="Times New Roman" w:hAnsi="Times New Roman" w:eastAsia="Songti SC"/>
          <w:b/>
          <w:color w:val="000000"/>
          <w:sz w:val="21"/>
        </w:rPr>
        <w:t>end if</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17</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22</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26</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33</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35</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36</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3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实验与分析</w:t>
      </w:r>
      <w:bookmarkStart w:id="56" w:name="v3_56"/>
      <w:bookmarkEnd w:id="56"/>
    </w:p>
    <w:p>
      <w:r>
        <w:rPr>
          <w:rFonts w:ascii="Times New Roman" w:hAnsi="Times New Roman" w:eastAsia="Songti SC"/>
          <w:color w:val="000000"/>
        </w:rPr>
        <w:t>本章的验证围绕两个问题展开：完整关系影响域能否提高增强标注的可靠性，以及成对学习能否在相同增强数据上改善真实文本抽取。前者需要同时考察标签漂移、表达变化、接受覆盖和构造成本，后者需要固定数据与表示模块后比较严格组件及关系指标。CovEReD的研究也提示增强一致性与原始任务表现需要分别检验[37]。本章新增方法尚无正式实测结果，下文给出比较协议、待接入的审计与运行字段，并保留明确标注的人工情景数值作为分析框架。</w:t>
      </w:r>
    </w:p>
    <w:p>
      <w:pPr>
        <w:pStyle w:val="Heading3"/>
      </w:pPr>
      <w:r>
        <w:t>3.6.1 实验设置与比较方法</w:t>
      </w:r>
      <w:bookmarkStart w:id="57" w:name="v3_57"/>
      <w:bookmarkEnd w:id="57"/>
    </w:p>
    <w:p>
      <w:r>
        <w:rPr>
          <w:rFonts w:ascii="Times New Roman" w:hAnsi="Times New Roman" w:eastAsia="Songti SC"/>
          <w:color w:val="000000"/>
        </w:rPr>
        <w:t>数据来源、划分、严格评价、随机种子及运行身份遵循第二章2.6节。AAEC采用完整端点、方向和标签匹配的二元关系评价，CDCP保留原生多前提超边，全部源成员与目标共同参与匹配。主指标为组件与严格完整关系的micro-Precision、Recall和F1，并分别报告结论类与非结论类、边界与类型错误。原文及其全部增强变体按源文档共同分组，重复文本按全文哈希处理，正式评价使用未改写的真实测试文本。</w:t>
      </w:r>
    </w:p>
    <w:p>
      <w:r>
        <w:rPr>
          <w:rFonts w:ascii="Times New Roman" w:hAnsi="Times New Roman" w:eastAsia="Songti SC"/>
          <w:color w:val="000000"/>
        </w:rPr>
        <w:t>训练基础T0保留ICIC专项适配、线索提示及句子辅助目标，不含本章新增增强与因素对齐；T1为完整关系感知增强学习。所有训练侧配置均采用I0推理，即MCR-only的初始图选择，不启用第四章新增修正。这样，检查点之间的差异对应训练设置的变化，其效果不会与新增修正混合归因。</w:t>
      </w:r>
    </w:p>
    <w:p>
      <w:r>
        <w:rPr>
          <w:rFonts w:ascii="Times New Roman" w:hAnsi="Times New Roman" w:eastAsia="Songti SC"/>
          <w:color w:val="000000"/>
        </w:rPr>
        <w:t>数据构造比较包括无增强、普通改写、结构条件改写、完整影响域改写及QOS式结构保持增强。QOS是直接论辩增强近邻，不能仅用完全无结构的普通改写作为唯一基线[35]。用于隔离生成条件的普通改写可以共用全文筛选，但应准确称为“无显式关系条件生成＋共同筛选”。另设尽可能复现QOS原方法的轨道，记录生成条件、筛选和资源差异；共同接口下的QOS式对照与原方法复现分别解释。</w:t>
      </w:r>
    </w:p>
    <w:p>
      <w:r>
        <w:rPr>
          <w:rFonts w:ascii="Times New Roman" w:hAnsi="Times New Roman" w:eastAsia="Songti SC"/>
          <w:color w:val="000000"/>
        </w:rPr>
        <w:t>关系影响域消融分别去除跨边界正关系检查和NONE检查，其余规则保持一致。筛选强度会改变接受率，因而比较采用两种资源口径：固定总尝试预算，以及匹配接受样本量、源文档访问量和训练更新预算。第二种口径允许不同的尝试次数，但其额外生成成本须单独计入。中心选择的比较按改写组件数、文本长度和关系度匹配，无法匹配的文档及剩余分布差异一并报告。</w:t>
      </w:r>
    </w:p>
    <w:p>
      <w:pPr>
        <w:pStyle w:val="TableCaption"/>
      </w:pPr>
      <w:r>
        <w:rPr>
          <w:rFonts w:ascii="Times New Roman" w:hAnsi="Times New Roman" w:eastAsia="Songti SC"/>
          <w:color w:val="000000"/>
          <w:sz w:val="21"/>
        </w:rPr>
        <w:t>表3-2 训练侧必要对照及其回答的问题</w:t>
      </w:r>
      <w:bookmarkStart w:id="152" w:name="v3_152"/>
      <w:bookmarkEnd w:id="15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学习目标的比较固定一份已接受增强数据，依次使用“仅生成与原句子监督”“增加组件及关系头监督”“进一步增加成对因素对齐”。去对齐设置继续保留相同辅助头、源文档权重与更新步数，以隔离成对损失。辅助头性能和原文与变体的一致性作为中间指标，最终判断依据真实测试文本的抽取结果。</w:t>
      </w:r>
    </w:p>
    <w:p>
      <w:pPr>
        <w:pStyle w:val="Heading3"/>
      </w:pPr>
      <w:r>
        <w:t>3.6.2 增强质量与标签可靠性</w:t>
      </w:r>
      <w:bookmarkStart w:id="58" w:name="v3_58"/>
      <w:bookmarkEnd w:id="58"/>
    </w:p>
    <w:p>
      <w:r>
        <w:rPr>
          <w:rFonts w:ascii="Times New Roman" w:hAnsi="Times New Roman" w:eastAsia="Songti SC"/>
          <w:color w:val="000000"/>
        </w:rPr>
        <w:t>标签可靠性审计从接受与拒绝变体中交叉分层抽样。分层维度包括数据集、端点位置类别以及关系状态：位置区分内部与跨边界，状态区分各正关系标签与NONE。NONE属于标签状态，不能与内部、跨边界并列为第三种位置。CDCP进一步按源成员数分组，特别检查最多三个源成员的候选预算对长超边监督造成的偏置。为评估端点影响域之外的语境变化，还需抽查两个端点均只读的关系。</w:t>
      </w:r>
    </w:p>
    <w:p>
      <w:r>
        <w:rPr>
          <w:rFonts w:ascii="Times New Roman" w:hAnsi="Times New Roman" w:eastAsia="Songti SC"/>
          <w:color w:val="000000"/>
        </w:rPr>
        <w:t>人工判断者在不知道方法名称和自动判定的条件下，对组件角色、否定与模态、指代、关系方向及标签保持作出判断，并记录分歧和裁决。审计材料应公开样本ID、抽样框、判断准则和抽样误差；判断者人数与一致性系数须由实际审计产生。自动筛选模型即使使用独立参数，也可能继承相近的判断偏差，人工审计承担检验筛选可靠性的作用，不能由程序结构检查代替。</w:t>
      </w:r>
    </w:p>
    <w:p>
      <w:r>
        <w:rPr>
          <w:rFonts w:ascii="Times New Roman" w:hAnsi="Times New Roman" w:eastAsia="Songti SC"/>
          <w:color w:val="000000"/>
        </w:rPr>
        <w:t>正式数据质量报告需同时给出尝试数、各阶段拒绝数、接受变体数、源文档接受覆盖率和去重后有效数量。表达变化以预先确定的词汇及句法差异指标描述，并与标签保持分开分析。若保持率提高伴随复杂关系文档大量被拒绝，应同时报告原始训练集与接受集在类型、关系度、超边元数和文本长度上的分布变化，以识别覆盖损失。</w:t>
      </w:r>
    </w:p>
    <w:p>
      <w:r>
        <w:rPr>
          <w:rFonts w:ascii="Times New Roman" w:hAnsi="Times New Roman" w:eastAsia="Songti SC"/>
          <w:b/>
          <w:color w:val="000000"/>
        </w:rPr>
        <w:t>标签漂移分层图位（待实测）</w:t>
      </w:r>
      <w:r>
        <w:rPr>
          <w:rFonts w:ascii="Times New Roman" w:hAnsi="Times New Roman" w:eastAsia="Songti SC"/>
          <w:color w:val="000000"/>
        </w:rPr>
        <w:t>：取得盲评记录后，按方法绘制“内部／跨边界×正关系／NONE”的漂移率及区间，CDCP另按源成员数分面。接入字段包括源文档ID、变体ID、数据集、方法、接受或拒绝状态、位置类别、原标签、人工判定标签、源成员数、抽样权重及裁决状态。各层同时给出审计样本量和分母；无样本层标记为空，不以零漂移填补。当前仅预留图位与字段，不绘制数值图。</w:t>
      </w:r>
    </w:p>
    <w:p>
      <w:pPr>
        <w:pStyle w:val="Heading3"/>
      </w:pPr>
      <w:r>
        <w:t>3.6.3 主结果及学习消融</w:t>
      </w:r>
      <w:bookmarkStart w:id="59" w:name="v3_59"/>
      <w:bookmarkEnd w:id="59"/>
    </w:p>
    <w:p>
      <w:r>
        <w:rPr>
          <w:rFonts w:ascii="Times New Roman" w:hAnsi="Times New Roman" w:eastAsia="Songti SC"/>
          <w:color w:val="000000"/>
        </w:rPr>
        <w:t>表3-3保留训练侧消融的人工情景数值，采用I0推理。生成与筛选对照对应匹配接受样本量、源文档访问量及更新预算的轨道，额外尝试另行计费；正式结果还需补充固定总尝试预算的另一轨道。T1完整方法行应与第五章组合实验中的T1＋I0来自同一运行，QOS式方法则是按本文共同接口组织的对照，并非QOS原论文成绩。</w:t>
      </w:r>
    </w:p>
    <w:p>
      <w:pPr>
        <w:pStyle w:val="TableCaption"/>
      </w:pPr>
      <w:r>
        <w:rPr>
          <w:rFonts w:ascii="Times New Roman" w:hAnsi="Times New Roman" w:eastAsia="Songti SC"/>
          <w:color w:val="000000"/>
          <w:sz w:val="21"/>
        </w:rPr>
        <w:t>表3-3 训练侧消融的预期情景占位</w:t>
      </w:r>
      <w:bookmarkStart w:id="153" w:name="v3_153"/>
      <w:bookmarkEnd w:id="15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P表示placeholder，不是显著性检验的p值，各行也不是多种子均值。“同数据”两行与T1复用完全相同的已接受增强集合；其中“同数据同辅助头去对齐”还保持相同辅助头、权重和步数，仅移除成对对齐损失。其他生成对照不声称拥有同一增强集合。去检查及随机中心行保留其余学习设置。正式报告须整体替换数值和相邻分析，不能仅删除P标记。</w:t>
      </w:r>
    </w:p>
    <w:p>
      <w:r>
        <w:rPr>
          <w:rFonts w:ascii="Times New Roman" w:hAnsi="Times New Roman" w:eastAsia="Songti SC"/>
          <w:color w:val="000000"/>
        </w:rPr>
        <w:t>在上述人工情景中，完整学习相对同数据去对齐的关系F1差值在两个数据集上均为0.6P个百分点，这一比较指向成对约束的净增量。相对“仅基础训练损失”的差异同时包含辅助头监督，不能全部归于对齐。关系影响域的作用则由跨边界检查、NONE检查及直接近邻比较共同解释，并结合3.6.2节的漂移审计判断其机制。上述差值仅演示归因方式，不表示真实改进。</w:t>
      </w:r>
    </w:p>
    <w:p>
      <w:r>
        <w:rPr>
          <w:rFonts w:ascii="Times New Roman" w:hAnsi="Times New Roman" w:eastAsia="Songti SC"/>
          <w:color w:val="000000"/>
        </w:rPr>
        <w:t>正式主结果需给出各随机种子的组件与关系P/R/F1、汇总定义、配对差值和区间，并按第二章2.6节的重复与重采样规则统计。若增强减少标签漂移，却未在资源匹配下改善测试指标，其作用应限定为数据质量控制；若同数据去对齐与完整学习的差异不稳定，也不能以辅助一致性更高替代任务收益。真实持平、下降及失败配置均应保留，前期结果及附录E的历史数值不代替本章新增方法的独立验证。</w:t>
      </w:r>
    </w:p>
    <w:p>
      <w:pPr>
        <w:pStyle w:val="Heading3"/>
      </w:pPr>
      <w:r>
        <w:t>3.6.4 中心选择与线索依赖</w:t>
      </w:r>
      <w:bookmarkStart w:id="60" w:name="v3_60"/>
      <w:bookmarkEnd w:id="60"/>
    </w:p>
    <w:p>
      <w:r>
        <w:rPr>
          <w:rFonts w:ascii="Times New Roman" w:hAnsi="Times New Roman" w:eastAsia="Songti SC"/>
          <w:color w:val="000000"/>
        </w:rPr>
        <w:t>结论中心与匹配随机中心的比较检验增强对象选择是否必要。除总体F1外，应报告不同中心的类型频次、关系度、原始识别难度及其接受覆盖。表3-3中两者的占位差距较小，目的在于保留“结论优先可能只是一种任务启发式”的分析空间。若实测差距随种子变化或匹配后消失，贡献应落在影响域约束与成对学习，中心偏好据其适用条件解释。</w:t>
      </w:r>
    </w:p>
    <w:p>
      <w:r>
        <w:rPr>
          <w:rFonts w:ascii="Times New Roman" w:hAnsi="Times New Roman" w:eastAsia="Songti SC"/>
          <w:color w:val="000000"/>
        </w:rPr>
        <w:t>线索依赖分析按显式标记的有无分组，并在预先定义的线索扰动条件下观察结论识别和严格关系指标。原文与增强文分别记录连续提示是否触发，使词汇变化引起的提示分支变化能够单独检查。提升若主要集中于带有therefore、thus等表面词的样本，其结论应限定到相应子集；隐式结论、MajorClaim与Claim混淆以及长句边界错误仍需单列。对于AAEC中没有普通关联边的MajorClaim，应以组件指标分析，不能用关系恢复增量替代其效果。</w:t>
      </w:r>
    </w:p>
    <w:p>
      <w:pPr>
        <w:pStyle w:val="Heading3"/>
      </w:pPr>
      <w:r>
        <w:t>3.6.5 构造成本与案例分析</w:t>
      </w:r>
      <w:bookmarkStart w:id="61" w:name="v3_61"/>
      <w:bookmarkEnd w:id="61"/>
    </w:p>
    <w:p>
      <w:r>
        <w:rPr>
          <w:rFonts w:ascii="Times New Roman" w:hAnsi="Times New Roman" w:eastAsia="Songti SC"/>
          <w:color w:val="000000"/>
        </w:rPr>
        <w:t>增强成本覆盖所有生成尝试、被拒绝变体、语义审核及坐标检查，训练成本覆盖原文与变体的前向、反向和辅助头计算。报告至少包括每篇源文档的尝试与接受数、生成和审核调用、输入输出token、设备时间、有效更新步数、增强token量及峰值显存。两条rank-16分支与单条rank-32分支即使参数量接近，实际激活与计算开销仍需实测。质量、覆盖与成本应共同呈现，避免仅以每个已接受变体的平均成本掩盖大量拒绝尝试。</w:t>
      </w:r>
    </w:p>
    <w:p>
      <w:r>
        <w:rPr>
          <w:rFonts w:ascii="Times New Roman" w:hAnsi="Times New Roman" w:eastAsia="Songti SC"/>
          <w:b/>
          <w:color w:val="000000"/>
        </w:rPr>
        <w:t>训练成本图位（待实测）</w:t>
      </w:r>
      <w:r>
        <w:rPr>
          <w:rFonts w:ascii="Times New Roman" w:hAnsi="Times New Roman" w:eastAsia="Songti SC"/>
          <w:color w:val="000000"/>
        </w:rPr>
        <w:t>：固定总尝试预算与匹配接受样本量分别绘图。横轴采用累计生成及审核token，或在设备配置一致时采用设备时间，纵轴分别呈现源文档接受覆盖率、人工审计保持率及严格关系F1；不同量纲使用分面。接入字段为运行ID、源文档ID、方法、资源轨道、尝试数、接受数、各阶段token、设备与时间、有效更新数、种子及评价输出。曲线上的每一点须对应真实预算配置，不能由表3-3的情景数值连线产生。</w:t>
      </w:r>
    </w:p>
    <w:p>
      <w:r>
        <w:rPr>
          <w:rFonts w:ascii="Times New Roman" w:hAnsi="Times New Roman" w:eastAsia="Songti SC"/>
          <w:color w:val="000000"/>
        </w:rPr>
        <w:t>表3-1的图书馆片段用于说明内部关系、跨边界关系及NONE的差别，属于人工构造案例。真实案例分析则从正式增强和审计记录中按预先声明的规则选择，既覆盖标签保持的样本，也覆盖漏判和误拒。表3-4给出待接入的报告字段；各类别是分析所需的取样框架，并不表示已经观察到对应事件。</w:t>
      </w:r>
    </w:p>
    <w:p>
      <w:pPr>
        <w:pStyle w:val="TableCaption"/>
      </w:pPr>
      <w:r>
        <w:rPr>
          <w:rFonts w:ascii="Times New Roman" w:hAnsi="Times New Roman" w:eastAsia="Songti SC"/>
          <w:color w:val="000000"/>
          <w:sz w:val="21"/>
        </w:rPr>
        <w:t>表3-4 增强成功与失败案例的报告字段（待实测）</w:t>
      </w:r>
      <w:bookmarkStart w:id="154" w:name="v3_154"/>
      <w:bookmarkEnd w:id="15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474"/>
        <w:gridCol w:w="1701"/>
        <w:gridCol w:w="1304"/>
        <w:gridCol w:w="1531"/>
        <w:gridCol w:w="1531"/>
      </w:tblGrid>
      <w:tr>
        <w:trPr>
          <w:cantSplit/>
          <w:tblHeader/>
        </w:trPr>
        <w:tc>
          <w:tcPr>
            <w:tcW w:type="dxa" w:w="136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案例类别</w:t>
            </w:r>
          </w:p>
        </w:tc>
        <w:tc>
          <w:tcPr>
            <w:tcW w:type="dxa" w:w="147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源文档与</w:t>
              <w:br/>
              <w:t>变体ID</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原文及改写片段</w:t>
            </w:r>
          </w:p>
        </w:tc>
        <w:tc>
          <w:tcPr>
            <w:tcW w:type="dxa" w:w="130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受影响标签</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自动与人工</w:t>
              <w:br/>
              <w:t>判定</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后续用途</w:t>
              <w:br/>
              <w:t>与影响</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接受且保持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接受但漂移</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拒绝但保持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拒绝且漂移</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r>
    </w:tbl>
    <w:p>
      <w:pPr>
        <w:spacing w:after="0" w:line="240" w:lineRule="auto"/>
      </w:pPr>
    </w:p>
    <w:p>
      <w:r>
        <w:rPr>
          <w:rFonts w:ascii="Times New Roman" w:hAnsi="Times New Roman" w:eastAsia="Songti SC"/>
          <w:color w:val="000000"/>
        </w:rPr>
        <w:t>每个正式案例同时保存组件映射、全部受影响关系、原标签、审核输出及人工裁决。成功案例解释约束如何保留标签，失败案例区分坐标错误、域内语义漏判、域外语境漂移和过度拒绝。单个案例用于说明过程，增强方案的有效性仍由质量审计、受控测试指标和成本统计共同判断。</w:t>
      </w:r>
    </w:p>
    <w:p>
      <w:pPr>
        <w:pStyle w:val="Heading2"/>
      </w:pPr>
      <w:r>
        <w:t>3.7 本章小结</w:t>
      </w:r>
      <w:bookmarkStart w:id="62" w:name="v3_62"/>
      <w:bookmarkEnd w:id="62"/>
    </w:p>
    <w:p>
      <w:r>
        <w:rPr>
          <w:rFonts w:ascii="Times New Roman" w:hAnsi="Times New Roman" w:eastAsia="Songti SC"/>
          <w:color w:val="000000"/>
        </w:rPr>
        <w:t>本章在ICIC结论专项训练基础上，将增强约束从局部正关系扩展到声明因素宇宙内的完整影响域，通过槽位映射建立原文与增强文的组件及完整关系对应，并以成对辅助目标更新共享生成表示。训练机制由此连接了表达改写、标注迁移和参数学习，实验分析则分别检验标签可靠性、学习增量、中心选择与构造成本。新增方法的实测结果仍待接入，当前占位数值与构造案例仅用于说明比较和分析口径。结构保持不保证语义保持，辅助一致性也不等于生成正确率；这些限制决定了审计与真实测试评价必须共同参与判断。下一章保持输入文本不变，研究预测组件及其依赖关系的联合修正。</w:t>
      </w:r>
    </w:p>
    <w:p>
      <w:pPr>
        <w:pStyle w:val="Heading1"/>
      </w:pPr>
      <w:r>
        <w:t>第四章 多候选驱动的依赖闭合论辩图修正</w:t>
      </w:r>
      <w:bookmarkStart w:id="63" w:name="v3_63"/>
      <w:bookmarkEnd w:id="63"/>
    </w:p>
    <w:p>
      <w:pPr>
        <w:pStyle w:val="Heading2"/>
      </w:pPr>
      <w:r>
        <w:t>4.1 引言</w:t>
      </w:r>
      <w:bookmarkStart w:id="64" w:name="v3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6" name="repair.png" descr="组件变更与关系重建的整体决策。机制示意，非实测案例。"/>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55" w:name="v3_155"/>
      <w:bookmarkEnd w:id="155"/>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3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3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3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3_68"/>
      <w:bookmarkEnd w:id="68"/>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候选构建必须包含合法化后初始图的全部对象，不能只保留合法化前的原始候选。字符坐标、评价token及模型子词分别维护映射；跨度编码遵循2.2.2节及附录A.1的坐标接口，评价不直接使用模型子词编号。</w:t>
      </w:r>
    </w:p>
    <w:p>
      <w:pPr>
        <w:pStyle w:val="Heading3"/>
      </w:pPr>
      <w:r>
        <w:t>4.2.4 完整关系候选与无边状态</w:t>
      </w:r>
      <w:bookmarkStart w:id="69" w:name="v3_69"/>
      <w:bookmarkEnd w:id="69"/>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4.3 组件集合替换与受影响关系重建</w:t>
      </w:r>
      <w:bookmarkStart w:id="70" w:name="v3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3_71"/>
      <w:bookmarkEnd w:id="71"/>
    </w:p>
    <w:p>
      <w:pPr>
        <w:keepNext/>
      </w:pPr>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3_72"/>
      <w:bookmarkEnd w:id="72"/>
    </w:p>
    <w:p>
      <w:r>
        <w:rPr>
          <w:rFonts w:ascii="Times New Roman" w:hAnsi="Times New Roman" w:eastAsia="Songti SC"/>
          <w:color w:val="000000"/>
        </w:rPr>
        <w:t>“依赖闭合”在本章指：组件对象被删除或替换后，将所有引用它的关系以及新对象可能参与的关系一起纳入决策，避免只评估组件本身而遗漏关系损失。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3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3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3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初始配置采用训练内三折OOF，折划分与开发集用途按2.6节记录。OOF生成器的训练规模小于最终生成器，候选分布可能发生变化，因此校准部分还需检查最终生成器产生的候选。候选级校准并不直接保证被搜索选中的动作可靠；4.6.4和4.6.5节进一步区分有益、中性和有害修改，检验选择后偏差与多轮误改。</w:t>
      </w:r>
    </w:p>
    <w:p>
      <w:pPr>
        <w:pStyle w:val="Heading3"/>
      </w:pPr>
      <w:r>
        <w:t>4.4.3 固定计数效用</w:t>
      </w:r>
      <w:bookmarkStart w:id="76" w:name="v3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3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8" w:name="v3_78"/>
      <w:bookmarkEnd w:id="78"/>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79" w:name="v3_79"/>
      <w:bookmarkEnd w:id="79"/>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0" w:name="v3_80"/>
      <w:bookmarkEnd w:id="80"/>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4.5.2 有界执行、原子提交与回退</w:t>
      </w:r>
      <w:bookmarkStart w:id="81" w:name="v3_81"/>
      <w:bookmarkEnd w:id="81"/>
    </w:p>
    <w:p>
      <w:r>
        <w:rPr>
          <w:rFonts w:ascii="Times New Roman" w:hAnsi="Times New Roman" w:eastAsia="Songti SC"/>
          <w:color w:val="000000"/>
        </w:rPr>
        <w:t>候选分歧、边界不确定性、跨度头补充区域和关系不确定性用于组织有限提议队列；优先级仅决定搜索顺序，不代替接受依据。初始设计为每轮最多32个提议、最多接受3次事务，求解时间上限在硬件小试后冻结。最大轮数以及全程的提议、调用、token和累计编辑预算均须在运行前确定，并与每轮额度分别计数。这些取值属于待检验的工程配置。</w:t>
      </w:r>
    </w:p>
    <w:p>
      <w:pPr>
        <w:pStyle w:val="AlgorithmCaption"/>
      </w:pPr>
      <w:r>
        <w:rPr>
          <w:rFonts w:ascii="Times New Roman" w:hAnsi="Times New Roman" w:eastAsia="Songti SC"/>
          <w:color w:val="000000"/>
          <w:sz w:val="21"/>
        </w:rPr>
        <w:t>算法4-1 多候选驱动的依赖闭合修正</w:t>
      </w:r>
      <w:bookmarkStart w:id="156" w:name="v3_156"/>
      <w:bookmarkEnd w:id="156"/>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输入：文档 x、K 个候选图、候选与评分配置、各项有限预算。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 G 或初始化失败状态，以及完整运行记录。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初始化全程尝试、接受、调用、token、时间和编辑计数及运行记录。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color w:val="000000"/>
          <w:sz w:val="21"/>
        </w:rPr>
        <w:t>以原 MCR 选择候选，执行共用合法化，得到 G0；记录已发生成本。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03</w:t>
        <w:tab/>
      </w:r>
      <w:r>
        <w:rPr>
          <w:rFonts w:ascii="Times New Roman" w:hAnsi="Times New Roman" w:eastAsia="Songti SC"/>
          <w:b/>
          <w:color w:val="000000"/>
          <w:sz w:val="21"/>
        </w:rPr>
        <w:t>if</w:t>
      </w:r>
      <w:r>
        <w:rPr>
          <w:rFonts w:ascii="Times New Roman" w:hAnsi="Times New Roman" w:eastAsia="Songti SC"/>
          <w:color w:val="000000"/>
          <w:sz w:val="21"/>
        </w:rPr>
        <w:t xml:space="preserve"> 合法化失败 </w:t>
      </w:r>
      <w:r>
        <w:rPr>
          <w:rFonts w:ascii="Times New Roman" w:hAnsi="Times New Roman" w:eastAsia="Songti SC"/>
          <w:b/>
          <w:color w:val="000000"/>
          <w:sz w:val="21"/>
        </w:rPr>
        <w:t>then</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记录失败原因与成本；</w:t>
      </w:r>
      <w:r>
        <w:rPr>
          <w:rFonts w:ascii="Times New Roman" w:hAnsi="Times New Roman" w:eastAsia="Songti SC"/>
          <w:b/>
          <w:color w:val="000000"/>
          <w:sz w:val="21"/>
        </w:rPr>
        <w:t>return</w:t>
      </w:r>
      <w:r>
        <w:rPr>
          <w:rFonts w:ascii="Times New Roman" w:hAnsi="Times New Roman" w:eastAsia="Songti SC"/>
          <w:color w:val="000000"/>
          <w:sz w:val="21"/>
        </w:rPr>
        <w:t xml:space="preserve"> 显式初始化失败状态及运行记录。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b/>
          <w:color w:val="000000"/>
          <w:sz w:val="21"/>
        </w:rPr>
        <w:t>end if</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G ← G0；构建并冻结 U、P、对象分、代价和接受阈值。</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计入候选构造及评分的全部成本；stop ← false。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for</w:t>
      </w:r>
      <w:r>
        <w:rPr>
          <w:rFonts w:ascii="Times New Roman" w:hAnsi="Times New Roman" w:eastAsia="Songti SC"/>
          <w:color w:val="000000"/>
          <w:sz w:val="21"/>
        </w:rPr>
        <w:t xml:space="preserve"> round = 1, …, 最大轮数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if</w:t>
      </w:r>
      <w:r>
        <w:rPr>
          <w:rFonts w:ascii="Times New Roman" w:hAnsi="Times New Roman" w:eastAsia="Songti SC"/>
          <w:color w:val="000000"/>
          <w:sz w:val="21"/>
        </w:rPr>
        <w:t xml:space="preserve"> stop 或发生中断或全程预算耗尽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color w:val="000000"/>
          <w:sz w:val="21"/>
        </w:rPr>
        <w:t>记录停止原因；</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11</w:t>
        <w:tab/>
      </w:r>
      <w:r>
        <w:rPr>
          <w:rFonts w:ascii="Times New Roman" w:hAnsi="Times New Roman" w:eastAsia="Songti SC"/>
          <w:b/>
          <w:color w:val="000000"/>
          <w:sz w:val="21"/>
        </w:rPr>
        <w:t>end if</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12</w:t>
        <w:tab/>
      </w:r>
      <w:r>
        <w:rPr>
          <w:rFonts w:ascii="Times New Roman" w:hAnsi="Times New Roman" w:eastAsia="Songti SC"/>
          <w:color w:val="000000"/>
          <w:sz w:val="21"/>
        </w:rPr>
        <w:t>重置本轮尝试与接受计数。</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13</w:t>
        <w:tab/>
      </w:r>
      <w:r>
        <w:rPr>
          <w:rFonts w:ascii="Times New Roman" w:hAnsi="Times New Roman" w:eastAsia="Songti SC"/>
          <w:b/>
          <w:color w:val="000000"/>
          <w:sz w:val="21"/>
        </w:rPr>
        <w:t>while</w:t>
      </w:r>
      <w:r>
        <w:rPr>
          <w:rFonts w:ascii="Times New Roman" w:hAnsi="Times New Roman" w:eastAsia="Songti SC"/>
          <w:color w:val="000000"/>
          <w:sz w:val="21"/>
        </w:rPr>
        <w:t xml:space="preserve"> 本轮提议与接受额度未耗尽，且全程资源允许、未中断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生成当前状态的有限提议队列 Q，并计入构造成本。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color w:val="000000"/>
          <w:sz w:val="21"/>
        </w:rPr>
        <w:t>设置独立回退项 Gnoop ← G；合格事务集合 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16</w:t>
        <w:tab/>
      </w:r>
      <w:r>
        <w:rPr>
          <w:rFonts w:ascii="Times New Roman" w:hAnsi="Times New Roman" w:eastAsia="Songti SC"/>
          <w:b/>
          <w:color w:val="000000"/>
          <w:sz w:val="21"/>
        </w:rPr>
        <w:t>for</w:t>
      </w:r>
      <w:r>
        <w:rPr>
          <w:rFonts w:ascii="Times New Roman" w:hAnsi="Times New Roman" w:eastAsia="Songti SC"/>
          <w:color w:val="000000"/>
          <w:sz w:val="21"/>
        </w:rPr>
        <w:t xml:space="preserve"> 提议 (D0, B, SR) ∈ Q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b/>
          <w:color w:val="000000"/>
          <w:sz w:val="21"/>
        </w:rPr>
        <w:t>if</w:t>
      </w:r>
      <w:r>
        <w:rPr>
          <w:rFonts w:ascii="Times New Roman" w:hAnsi="Times New Roman" w:eastAsia="Songti SC"/>
          <w:color w:val="000000"/>
          <w:sz w:val="21"/>
        </w:rPr>
        <w:t xml:space="preserve"> 发生中断或本次尝试所需额度不足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18</w:t>
        <w:tab/>
      </w:r>
      <w:r>
        <w:rPr>
          <w:rFonts w:ascii="Times New Roman" w:hAnsi="Times New Roman" w:eastAsia="Songti SC"/>
          <w:color w:val="000000"/>
          <w:sz w:val="21"/>
        </w:rPr>
        <w:t>记录队列提前停止及原因；</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color w:val="000000"/>
          <w:sz w:val="21"/>
        </w:rPr>
        <w:t>登记本次尝试；在 G 的副本中抵消相同对象并完成冲突闭合。</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b/>
          <w:color w:val="000000"/>
          <w:sz w:val="21"/>
        </w:rPr>
        <w:t>if</w:t>
      </w:r>
      <w:r>
        <w:rPr>
          <w:rFonts w:ascii="Times New Roman" w:hAnsi="Times New Roman" w:eastAsia="Songti SC"/>
          <w:color w:val="000000"/>
          <w:sz w:val="21"/>
        </w:rPr>
        <w:t xml:space="preserve"> B 内部不兼容或闭合后的组件成本超限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22</w:t>
        <w:tab/>
      </w:r>
      <w:r>
        <w:rPr>
          <w:rFonts w:ascii="Times New Roman" w:hAnsi="Times New Roman" w:eastAsia="Songti SC"/>
          <w:color w:val="000000"/>
          <w:sz w:val="21"/>
        </w:rPr>
        <w:t>丢弃副本并记录拒绝原因；</w:t>
      </w:r>
      <w:r>
        <w:rPr>
          <w:rFonts w:ascii="Times New Roman" w:hAnsi="Times New Roman" w:eastAsia="Songti SC"/>
          <w:b/>
          <w:color w:val="000000"/>
          <w:sz w:val="21"/>
        </w:rPr>
        <w:t>continue</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23</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24</w:t>
        <w:tab/>
      </w:r>
      <w:r>
        <w:rPr>
          <w:rFonts w:ascii="Times New Roman" w:hAnsi="Times New Roman" w:eastAsia="Songti SC"/>
          <w:color w:val="000000"/>
          <w:sz w:val="21"/>
        </w:rPr>
        <w:t>构造 C' 及全部受影响入边、出边和 NONE 槽位的事务域。</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25</w:t>
        <w:tab/>
      </w:r>
      <w:r>
        <w:rPr>
          <w:rFonts w:ascii="Times New Roman" w:hAnsi="Times New Roman" w:eastAsia="Songti SC"/>
          <w:color w:val="000000"/>
          <w:sz w:val="21"/>
        </w:rPr>
        <w:t>固定事务外关系，将整图约束、分项门、严格总效用门和剩余预算加入 ILP。</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26</w:t>
        <w:tab/>
      </w:r>
      <w:r>
        <w:rPr>
          <w:rFonts w:ascii="Times New Roman" w:hAnsi="Times New Roman" w:eastAsia="Songti SC"/>
          <w:color w:val="000000"/>
          <w:sz w:val="21"/>
        </w:rPr>
        <w:t>求解受约束补全；累计实际调用、token及时间，记录求解状态。</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27</w:t>
        <w:tab/>
      </w:r>
      <w:r>
        <w:rPr>
          <w:rFonts w:ascii="Times New Roman" w:hAnsi="Times New Roman" w:eastAsia="Songti SC"/>
          <w:b/>
          <w:color w:val="000000"/>
          <w:sz w:val="21"/>
        </w:rPr>
        <w:t>if</w:t>
      </w:r>
      <w:r>
        <w:rPr>
          <w:rFonts w:ascii="Times New Roman" w:hAnsi="Times New Roman" w:eastAsia="Songti SC"/>
          <w:color w:val="000000"/>
          <w:sz w:val="21"/>
        </w:rPr>
        <w:t xml:space="preserve"> 未得到可行解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28</w:t>
        <w:tab/>
      </w:r>
      <w:r>
        <w:rPr>
          <w:rFonts w:ascii="Times New Roman" w:hAnsi="Times New Roman" w:eastAsia="Songti SC"/>
          <w:color w:val="000000"/>
          <w:sz w:val="21"/>
        </w:rPr>
        <w:t>丢弃副本；区分不可行、超时无解及求解失败；</w:t>
      </w:r>
      <w:r>
        <w:rPr>
          <w:rFonts w:ascii="Times New Roman" w:hAnsi="Times New Roman" w:eastAsia="Songti SC"/>
          <w:b/>
          <w:color w:val="000000"/>
          <w:sz w:val="21"/>
        </w:rPr>
        <w:t>continue</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29</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30</w:t>
        <w:tab/>
      </w:r>
      <w:r>
        <w:rPr>
          <w:rFonts w:ascii="Times New Roman" w:hAnsi="Times New Roman" w:eastAsia="Songti SC"/>
          <w:color w:val="000000"/>
          <w:sz w:val="21"/>
        </w:rPr>
        <w:t>取最优解或可行 incumbent，复核整图合法性和完整编辑成本。</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31</w:t>
        <w:tab/>
      </w:r>
      <w:r>
        <w:rPr>
          <w:rFonts w:ascii="Times New Roman" w:hAnsi="Times New Roman" w:eastAsia="Songti SC"/>
          <w:b/>
          <w:color w:val="000000"/>
          <w:sz w:val="21"/>
        </w:rPr>
        <w:t>if</w:t>
      </w:r>
      <w:r>
        <w:rPr>
          <w:rFonts w:ascii="Times New Roman" w:hAnsi="Times New Roman" w:eastAsia="Songti SC"/>
          <w:color w:val="000000"/>
          <w:sz w:val="21"/>
        </w:rPr>
        <w:t xml:space="preserve"> 整图合法、完整编辑成本在预算内，且两分项均不降、总增益大于δ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32</w:t>
        <w:tab/>
      </w:r>
      <w:r>
        <w:rPr>
          <w:rFonts w:ascii="Times New Roman" w:hAnsi="Times New Roman" w:eastAsia="Songti SC"/>
          <w:color w:val="000000"/>
          <w:sz w:val="21"/>
        </w:rPr>
        <w:t>将通过全部复核的完整候选状态及求解间隙加入 H。</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33</w:t>
        <w:tab/>
      </w:r>
      <w:r>
        <w:rPr>
          <w:rFonts w:ascii="Times New Roman" w:hAnsi="Times New Roman" w:eastAsia="Songti SC"/>
          <w:b/>
          <w:color w:val="000000"/>
          <w:sz w:val="21"/>
        </w:rPr>
        <w:t>else</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34</w:t>
        <w:tab/>
      </w:r>
      <w:r>
        <w:rPr>
          <w:rFonts w:ascii="Times New Roman" w:hAnsi="Times New Roman" w:eastAsia="Songti SC"/>
          <w:color w:val="000000"/>
          <w:sz w:val="21"/>
        </w:rPr>
        <w:t>丢弃副本并记录拒绝原因，保持 G 不变。</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ContinuationCaption"/>
        <w:keepNext/>
        <w:pageBreakBefore/>
      </w:pPr>
      <w:r>
        <w:t>算法4-1（续）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37</w:t>
        <w:tab/>
      </w:r>
      <w:r>
        <w:rPr>
          <w:rFonts w:ascii="Times New Roman" w:hAnsi="Times New Roman" w:eastAsia="Songti SC"/>
          <w:b/>
          <w:color w:val="000000"/>
          <w:sz w:val="21"/>
        </w:rPr>
        <w:t>if</w:t>
      </w:r>
      <w:r>
        <w:rPr>
          <w:rFonts w:ascii="Times New Roman" w:hAnsi="Times New Roman" w:eastAsia="Songti SC"/>
          <w:color w:val="000000"/>
          <w:sz w:val="21"/>
        </w:rPr>
        <w:t xml:space="preserve"> H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38</w:t>
        <w:tab/>
      </w:r>
      <w:r>
        <w:rPr>
          <w:rFonts w:ascii="Times New Roman" w:hAnsi="Times New Roman" w:eastAsia="Songti SC"/>
          <w:color w:val="000000"/>
          <w:sz w:val="21"/>
        </w:rPr>
        <w:t>选择 no-op 并保留 Gnoop；记录队列是否完整遍历；stop ← true。</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39</w:t>
        <w:tab/>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40</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41</w:t>
        <w:tab/>
      </w:r>
      <w:r>
        <w:rPr>
          <w:rFonts w:ascii="Times New Roman" w:hAnsi="Times New Roman" w:eastAsia="Songti SC"/>
          <w:color w:val="000000"/>
          <w:sz w:val="21"/>
        </w:rPr>
        <w:t>从 H 选取总效用最高者 G*；依次以较少编辑和规范化语义键破同分。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42</w:t>
        <w:tab/>
      </w:r>
      <w:r>
        <w:rPr>
          <w:rFonts w:ascii="Times New Roman" w:hAnsi="Times New Roman" w:eastAsia="Songti SC"/>
          <w:b/>
          <w:color w:val="000000"/>
          <w:sz w:val="21"/>
        </w:rPr>
        <w:t>if</w:t>
      </w:r>
      <w:r>
        <w:rPr>
          <w:rFonts w:ascii="Times New Roman" w:hAnsi="Times New Roman" w:eastAsia="Songti SC"/>
          <w:color w:val="000000"/>
          <w:sz w:val="21"/>
        </w:rPr>
        <w:t xml:space="preserve"> 发生中断或提交所需剩余额度不足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43</w:t>
        <w:tab/>
      </w:r>
      <w:r>
        <w:rPr>
          <w:rFonts w:ascii="Times New Roman" w:hAnsi="Times New Roman" w:eastAsia="Songti SC"/>
          <w:color w:val="000000"/>
          <w:sz w:val="21"/>
        </w:rPr>
        <w:t>保留 Gnoop，记录停止原因；stop ← true；</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44</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45</w:t>
        <w:tab/>
      </w:r>
      <w:r>
        <w:rPr>
          <w:rFonts w:ascii="Times New Roman" w:hAnsi="Times New Roman" w:eastAsia="Songti SC"/>
          <w:color w:val="000000"/>
          <w:sz w:val="21"/>
        </w:rPr>
        <w:t>对 G* 执行原子提交；提交未完成时完整回滚至 Gnoop。</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46</w:t>
        <w:tab/>
      </w:r>
      <w:r>
        <w:rPr>
          <w:rFonts w:ascii="Times New Roman" w:hAnsi="Times New Roman" w:eastAsia="Songti SC"/>
          <w:b/>
          <w:color w:val="000000"/>
          <w:sz w:val="21"/>
        </w:rPr>
        <w:t>if</w:t>
      </w:r>
      <w:r>
        <w:rPr>
          <w:rFonts w:ascii="Times New Roman" w:hAnsi="Times New Roman" w:eastAsia="Songti SC"/>
          <w:color w:val="000000"/>
          <w:sz w:val="21"/>
        </w:rPr>
        <w:t xml:space="preserve"> 提交未完成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47</w:t>
        <w:tab/>
      </w:r>
      <w:r>
        <w:rPr>
          <w:rFonts w:ascii="Times New Roman" w:hAnsi="Times New Roman" w:eastAsia="Songti SC"/>
          <w:color w:val="000000"/>
          <w:sz w:val="21"/>
        </w:rPr>
        <w:t>记录回滚与中断原因；stop ← true；</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48</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49</w:t>
        <w:tab/>
      </w:r>
      <w:r>
        <w:rPr>
          <w:rFonts w:ascii="Times New Roman" w:hAnsi="Times New Roman" w:eastAsia="Songti SC"/>
          <w:color w:val="000000"/>
          <w:sz w:val="21"/>
        </w:rPr>
        <w:t>G ← G*；更新本轮与全程接受数、累计编辑数，计入提交成本。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50</w:t>
        <w:tab/>
      </w:r>
      <w:r>
        <w:rPr>
          <w:rFonts w:ascii="Times New Roman" w:hAnsi="Times New Roman" w:eastAsia="Songti SC"/>
          <w:color w:val="000000"/>
          <w:sz w:val="21"/>
        </w:rPr>
        <w:t>记录删增对象、效用差、剩余预算和求解间隙。</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51</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52</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53</w:t>
        <w:tab/>
      </w:r>
      <w:r>
        <w:rPr>
          <w:rFonts w:ascii="Times New Roman" w:hAnsi="Times New Roman" w:eastAsia="Songti SC"/>
          <w:color w:val="000000"/>
          <w:sz w:val="21"/>
        </w:rPr>
        <w:t>记录轮数上限、额度耗尽、中断或 no-op 等实际停止原因。</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54</w:t>
        <w:tab/>
      </w:r>
      <w:r>
        <w:rPr>
          <w:rFonts w:ascii="Times New Roman" w:hAnsi="Times New Roman" w:eastAsia="Songti SC"/>
          <w:b/>
          <w:color w:val="000000"/>
          <w:sz w:val="21"/>
        </w:rPr>
        <w:t>return</w:t>
      </w:r>
      <w:r>
        <w:rPr>
          <w:rFonts w:ascii="Times New Roman" w:hAnsi="Times New Roman" w:eastAsia="Songti SC"/>
          <w:color w:val="000000"/>
          <w:sz w:val="21"/>
        </w:rPr>
        <w:t xml:space="preserve"> 最后完整合法图 G 及全部尝试、拒绝、回滚和提交记录。</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7" name="bounded_execution.png" descr="候选生成至有界事务接受的执行流程。机制示意，非实测案例。"/>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57" w:name="v3_157"/>
      <w:bookmarkEnd w:id="157"/>
    </w:p>
    <w:p>
      <w:r>
        <w:rPr>
          <w:rFonts w:ascii="Times New Roman" w:hAnsi="Times New Roman" w:eastAsia="Songti SC"/>
          <w:color w:val="000000"/>
        </w:rPr>
        <w:t>图4-2对应算法4-1。完整候选生成、原MCR选择及共用合法化沿用前期接口；固定候选宇宙、对象评分、集合事务及局部补全构成本章联合修正流程。实线表示候选、对象和图状态的数据传递，控制箭头表示预算判断、接受、回退和再次提议。图中所有模型参数在推理时冻结，无训练梯度或参数更新；被拒绝与超时的尝试仍计入成本。只有通过复核的完整事务进入当前状态。</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3"/>
      </w:pPr>
      <w:r>
        <w:t>4.5.3 固定评分下的精确差值</w:t>
      </w:r>
      <w:bookmarkStart w:id="82" w:name="v3_82"/>
      <w:bookmarkEnd w:id="82"/>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3" w:name="v3_83"/>
      <w:bookmarkEnd w:id="83"/>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4" w:name="v3_84"/>
      <w:bookmarkEnd w:id="84"/>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5" w:name="v3_85"/>
      <w:bookmarkEnd w:id="85"/>
    </w:p>
    <w:p>
      <w:r>
        <w:rPr>
          <w:rFonts w:ascii="Times New Roman" w:hAnsi="Times New Roman" w:eastAsia="Songti SC"/>
          <w:color w:val="000000"/>
        </w:rPr>
        <w:t>本章实验检验组件集合替换与关系重建是否产生可归因的恢复收益，并分析其成立条件。主比较固定第三章完整训练方案T1的生成检查点；I0表示只执行MCR初始选择的推理配置。候选、评分和搜索分别诊断，组件与关系的严格指标、错误修改和全部计算成本共同决定方法的适用范围。真实结果按2.6节的统计协议报告；以下四张P后缀结果表保留为非实测分析框架。</w:t>
      </w:r>
    </w:p>
    <w:p>
      <w:pPr>
        <w:pStyle w:val="Heading3"/>
      </w:pPr>
      <w:r>
        <w:t>4.6.1 推理协议与方法对照</w:t>
      </w:r>
      <w:bookmarkStart w:id="86" w:name="v3_86"/>
      <w:bookmarkEnd w:id="86"/>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顺序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58" w:name="v3_158"/>
      <w:bookmarkEnd w:id="15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顺序修正检验先提交组件再重建关系的决策顺序；单对象动作检验集合替换的可达性；两者均不能代替完整BR-J。前期BR-O、BR-C结果单列于附录E，不归入BR-J。</w:t>
      </w:r>
    </w:p>
    <w:p>
      <w:pPr>
        <w:pStyle w:val="TableCaption"/>
      </w:pPr>
      <w:r>
        <w:rPr>
          <w:rFonts w:ascii="Times New Roman" w:hAnsi="Times New Roman" w:eastAsia="Songti SC"/>
          <w:color w:val="000000"/>
          <w:sz w:val="21"/>
        </w:rPr>
        <w:t>表4-2 推理侧对照及归因</w:t>
      </w:r>
      <w:bookmarkStart w:id="159" w:name="v3_159"/>
      <w:bookmarkEnd w:id="15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顺序修正与BR-J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同一候选宇宙、评分及动作预算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是否需要联合判断后再提交</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分步拒绝或提交造成的不可达与误改</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专门修正机制的成本效益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充分求解的全局效用构成相应局部解的上界；比较须同时报告等时间预算下的可行解、求解间隙及充分求解结果。不加分项门或采用其他净预算的版本另列。</w:t>
      </w:r>
    </w:p>
    <w:p>
      <w:r>
        <w:rPr>
          <w:rFonts w:ascii="Times New Roman" w:hAnsi="Times New Roman" w:eastAsia="Songti SC"/>
          <w:color w:val="000000"/>
        </w:rPr>
        <w:t>局部事务的价值通过有限算力下的修正质量、过程可审计性与成本衡量。即使局部结果的真实F1高于全局解，也只能结合代理目标偏差解释，不能据此声称其效用超越相同目标的全局最优。本节后续数值表均为分析框架，所有P后缀数值均属人为设置的非实测占位，不据此得出性能、风险或效率结论。</w:t>
      </w:r>
    </w:p>
    <w:p>
      <w:pPr>
        <w:pStyle w:val="Heading3"/>
      </w:pPr>
      <w:r>
        <w:t>4.6.2 组件与关系联合修正的独立作用</w:t>
      </w:r>
      <w:bookmarkStart w:id="87" w:name="v3_87"/>
      <w:bookmarkEnd w:id="87"/>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r>
        <w:rPr>
          <w:rFonts w:ascii="Times New Roman" w:hAnsi="Times New Roman" w:eastAsia="Songti SC"/>
          <w:color w:val="000000"/>
        </w:rPr>
        <w:t>表4-3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pStyle w:val="TableCaption"/>
      </w:pPr>
      <w:r>
        <w:rPr>
          <w:rFonts w:ascii="Times New Roman" w:hAnsi="Times New Roman" w:eastAsia="Songti SC"/>
          <w:color w:val="000000"/>
          <w:sz w:val="21"/>
        </w:rPr>
        <w:t>表4-3 推理侧比较的预期情景占位</w:t>
      </w:r>
      <w:bookmarkStart w:id="160" w:name="v3_160"/>
      <w:bookmarkEnd w:id="16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4.6.3 候选覆盖与预算内可达性</w:t>
      </w:r>
      <w:bookmarkStart w:id="88" w:name="v3_88"/>
      <w:bookmarkEnd w:id="88"/>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表4-4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pStyle w:val="TableCaption"/>
      </w:pPr>
      <w:r>
        <w:rPr>
          <w:rFonts w:ascii="Times New Roman" w:hAnsi="Times New Roman" w:eastAsia="Songti SC"/>
          <w:color w:val="000000"/>
          <w:sz w:val="21"/>
        </w:rPr>
        <w:t>表4-4 候选与可达性诊断的预期情景占位</w:t>
      </w:r>
      <w:bookmarkStart w:id="161" w:name="v3_161"/>
      <w:bookmarkEnd w:id="16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2835"/>
        <w:gridCol w:w="3289"/>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候选诊断图预留“覆盖—可达—实际恢复”的真实数据位置。覆盖面板接入金标组件数、严格命中候选数、全部关系端点齐备数、完整关系候选数及资源裁剪数量；恢复面板接入初始、单轮Oracle、多轮Oracle、全局可行Oracle和BR-J的严格关系F1。两个面板分别展示覆盖比例与任务指标，避免将二者连接为同一数量变化。每个数据点同时绑定文档集合、候选缓存、邻域和预算，CDCP按超边元数分层。当前缺少对应预测与求解记录，不以表4-4的P后缀占位数值绘制实测图或区间。</w:t>
      </w:r>
    </w:p>
    <w:p>
      <w:pPr>
        <w:pStyle w:val="Heading3"/>
      </w:pPr>
      <w:r>
        <w:t>4.6.4 完整对象评分的可靠性</w:t>
      </w:r>
      <w:bookmarkStart w:id="89" w:name="v3_89"/>
      <w:bookmarkEnd w:id="89"/>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表4-5采用固定提案集合开展评分诊断，不让不同评分器通过各自搜索产生难度不同的提案。评分器在训练文档内部交叉拟合预测上学习，校准和策略选择按2.6节划分；表中的接受可靠性还需在真实搜索选出的事务上单独报告，不能从固定提案诊断直接推出。</w:t>
      </w:r>
    </w:p>
    <w:p>
      <w:pPr>
        <w:pStyle w:val="TableCaption"/>
      </w:pPr>
      <w:r>
        <w:rPr>
          <w:rFonts w:ascii="Times New Roman" w:hAnsi="Times New Roman" w:eastAsia="Songti SC"/>
          <w:color w:val="000000"/>
          <w:sz w:val="21"/>
        </w:rPr>
        <w:t>表4-5 固定提案评分诊断的预期情景占位</w:t>
      </w:r>
      <w:bookmarkStart w:id="162" w:name="v3_162"/>
      <w:bookmarkEnd w:id="16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1531"/>
        <w:gridCol w:w="1531"/>
        <w:gridCol w:w="1531"/>
        <w:gridCol w:w="1531"/>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评分方式</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关系</w:t>
              <w:br/>
              <w:t>Brier</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超边</w:t>
              <w:br/>
              <w:t>Brier</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r>
        <w:rPr>
          <w:rFonts w:ascii="Times New Roman" w:hAnsi="Times New Roman" w:eastAsia="Songti SC"/>
          <w:color w:val="000000"/>
        </w:rPr>
        <w:t>评分可靠性图以冻结评分器在独立评估文档上的真实预测为输入。待接入字段包括完整对象语义键、来源、预测概率、严格正确标签、分箱边界、箱内样本量、平均预测概率和经验正确率，并关联相应的统计区间。组件、二元关系与原生超边分别作图，模型自然错误与构造扰动分别统计；分箱规则在观察测试结果前固定。另在真实搜索已接受事务中接入两项效用差、总效用差与实际TP/FP/FN变化，展示候选级校准和接受后可靠性之间的差别。上述图位等待真实记录，不从占位AUROC或Brier反推样本。</w:t>
      </w:r>
    </w:p>
    <w:p>
      <w:pPr>
        <w:pStyle w:val="Heading3"/>
      </w:pPr>
      <w:r>
        <w:t>4.6.5 误改风险与计算预算</w:t>
      </w:r>
      <w:bookmarkStart w:id="90" w:name="v3_90"/>
      <w:bookmarkEnd w:id="90"/>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表4-6采用T1下的AAEC同候选同评分比较，CDCP按相同字段单列，并按超边元数分层。接受单元定义为算法一次完整提交；为避免顺序方法与事务方法的分组粒度不同造成误导，还必须报告固定文档级的净TP/FP/FN及编辑数，不能仅比较单元比例。</w:t>
      </w:r>
    </w:p>
    <w:p>
      <w:pPr>
        <w:pStyle w:val="TableCaption"/>
      </w:pPr>
      <w:r>
        <w:rPr>
          <w:rFonts w:ascii="Times New Roman" w:hAnsi="Times New Roman" w:eastAsia="Songti SC"/>
          <w:color w:val="000000"/>
          <w:sz w:val="21"/>
        </w:rPr>
        <w:t>表4-6 AAEC风险与成本的预期情景占位</w:t>
      </w:r>
      <w:bookmarkStart w:id="163" w:name="v3_163"/>
      <w:bookmarkEnd w:id="16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预测效用</w:t>
              <w:br/>
              <w:t>增量</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正式成本表同时列出实际硬件、token、调用、训练时间及峰值显存。预算曲线预留实际总调用数、输入输出token及端到端时延三个资源坐标，分别对应严格组件和关系F1、有害提交率、接受总量、无修改文档比例和文档覆盖率；CDCP同时记录超边元数。各预算点使用相同候选与评分身份，并记录失败尝试、求解间隙和最优性状态。统计区间来自真实重复或预先规定的抽样，不从P后缀比例反推事务计数，也不将占位时延比换算为秒数。</w:t>
      </w:r>
    </w:p>
    <w:p>
      <w:pPr>
        <w:pStyle w:val="Heading3"/>
      </w:pPr>
      <w:r>
        <w:t>4.6.6 真实案例的对照与失败分析</w:t>
      </w:r>
      <w:bookmarkStart w:id="91" w:name="v3_91"/>
      <w:bookmarkEnd w:id="91"/>
    </w:p>
    <w:p>
      <w:r>
        <w:rPr>
          <w:rFonts w:ascii="Times New Roman" w:hAnsi="Times New Roman" w:eastAsia="Songti SC"/>
          <w:color w:val="000000"/>
        </w:rPr>
        <w:t>真实案例从独立测试记录中按预先固定的误差类别和抽样规则选取，覆盖成功恢复、错误接受、错误拒绝、候选不可达和预算耗尽。图4-1的图书馆片段仅为人为构造的机制示意；本节真实案例仍待接入文档、预测与运行日志。</w:t>
      </w:r>
    </w:p>
    <w:p>
      <w:r>
        <w:rPr>
          <w:rFonts w:ascii="Times New Roman" w:hAnsi="Times New Roman" w:eastAsia="Songti SC"/>
          <w:color w:val="000000"/>
        </w:rPr>
        <w:t>成功恢复重点考察组件插入和边界替换两类情形。对于遗漏组件，先检查其是否由其他生成假设或独立跨度头纳入固定候选，再检查涉及该组件的完整关系是否能够合法共存，最后核对联合事务是否实际提交并新增正确对象。对于边界替换，比较顺序策略与BR-J如何处理旧端点失效及新关系重建，并同时核对原正确对象的保留情况。候选存在、事务接受和真实恢复分别构成三个分析环节。</w:t>
      </w:r>
    </w:p>
    <w:p>
      <w:r>
        <w:rPr>
          <w:rFonts w:ascii="Times New Roman" w:hAnsi="Times New Roman" w:eastAsia="Songti SC"/>
          <w:color w:val="000000"/>
        </w:rPr>
        <w:t>失败分析按发生环节展开：候选不可达区分所需组件或完整超边缺失与所需组合超出当前邻域；错误接受对应代理门通过而真实对象受损；错误拒绝对应合法且真实有益的候选状态被代理门限排除；预算耗尽则记录尚未完成的尝试及最终返回状态。分项门拒绝只说明代理代价条件未满足，不能直接作为真实有害的判断；通过全部代理门限也不保证真实F1提高。</w:t>
      </w:r>
    </w:p>
    <w:p>
      <w:r>
        <w:rPr>
          <w:rFonts w:ascii="Times New Roman" w:hAnsi="Times New Roman" w:eastAsia="Songti SC"/>
          <w:color w:val="000000"/>
        </w:rPr>
        <w:t>每例均采用附录B.5的统一六字段记录，保存同条件顺序与联合对照、删增对象、代理判断、真实TP/FP/FN变化及失败原因。缺少一侧日志时标记待对照运行，不以机制示意或P后缀数值补填。案例用于解释恢复或失效的具体环节，总体效果由主结果、受控比较及风险统计判断；真实数据接入时同步更新表、图与相邻分析。</w:t>
      </w:r>
    </w:p>
    <w:p>
      <w:pPr>
        <w:pStyle w:val="Heading2"/>
      </w:pPr>
      <w:r>
        <w:t>4.7 本章小结</w:t>
      </w:r>
      <w:bookmarkStart w:id="92" w:name="v3_92"/>
      <w:bookmarkEnd w:id="92"/>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r>
        <w:rPr>
          <w:rFonts w:ascii="Times New Roman" w:hAnsi="Times New Roman" w:eastAsia="Songti SC"/>
          <w:color w:val="000000"/>
        </w:rPr>
        <w:t>本章的实验设计分别检验候选覆盖、对象评分和事务搜索，并通过顺序修正、仅关系修改及同目标全局ILP明确归因边界。候选诊断与真实案例定位恢复受阻的环节，风险和预算评价则检验额外修改是否值得采用。现有P后缀数值和人为机制示意只提供分析框架，BR-J的独立增量与成本优势仍须由固定候选、固定评分和相应资源对齐的真实实验确定。</w:t>
      </w:r>
    </w:p>
    <w:p>
      <w:pPr>
        <w:pStyle w:val="Heading1"/>
      </w:pPr>
      <w:r>
        <w:t>第五章 两阶段框架的综合分析</w:t>
      </w:r>
      <w:bookmarkStart w:id="93" w:name="v3_93"/>
      <w:bookmarkEnd w:id="93"/>
    </w:p>
    <w:p>
      <w:r>
        <w:rPr>
          <w:rFonts w:ascii="Times New Roman" w:hAnsi="Times New Roman" w:eastAsia="Songti SC"/>
          <w:color w:val="000000"/>
        </w:rPr>
        <w:t>第三、四章分别检验训练监督保持与推理结构恢复。本章进一步讨论两阶段同时使用时的表现：训练改进是否改变修正空间，推理收益是否依赖特定生成器，以及新增开销在何种条件下具有使用价值。组合总分、独立方法增量与内部机制归因分别回答不同问题，不能相互替代。</w:t>
      </w:r>
    </w:p>
    <w:p>
      <w:pPr>
        <w:pStyle w:val="Heading2"/>
      </w:pPr>
      <w:r>
        <w:t>5.1 两阶段组合设计</w:t>
      </w:r>
      <w:bookmarkStart w:id="94" w:name="v3_94"/>
      <w:bookmarkEnd w:id="94"/>
    </w:p>
    <w:p>
      <w:r>
        <w:rPr>
          <w:rFonts w:ascii="Times New Roman" w:hAnsi="Times New Roman" w:eastAsia="Songti SC"/>
          <w:color w:val="000000"/>
        </w:rPr>
        <w:t>组合实验采用训练T0/T1与推理I0/I1的2×2设计。T0保留前期结论专项适配、线索提示及句子辅助目标，不含新增关系感知增强与因素对齐；T1采用第三章完整方法。I0为MCR-only初始图，I1为第四章BR-J修正。四种配置在AAEC和CDCP上分别评价，共享2.6节的数据用途、统计和成本协议。</w:t>
      </w:r>
    </w:p>
    <w:p>
      <w:r>
        <w:rPr>
          <w:rFonts w:ascii="Times New Roman" w:hAnsi="Times New Roman" w:eastAsia="Songti SC"/>
          <w:color w:val="000000"/>
        </w:rPr>
        <w:t>同一训练检查点的I0和I1使用相同初始图与候选缓存，使二者的差异来自后续修正。T0与T1各自产生候选，不强制不同检查点共享同一候选池，因为候选质量变化本身是训练效果的一部分。第三章的同数据学习消融和第四章的同候选同评分比较负责内部归因，本章不重复其全部结果表。</w:t>
      </w:r>
    </w:p>
    <w:p>
      <w:r>
        <w:rPr>
          <w:rFonts w:ascii="Times New Roman" w:hAnsi="Times New Roman" w:eastAsia="Songti SC"/>
          <w:color w:val="000000"/>
        </w:rPr>
        <w:t>四格设计分别估计训练效应、推理效应及其交互。训练效应是在I0与I1下分别比较T1和T0，推理效应是在T0与T1下分别比较I1和I0。若两个阶段在各自固定条件下均有稳定作用，可以讨论其互补性；若一项只在另一项启用时有效，则需说明这种依赖条件。组合不以超加性增益为成立前提，交互差只描述两阶段差异的变化。</w:t>
      </w:r>
    </w:p>
    <w:p>
      <w:r>
        <w:rPr>
          <w:rFonts w:ascii="Times New Roman" w:hAnsi="Times New Roman" w:eastAsia="Songti SC"/>
          <w:color w:val="000000"/>
        </w:rPr>
        <w:t>判断同时依赖统计区间与误差组成。整体F1提高可能来自Precision和Recall的不同取舍，因此每格保留组件、关系的P/R/F1及原始TP/FP/FN。重复实验数量、种子与失败运行按公共协议完整报告，不能通过挑选种子获得预设的组合趋势。</w:t>
      </w:r>
    </w:p>
    <w:p>
      <w:pPr>
        <w:pStyle w:val="Heading2"/>
      </w:pPr>
      <w:r>
        <w:t>5.2 组合表现与误差分析</w:t>
      </w:r>
      <w:bookmarkStart w:id="95" w:name="v3_95"/>
      <w:bookmarkEnd w:id="95"/>
    </w:p>
    <w:p>
      <w:pPr>
        <w:pStyle w:val="Heading3"/>
      </w:pPr>
      <w:r>
        <w:t>5.2.1 四格结果与解释范围</w:t>
      </w:r>
      <w:bookmarkStart w:id="96" w:name="v3_96"/>
      <w:bookmarkEnd w:id="96"/>
    </w:p>
    <w:p>
      <w:r>
        <w:rPr>
          <w:rFonts w:ascii="Times New Roman" w:hAnsi="Times New Roman" w:eastAsia="Songti SC"/>
          <w:color w:val="000000"/>
        </w:rPr>
        <w:t>表5-1沿用人工设置的预期情景，只展示四格比较和分析口径。所有P后缀数值均非实测，基线行也不是已公开成绩。新增方法的定量结论仍需绑定实际预测与严格评价。</w:t>
      </w:r>
    </w:p>
    <w:p>
      <w:pPr>
        <w:pStyle w:val="TableCaption"/>
      </w:pPr>
      <w:r>
        <w:rPr>
          <w:rFonts w:ascii="Times New Roman" w:hAnsi="Times New Roman" w:eastAsia="Songti SC"/>
          <w:color w:val="000000"/>
          <w:sz w:val="21"/>
        </w:rPr>
        <w:t>表5-1 两阶段组合的预期情景占位</w:t>
      </w:r>
      <w:bookmarkStart w:id="164" w:name="v3_164"/>
      <w:bookmarkEnd w:id="16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该设置不预设超加性。以上仅为计算示例，不是对实际收益的预测。</w:t>
      </w:r>
    </w:p>
    <w:p>
      <w:r>
        <w:rPr>
          <w:rFonts w:ascii="Times New Roman" w:hAnsi="Times New Roman" w:eastAsia="Songti SC"/>
          <w:color w:val="000000"/>
        </w:rPr>
        <w:t>正式分析首先报告四格及区间，再比较两个阶段在不同固定条件下的差值。若只有T1＋I1改善，结论应限定为组合依赖；若F1提高主要来自Precision上升而Recall下降，则继续检查真阳性删除与遗漏恢复。内部模块是否必要仍由第三、四章的受控实验回答。</w:t>
      </w:r>
    </w:p>
    <w:p>
      <w:r>
        <w:rPr>
          <w:rFonts w:ascii="Times New Roman" w:hAnsi="Times New Roman" w:eastAsia="Songti SC"/>
          <w:color w:val="000000"/>
        </w:rPr>
        <w:t>四格比较图位保留给真实多种子结果：横轴为训练配置，线型区分推理开关，组件和严格关系指标分面展示，误差线说明对应的统计区间及重复单位。当前没有生成该图，以免将人工占位值画成观测曲线；实测图应与表5-1来自同一运行集合。</w:t>
      </w:r>
    </w:p>
    <w:p>
      <w:pPr>
        <w:pStyle w:val="Heading3"/>
      </w:pPr>
      <w:r>
        <w:t>5.2.2 组合后的错误结构</w:t>
      </w:r>
      <w:bookmarkStart w:id="97" w:name="v3_97"/>
      <w:bookmarkEnd w:id="97"/>
    </w:p>
    <w:p>
      <w:r>
        <w:rPr>
          <w:rFonts w:ascii="Times New Roman" w:hAnsi="Times New Roman" w:eastAsia="Songti SC"/>
          <w:color w:val="000000"/>
        </w:rPr>
        <w:t>训练改进可能减少组件边界错误，也可能改变候选数量和错误类型。修正方法因此未必在T0与T1上具有相同的恢复空间。组合分析按组件遗漏、多检、边界、类型及完整关系错误分组，对比修正前后的严格计数；CDCP额外按超边元数分层，以辨别长源集合的端点错误是否限制组合收益。</w:t>
      </w:r>
    </w:p>
    <w:p>
      <w:r>
        <w:rPr>
          <w:rFonts w:ascii="Times New Roman" w:hAnsi="Times New Roman" w:eastAsia="Songti SC"/>
          <w:color w:val="000000"/>
        </w:rPr>
        <w:t>报告对象覆盖、可行图上界和实际恢复时，各训练检查点分别使用自己的冻结候选池。若T1提高候选覆盖而修正收益不变，可进一步检查评分与搜索；若候选上界接近初始表现，修正增量较小也可能源于可恢复空间缩小。此类解释需要对应诊断支持，不能仅依据四格总分反推原因。</w:t>
      </w:r>
    </w:p>
    <w:p>
      <w:r>
        <w:rPr>
          <w:rFonts w:ascii="Times New Roman" w:hAnsi="Times New Roman" w:eastAsia="Songti SC"/>
          <w:color w:val="000000"/>
        </w:rPr>
        <w:t>组合案例采用附录B.5的统一记录字段，并在同一文档上并列T0、T1及其修正结果。成功恢复、错误接受、错误拒绝和无修改均按预先固定规则取样。机制图用于解释操作，真实案例用于说明运行，两者分别标识。</w:t>
      </w:r>
    </w:p>
    <w:p>
      <w:pPr>
        <w:pStyle w:val="Heading2"/>
      </w:pPr>
      <w:r>
        <w:t>5.3 整体成本与方法互补性</w:t>
      </w:r>
      <w:bookmarkStart w:id="98" w:name="v3_98"/>
      <w:bookmarkEnd w:id="98"/>
    </w:p>
    <w:p>
      <w:r>
        <w:rPr>
          <w:rFonts w:ascii="Times New Roman" w:hAnsi="Times New Roman" w:eastAsia="Songti SC"/>
          <w:color w:val="000000"/>
        </w:rPr>
        <w:t>训练增强和推理修正的成本发生在不同阶段。增强生成、筛选与成对学习主要增加训练投入，候选评分与事务求解则随测试文档发生。整体成本应同时报告训练时间、增强尝试与接受规模、可训练参数量，以及单文档推理调用、token、时延和峰值显存，不能只比较最终修正步骤的CPU时间。</w:t>
      </w:r>
    </w:p>
    <w:p>
      <w:r>
        <w:rPr>
          <w:rFonts w:ascii="Times New Roman" w:hAnsi="Times New Roman" w:eastAsia="Songti SC"/>
          <w:color w:val="000000"/>
        </w:rPr>
        <w:t>成本比较固定硬件、批处理方式、缓存规则和评价规模。对部署情景，可以另报训练投入在不同文档量下的摊销，但文档量与计费条件必须显式给定，不能用未测得的时延比例推算秒数或经济收益。当前实际设备与运行字段见表2-2，尚待真实记录绑定。</w:t>
      </w:r>
    </w:p>
    <w:p>
      <w:r>
        <w:rPr>
          <w:rFonts w:ascii="Times New Roman" w:hAnsi="Times New Roman" w:eastAsia="Songti SC"/>
          <w:color w:val="000000"/>
        </w:rPr>
        <w:t>在一致的计费口径下，综合比较严格关系F1、组件F1、错误修改和端到端成本。训练投入可能在较大测试规模下摊销，推理修正则可通过预算调整使用强度；实际选择取决于可恢复错误、评分可靠性及延迟约束。相对于强对照的质量成本折中，才是判断额外开销是否值得的依据。</w:t>
      </w:r>
    </w:p>
    <w:p>
      <w:r>
        <w:rPr>
          <w:rFonts w:ascii="Times New Roman" w:hAnsi="Times New Roman" w:eastAsia="Songti SC"/>
          <w:color w:val="000000"/>
        </w:rPr>
        <w:t>整体质量成本图位采用实际耗时或调用资源为横轴，以严格关系F1为纵轴，四格配置使用不同符号；误改指标另作同条件面板。图中只连接具有可比预算和配置的运行，并标明测量设备、统计口径和失败配置。当前仅确定报告结构，不填入虚构曲线。</w:t>
      </w:r>
    </w:p>
    <w:p>
      <w:pPr>
        <w:pStyle w:val="Heading2"/>
      </w:pPr>
      <w:r>
        <w:t>5.4 跨语料适用性</w:t>
      </w:r>
      <w:bookmarkStart w:id="99" w:name="v3_99"/>
      <w:bookmarkEnd w:id="99"/>
    </w:p>
    <w:p>
      <w:pPr>
        <w:pStyle w:val="Heading3"/>
      </w:pPr>
      <w:r>
        <w:t>5.4.1 标签映射与迁移设定</w:t>
      </w:r>
      <w:bookmarkStart w:id="100" w:name="v3_100"/>
      <w:bookmarkEnd w:id="100"/>
    </w:p>
    <w:p>
      <w:r>
        <w:rPr>
          <w:rFonts w:ascii="Times New Roman" w:hAnsi="Times New Roman" w:eastAsia="Songti SC"/>
          <w:color w:val="000000"/>
        </w:rPr>
        <w:t>AAEC到CDCP的迁移沿用独立的粗粒度补充协议：AAEC的MajorClaim和Claim归为Claim，Premise保持；CDCP的Policy和Value归为Claim，Fact、Testimony和Reference归为Premise。该映射是工程上的功能归约，不主张不同语料类型天然等价。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可在补充轨道中归约为有向无标签连接。若把CDCP多前提超边投影为多个源到目标的连接，则协议名称明确标为“二元投影”，固定去重和计数规则，并报告受影响的原生关系数。投影Link-F1与域内原生Relation-F1分别展示，不用于计算所谓原生超边性能下降。</w:t>
      </w:r>
    </w:p>
    <w:p>
      <w:r>
        <w:rPr>
          <w:rFonts w:ascii="Times New Roman" w:hAnsi="Times New Roman" w:eastAsia="Songti SC"/>
          <w:color w:val="000000"/>
        </w:rPr>
        <w:t>零样本迁移不使用目标训练或开发标签调整评分、阈值、映射和预算。若目标标签用于校准，该轨道称为目标域校准迁移。域内CDCP训练和迁移实验分别维护数据用途及模型身份，前期粗粒度结果保留在附录E，新方法按相同补充协议另行评价。</w:t>
      </w:r>
    </w:p>
    <w:p>
      <w:pPr>
        <w:pStyle w:val="Heading3"/>
      </w:pPr>
      <w:r>
        <w:t>5.4.2 域外错误与适用边界</w:t>
      </w:r>
      <w:bookmarkStart w:id="101" w:name="v3_101"/>
      <w:bookmarkEnd w:id="101"/>
    </w:p>
    <w:p>
      <w:r>
        <w:rPr>
          <w:rFonts w:ascii="Times New Roman" w:hAnsi="Times New Roman" w:eastAsia="Songti SC"/>
          <w:color w:val="000000"/>
        </w:rPr>
        <w:t>跨语料结果主要检验表达、组件角色及关系分布变化下的适用性。除总体指标外，分析显式线索有无、组件长度、候选覆盖和评分校准差异。若Cue-aware分支的域内收益在目标域消失，应讨论其线索依赖；若修正器错误接受增加，应检查对象分布与校准变化，而不直接归因于搜索预算不足。</w:t>
      </w:r>
    </w:p>
    <w:p>
      <w:r>
        <w:rPr>
          <w:rFonts w:ascii="Times New Roman" w:hAnsi="Times New Roman" w:eastAsia="Songti SC"/>
          <w:color w:val="000000"/>
        </w:rPr>
        <w:t>跨语料分析不新增第三项方法贡献，也不替代域内独立验证。结果持平或下降时保留对应配置，并将结论限制在已验证的数据与协议范围。本文未开展中文或多语言实验，不从两个英文语料推断更广泛的语言适用性。</w:t>
      </w:r>
    </w:p>
    <w:p>
      <w:pPr>
        <w:pStyle w:val="Heading2"/>
      </w:pPr>
      <w:r>
        <w:t>5.5 本章小结</w:t>
      </w:r>
      <w:bookmarkStart w:id="102" w:name="v3_102"/>
      <w:bookmarkEnd w:id="102"/>
    </w:p>
    <w:p>
      <w:r>
        <w:rPr>
          <w:rFonts w:ascii="Times New Roman" w:hAnsi="Times New Roman" w:eastAsia="Songti SC"/>
          <w:color w:val="000000"/>
        </w:rPr>
        <w:t>本章以训练与推理的四格设计连接两项独立研究，区分阶段增量、组合依赖和整体使用成本。错误结构分析用于解释候选、评分与搜索如何随训练变化，跨语料协议则限定结论的适用范围。当前占位表仅承载比较与计算示例，完整系统的效果结论仍需由同一运行集合中的真实预测、统计区间和成本记录共同支持。</w:t>
      </w:r>
    </w:p>
    <w:p>
      <w:pPr>
        <w:pStyle w:val="Heading1"/>
      </w:pPr>
      <w:r>
        <w:t>第六章 总结与展望</w:t>
      </w:r>
      <w:bookmarkStart w:id="103" w:name="v3_103"/>
      <w:bookmarkEnd w:id="103"/>
    </w:p>
    <w:p>
      <w:pPr>
        <w:pStyle w:val="Heading2"/>
      </w:pPr>
      <w:r>
        <w:t>6.1 研究总结</w:t>
      </w:r>
      <w:bookmarkStart w:id="104" w:name="v3_104"/>
      <w:bookmarkEnd w:id="104"/>
    </w:p>
    <w:p>
      <w:r>
        <w:rPr>
          <w:rFonts w:ascii="Times New Roman" w:hAnsi="Times New Roman" w:eastAsia="Songti SC"/>
          <w:color w:val="000000"/>
        </w:rPr>
        <w:t>本文围绕组件与关系之间的依赖，形成训练监督保持与推理结构恢复两项互补方法。训练阶段改变指定组件的表达，并维护经过检查的监督；推理阶段保持原文不变，协调修改模型预测的组件及其关系。两项研究使用统一任务表示，但分别作用于学习过程和结构决策过程。</w:t>
      </w:r>
    </w:p>
    <w:p>
      <w:r>
        <w:rPr>
          <w:rFonts w:ascii="Times New Roman" w:hAnsi="Times New Roman" w:eastAsia="Songti SC"/>
          <w:color w:val="000000"/>
        </w:rPr>
        <w:t>第一项研究在前期结论组件专项建模基础上，定义关系影响域约束的增强与成对因素学习。影响域按端点关联确定，同时覆盖内部、跨边界组合及正关系、NONE状态。标注迁移建立新旧组件对应，组件与关系监督连接增强数据和共享生成表示。第三章据此将增强质量、中心选择与同数据学习目标分别纳入比较，使研究问题对应到可识别的实验条件。</w:t>
      </w:r>
    </w:p>
    <w:p>
      <w:r>
        <w:rPr>
          <w:rFonts w:ascii="Times New Roman" w:hAnsi="Times New Roman" w:eastAsia="Songti SC"/>
          <w:color w:val="000000"/>
        </w:rPr>
        <w:t>第二项研究在前期多候选重排序与有界修正基础上，以兼容组件集合替换及全部受影响关系重建构成依赖闭合事务。完整对象评分与计数效用提供接受依据，整图约束、分项非下降条件和编辑预算限定可提交的修改。局部差值分析及有限终止性质说明固定候选与目标下的算法行为，第四章通过覆盖、评分、动作对照及风险成本分析区分恢复能力的来源。</w:t>
      </w:r>
    </w:p>
    <w:p>
      <w:r>
        <w:rPr>
          <w:rFonts w:ascii="Times New Roman" w:hAnsi="Times New Roman" w:eastAsia="Songti SC"/>
          <w:color w:val="000000"/>
        </w:rPr>
        <w:t>第五章进一步以两阶段四格组合和跨语料补充协议讨论互补性及适用范围。前期结果与轻量诊断提供研究基础，当前P后缀数值和人为构造案例仅支持分析框架与机制解释。新增方法尚无可据本稿确认的定量效果结论，代理效用性质也不等价于真实F1或全局最优保证。</w:t>
      </w:r>
    </w:p>
    <w:p>
      <w:pPr>
        <w:pStyle w:val="Heading2"/>
      </w:pPr>
      <w:r>
        <w:t>6.2 研究局限</w:t>
      </w:r>
      <w:bookmarkStart w:id="105" w:name="v3_105"/>
      <w:bookmarkEnd w:id="105"/>
    </w:p>
    <w:p>
      <w:r>
        <w:rPr>
          <w:rFonts w:ascii="Times New Roman" w:hAnsi="Times New Roman" w:eastAsia="Songti SC"/>
          <w:color w:val="000000"/>
        </w:rPr>
        <w:t>训练监督的可靠性受语义检查和样本选择共同影响。检查器与一致性目标可能偏向容易改写、关系显式的样本；有限影响域不能覆盖任意潜在语义变化，NONE也可能反映标注不完备。过强对齐还可能压制有价值的表达差异。因此，标签可靠性、表达多样性、接受覆盖与原始文本上的严格任务表现需要共同考察。</w:t>
      </w:r>
    </w:p>
    <w:p>
      <w:r>
        <w:rPr>
          <w:rFonts w:ascii="Times New Roman" w:hAnsi="Times New Roman" w:eastAsia="Songti SC"/>
          <w:color w:val="000000"/>
        </w:rPr>
        <w:t>推理修正受候选和评分共同限制。未进入候选宇宙的正确跨度或完整超边不可恢复，搜索反复选择高分对象可能放大评分偏差。组件与关系分项非下降条件也可能拒绝真实有益但代理分量下降的事务。有限集合规模与预算不能覆盖任意分割、合并或远距离结构变化，局部方法的成本价值仍需与全局ILP和等资源重生成比较。</w:t>
      </w:r>
    </w:p>
    <w:p>
      <w:r>
        <w:rPr>
          <w:rFonts w:ascii="Times New Roman" w:hAnsi="Times New Roman" w:eastAsia="Songti SC"/>
          <w:color w:val="000000"/>
        </w:rPr>
        <w:t>语料规模、标注体系及历史结果的协议差异限制比较范围。训练集内CPU诊断不代表完整LLM系统，粗粒度迁移不代表原生超边迁移。新增方法的主结果、独立消融、标签审计和真实案例仍需与实际运行绑定；这些缺口限定当前结论强度，不改变对负结果和失败运行的报告要求。</w:t>
      </w:r>
    </w:p>
    <w:p>
      <w:pPr>
        <w:pStyle w:val="Heading2"/>
      </w:pPr>
      <w:r>
        <w:t>6.3 后续研究方向</w:t>
      </w:r>
      <w:bookmarkStart w:id="106" w:name="v3_106"/>
      <w:bookmarkEnd w:id="106"/>
    </w:p>
    <w:p>
      <w:r>
        <w:rPr>
          <w:rFonts w:ascii="Times New Roman" w:hAnsi="Times New Roman" w:eastAsia="Songti SC"/>
          <w:color w:val="000000"/>
        </w:rPr>
        <w:t>候选空间与计算代价之间的关系值得进一步研究。扩大跨度和超边组合可能覆盖更多错误，也增加评分、约束求解及选择错误高分对象的风险。后续可在固定资源条件下比较不同候选组织方式，同时观察覆盖、恢复、误改和成本，确定哪些扩展真正改善最终结构。</w:t>
      </w:r>
    </w:p>
    <w:p>
      <w:r>
        <w:rPr>
          <w:rFonts w:ascii="Times New Roman" w:hAnsi="Times New Roman" w:eastAsia="Songti SC"/>
          <w:color w:val="000000"/>
        </w:rPr>
        <w:t>语义检查与评分可靠性是另一方向。增强标签漂移和推理错误接受都受到模型判断影响，但两者的输入与监督目标不同。可针对隐式关系、长超边以及否定、模态和指代现象开展分组研究，分析不同错误在检查、校准及事务决策中如何传播，并评估拒绝策略的适用条件。</w:t>
      </w:r>
    </w:p>
    <w:p>
      <w:pPr>
        <w:pStyle w:val="Heading1"/>
      </w:pPr>
      <w:r>
        <w:t>参考文献</w:t>
      </w:r>
      <w:bookmarkStart w:id="107" w:name="v3_107"/>
      <w:bookmarkEnd w:id="107"/>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08" w:name="v3_108"/>
      <w:bookmarkEnd w:id="108"/>
    </w:p>
    <w:p>
      <w:pPr>
        <w:pStyle w:val="Heading2"/>
      </w:pPr>
      <w:r>
        <w:t>A.1 坐标与结构数据</w:t>
      </w:r>
      <w:bookmarkStart w:id="109" w:name="v3_109"/>
      <w:bookmarkEnd w:id="109"/>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10" w:name="v3_110"/>
      <w:bookmarkEnd w:id="110"/>
    </w:p>
    <w:p>
      <w:pPr>
        <w:spacing w:line="380" w:lineRule="exact"/>
      </w:pPr>
      <w:r>
        <w:rPr>
          <w:rFonts w:ascii="Times New Roman" w:hAnsi="Times New Roman" w:eastAsia="Songti SC"/>
          <w:color w:val="000000"/>
          <w:sz w:val="22"/>
        </w:rPr>
        <w:t>表A-1给出结果复核所需的关联字段。历史成绩与新增实验分别维护运行身份，缺少原始材料时保留“未绑定”状态，不以新的参考实现补充证明历史运行。</w:t>
      </w:r>
    </w:p>
    <w:p>
      <w:pPr>
        <w:pStyle w:val="TableCaption"/>
        <w:spacing w:line="380" w:lineRule="exact"/>
      </w:pPr>
      <w:r>
        <w:rPr>
          <w:rFonts w:ascii="Times New Roman" w:hAnsi="Times New Roman" w:eastAsia="Songti SC"/>
          <w:color w:val="000000"/>
          <w:sz w:val="21"/>
        </w:rPr>
        <w:t>表A-1 复现材料的关联字段</w:t>
      </w:r>
      <w:bookmarkStart w:id="165" w:name="v3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11" w:name="v3_111"/>
      <w:bookmarkEnd w:id="111"/>
    </w:p>
    <w:p>
      <w:pPr>
        <w:spacing w:line="380" w:lineRule="exact"/>
      </w:pPr>
      <w:r>
        <w:rPr>
          <w:rFonts w:ascii="Times New Roman" w:hAnsi="Times New Roman" w:eastAsia="Songti SC"/>
          <w:color w:val="000000"/>
          <w:sz w:val="22"/>
        </w:rPr>
        <w:t>本文主实验使用英文AAEC和CDCP，未验证中文或多语言能力。ORCHID面向中文辩论的目标无关立场检测和论辩对话摘要[28]，IAM整合多项论辩挖掘任务并使用英文资源[29]。二者可用于认识论辩任务的资源差异，但不直接替代从原文定位组件并预测关系的同协议测试。</w:t>
      </w:r>
    </w:p>
    <w:p>
      <w:pPr>
        <w:pStyle w:val="Heading1"/>
      </w:pPr>
      <w:r>
        <w:t>附录B 评分与事务执行记录</w:t>
      </w:r>
      <w:bookmarkStart w:id="112" w:name="v3_112"/>
      <w:bookmarkEnd w:id="112"/>
    </w:p>
    <w:p>
      <w:pPr>
        <w:pStyle w:val="Heading2"/>
      </w:pPr>
      <w:r>
        <w:t>B.1 数据与模型身份</w:t>
      </w:r>
      <w:bookmarkStart w:id="113" w:name="v3_113"/>
      <w:bookmarkEnd w:id="113"/>
    </w:p>
    <w:p>
      <w:pPr>
        <w:spacing w:line="380" w:lineRule="exact"/>
      </w:pPr>
      <w:r>
        <w:rPr>
          <w:rFonts w:ascii="Times New Roman" w:hAnsi="Times New Roman" w:eastAsia="Songti SC"/>
          <w:color w:val="000000"/>
          <w:sz w:val="22"/>
        </w:rPr>
        <w:t>每次运行保存run ID、源文档ID及完整文本哈希、数据版本与划分、原字符和评价token映射、模型权重revision、提示与配置哈希、代码版本、环境、种子及运行时间。增强变体保存其唯一源文档和组件对应，不以变体ID重新划分数据。派生结果同时指向候选缓存、评分缓存和评价配置。</w:t>
      </w:r>
    </w:p>
    <w:p>
      <w:pPr>
        <w:pStyle w:val="Heading2"/>
      </w:pPr>
      <w:r>
        <w:t>B.2 评分与接受轨迹</w:t>
      </w:r>
      <w:bookmarkStart w:id="114" w:name="v3_114"/>
      <w:bookmarkEnd w:id="114"/>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5" w:name="v3_115"/>
      <w:bookmarkEnd w:id="115"/>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时，返回当前图并保留原因。事务按实际加入和删除的组件及完整关系对象计费，不因整体提交就仅计一次编辑。尝试、接受、求解和模型调用预算分别记录，被拒绝操作仍计入成本。</w:t>
      </w:r>
    </w:p>
    <w:p>
      <w:pPr>
        <w:pStyle w:val="Heading2"/>
      </w:pPr>
      <w:r>
        <w:t>B.4 实现一致性测试</w:t>
      </w:r>
      <w:bookmarkStart w:id="116" w:name="v3_116"/>
      <w:bookmarkEnd w:id="116"/>
    </w:p>
    <w:p>
      <w:pPr>
        <w:spacing w:line="380" w:lineRule="exact"/>
      </w:pPr>
      <w:r>
        <w:rPr>
          <w:rFonts w:ascii="Times New Roman" w:hAnsi="Times New Roman" w:eastAsia="Songti SC"/>
          <w:color w:val="000000"/>
          <w:sz w:val="22"/>
        </w:rPr>
        <w:t>实现测试覆盖坐标往返、原生超边匹配、同坐标不同类型、纯ID重排、非传递的两两候选冲突、组件插入引起的超边源连续性变化、原NONE因素新增、纯关系修改、拆分合并、分项接受条件、空增强与空因素域、预算耗尽及原子回退。对可枚举小图，以穷举比较ILP最优值和局部差分。构造测试用于检查实现是否遵循定义，正式任务收益由真实数据实验评价。</w:t>
      </w:r>
    </w:p>
    <w:p>
      <w:pPr>
        <w:pStyle w:val="Heading2"/>
      </w:pPr>
      <w:r>
        <w:t>B.5 真实案例的统一记录模板</w:t>
      </w:r>
      <w:bookmarkStart w:id="117" w:name="v3_117"/>
      <w:bookmarkEnd w:id="117"/>
    </w:p>
    <w:p>
      <w:pPr>
        <w:spacing w:line="380" w:lineRule="exact"/>
      </w:pPr>
      <w:r>
        <w:rPr>
          <w:rFonts w:ascii="Times New Roman" w:hAnsi="Times New Roman" w:eastAsia="Songti SC"/>
          <w:color w:val="000000"/>
          <w:sz w:val="22"/>
        </w:rPr>
        <w:t>成功恢复、错误接受、错误拒绝、候选不可达和预算耗尽使用相同字段，按预先固定的误差类别与抽样规则选取真实测试记录。以下记录仍待真实预测与日志接入，不由人为机制示意或P后缀占位数值补填。</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1"/>
      </w:pPr>
      <w:r>
        <w:t>附录C 成果归属与研究声明</w:t>
      </w:r>
      <w:bookmarkStart w:id="118" w:name="v3_118"/>
      <w:bookmarkEnd w:id="118"/>
    </w:p>
    <w:p>
      <w:pPr>
        <w:pStyle w:val="Heading2"/>
      </w:pPr>
      <w:r>
        <w:t>C.1 前期共同成果</w:t>
      </w:r>
      <w:bookmarkStart w:id="119" w:name="v3_119"/>
      <w:bookmarkEnd w:id="119"/>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0" w:name="v3_120"/>
      <w:bookmarkEnd w:id="120"/>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新增方法的正式检查点、逐例预测、完整事务轨迹和运行配置尚待绑定；现有参考代码和附录D中的轻量诊断不被声明为完整复现包。材料公开范围及存放入口由作者在真实材料完成后核准。</w:t>
      </w:r>
    </w:p>
    <w:p>
      <w:pPr>
        <w:pStyle w:val="Heading2"/>
      </w:pPr>
      <w:r>
        <w:t>C.3 研究辅助与伦理说明</w:t>
      </w:r>
      <w:bookmarkStart w:id="121" w:name="v3_121"/>
      <w:bookmarkEnd w:id="121"/>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本文拟开展的标签可靠性人工审计尚未形成可报告的判断者人数、分歧裁决或一致性统计，本版不填入相关数值。后续涉及人员参与、语料再使用及可能的敏感信息时，应按实际研究内容履行适用的机构程序；本文不代替伦理审查或自行认定豁免。</w:t>
      </w:r>
    </w:p>
    <w:p>
      <w:pPr>
        <w:pStyle w:val="Heading2"/>
      </w:pPr>
      <w:r>
        <w:t>C.4 资助与利益冲突</w:t>
      </w:r>
      <w:bookmarkStart w:id="122" w:name="v3_122"/>
      <w:bookmarkEnd w:id="122"/>
    </w:p>
    <w:p>
      <w:pPr>
        <w:spacing w:line="380" w:lineRule="exact"/>
      </w:pPr>
      <w:r>
        <w:rPr>
          <w:rFonts w:ascii="Times New Roman" w:hAnsi="Times New Roman" w:eastAsia="Songti SC"/>
          <w:color w:val="000000"/>
          <w:sz w:val="22"/>
        </w:rPr>
        <w:t>资助来源和利益冲突信息尚待作者依据真实情况确认。本版保留这一未确认状态，不据材料缺失推断“无资助”或“无利益冲突”。学位论文原创性声明、使用授权、签名和日期按学校适用表单由相应责任人核准，不移植参考论文的声明与身份信息。</w:t>
      </w:r>
    </w:p>
    <w:p>
      <w:pPr>
        <w:pStyle w:val="Heading1"/>
      </w:pPr>
      <w:r>
        <w:t>附录D 前期实验基础与轻量诊断</w:t>
      </w:r>
      <w:bookmarkStart w:id="123" w:name="v3_123"/>
      <w:bookmarkEnd w:id="123"/>
    </w:p>
    <w:p>
      <w:pPr>
        <w:pStyle w:val="Heading2"/>
      </w:pPr>
      <w:r>
        <w:t>D.1 前期结果的使用范围</w:t>
      </w:r>
      <w:bookmarkStart w:id="124" w:name="v3_124"/>
      <w:bookmarkEnd w:id="124"/>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25" w:name="v3_125"/>
      <w:bookmarkEnd w:id="125"/>
    </w:p>
    <w:p>
      <w:pPr>
        <w:spacing w:line="380" w:lineRule="exact"/>
      </w:pPr>
      <w:r>
        <w:rPr>
          <w:rFonts w:ascii="Times New Roman" w:hAnsi="Times New Roman" w:eastAsia="Songti SC"/>
          <w:color w:val="000000"/>
          <w:sz w:val="22"/>
        </w:rPr>
        <w:t>既有CPU诊断记录仅使用官方训练集内容。AAEC纳入322篇，按拟合、校准、审计划为191、65、66篇；CDCP在记录排除文档00411后纳入580篇，对应348、116、116篇。划分按完整文本哈希分组，测试文件未用于解析、拟合、选择或评分。AAEC使用固定版本镜像及官方划分文件，镜像与原下载包的逐字节一致性尚未证明；CDCP的数据异常和跨度映射问题保留在原诊断日志中。这些数量只描述该次轻量诊断，不能填入表2-2作为新增正式实验划分。</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26" w:name="v3_126"/>
      <w:bookmarkEnd w:id="126"/>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1"/>
      </w:pPr>
      <w:r>
        <w:t>附录E 前期数值与协议存档</w:t>
      </w:r>
      <w:bookmarkStart w:id="127" w:name="v3_127"/>
      <w:bookmarkEnd w:id="127"/>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28" w:name="v3_128"/>
      <w:bookmarkEnd w:id="128"/>
    </w:p>
    <w:p>
      <w:pPr>
        <w:pStyle w:val="TableCaption"/>
        <w:spacing w:line="380" w:lineRule="exact"/>
      </w:pPr>
      <w:r>
        <w:rPr>
          <w:rFonts w:ascii="Times New Roman" w:hAnsi="Times New Roman" w:eastAsia="Songti SC"/>
          <w:color w:val="000000"/>
          <w:sz w:val="21"/>
        </w:rPr>
        <w:t>表E-1 AAEC组件分类别旧稿记录</w:t>
      </w:r>
      <w:bookmarkStart w:id="166" w:name="v3_166"/>
      <w:bookmarkEnd w:id="16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29" w:name="v3_129"/>
      <w:bookmarkEnd w:id="129"/>
    </w:p>
    <w:p>
      <w:pPr>
        <w:pStyle w:val="TableCaption"/>
        <w:spacing w:line="380" w:lineRule="exact"/>
      </w:pPr>
      <w:r>
        <w:rPr>
          <w:rFonts w:ascii="Times New Roman" w:hAnsi="Times New Roman" w:eastAsia="Songti SC"/>
          <w:color w:val="000000"/>
          <w:sz w:val="21"/>
        </w:rPr>
        <w:t>表E-2 ICIC原版AAEC域内结果记录</w:t>
      </w:r>
      <w:bookmarkStart w:id="167" w:name="v3_167"/>
      <w:bookmarkEnd w:id="16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0" w:name="v3_130"/>
      <w:bookmarkEnd w:id="130"/>
    </w:p>
    <w:p>
      <w:pPr>
        <w:pStyle w:val="TableCaption"/>
        <w:spacing w:line="380" w:lineRule="exact"/>
      </w:pPr>
      <w:r>
        <w:rPr>
          <w:rFonts w:ascii="Times New Roman" w:hAnsi="Times New Roman" w:eastAsia="Songti SC"/>
          <w:color w:val="000000"/>
          <w:sz w:val="21"/>
        </w:rPr>
        <w:t>表E-3 ICIC原版CDCP域内结果记录</w:t>
      </w:r>
      <w:bookmarkStart w:id="168" w:name="v3_168"/>
      <w:bookmarkEnd w:id="16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1" w:name="v3_131"/>
      <w:bookmarkEnd w:id="131"/>
    </w:p>
    <w:p>
      <w:pPr>
        <w:pStyle w:val="TableCaption"/>
        <w:spacing w:line="380" w:lineRule="exact"/>
      </w:pPr>
      <w:r>
        <w:rPr>
          <w:rFonts w:ascii="Times New Roman" w:hAnsi="Times New Roman" w:eastAsia="Songti SC"/>
          <w:color w:val="000000"/>
          <w:sz w:val="21"/>
        </w:rPr>
        <w:t>表E-4 ICIC原版模块消融记录</w:t>
      </w:r>
      <w:bookmarkStart w:id="169" w:name="v3_169"/>
      <w:bookmarkEnd w:id="16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2" w:name="v3_132"/>
      <w:bookmarkEnd w:id="132"/>
    </w:p>
    <w:p>
      <w:pPr>
        <w:pStyle w:val="TableCaption"/>
        <w:spacing w:line="380" w:lineRule="exact"/>
      </w:pPr>
      <w:r>
        <w:rPr>
          <w:rFonts w:ascii="Times New Roman" w:hAnsi="Times New Roman" w:eastAsia="Songti SC"/>
          <w:color w:val="000000"/>
          <w:sz w:val="21"/>
        </w:rPr>
        <w:t>表E-5 ICIC原版验证器替换记录</w:t>
      </w:r>
      <w:bookmarkStart w:id="170" w:name="v3_170"/>
      <w:bookmarkEnd w:id="17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3" w:name="v3_133"/>
      <w:bookmarkEnd w:id="133"/>
    </w:p>
    <w:p>
      <w:pPr>
        <w:pStyle w:val="TableCaption"/>
        <w:spacing w:line="380" w:lineRule="exact"/>
      </w:pPr>
      <w:r>
        <w:rPr>
          <w:rFonts w:ascii="Times New Roman" w:hAnsi="Times New Roman" w:eastAsia="Songti SC"/>
          <w:color w:val="000000"/>
          <w:sz w:val="21"/>
        </w:rPr>
        <w:t>表E-6 ICIC原版Oracle记录</w:t>
      </w:r>
      <w:bookmarkStart w:id="171" w:name="v3_171"/>
      <w:bookmarkEnd w:id="17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34" w:name="v3_134"/>
      <w:bookmarkEnd w:id="134"/>
    </w:p>
    <w:p>
      <w:pPr>
        <w:pStyle w:val="TableCaption"/>
        <w:spacing w:line="380" w:lineRule="exact"/>
      </w:pPr>
      <w:r>
        <w:rPr>
          <w:rFonts w:ascii="Times New Roman" w:hAnsi="Times New Roman" w:eastAsia="Songti SC"/>
          <w:color w:val="000000"/>
          <w:sz w:val="21"/>
        </w:rPr>
        <w:t>表E-7 ICIC原版修正行为记录</w:t>
      </w:r>
      <w:bookmarkStart w:id="172" w:name="v3_172"/>
      <w:bookmarkEnd w:id="17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35" w:name="v3_135"/>
      <w:bookmarkEnd w:id="135"/>
    </w:p>
    <w:p>
      <w:pPr>
        <w:pStyle w:val="TableCaption"/>
        <w:spacing w:line="380" w:lineRule="exact"/>
      </w:pPr>
      <w:r>
        <w:rPr>
          <w:rFonts w:ascii="Times New Roman" w:hAnsi="Times New Roman" w:eastAsia="Songti SC"/>
          <w:color w:val="000000"/>
          <w:sz w:val="21"/>
        </w:rPr>
        <w:t>表E-8 前期粗粒度组件映射</w:t>
      </w:r>
      <w:bookmarkStart w:id="173" w:name="v3_173"/>
      <w:bookmarkEnd w:id="17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36" w:name="v3_136"/>
      <w:bookmarkEnd w:id="136"/>
    </w:p>
    <w:p>
      <w:pPr>
        <w:pStyle w:val="TableCaption"/>
        <w:spacing w:line="380" w:lineRule="exact"/>
      </w:pPr>
      <w:r>
        <w:rPr>
          <w:rFonts w:ascii="Times New Roman" w:hAnsi="Times New Roman" w:eastAsia="Songti SC"/>
          <w:color w:val="000000"/>
          <w:sz w:val="21"/>
        </w:rPr>
        <w:t>表E-9 ICIC原版AAEC到CDCP迁移记录</w:t>
      </w:r>
      <w:bookmarkStart w:id="174" w:name="v3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37" w:name="v3_137"/>
      <w:bookmarkEnd w:id="137"/>
    </w:p>
    <w:p>
      <w:pPr>
        <w:pStyle w:val="Heading2"/>
      </w:pPr>
      <w:r>
        <w:t>F.1 核心术语与符号</w:t>
      </w:r>
      <w:bookmarkStart w:id="138" w:name="v3_138"/>
      <w:bookmarkEnd w:id="138"/>
    </w:p>
    <w:p>
      <w:pPr>
        <w:spacing w:line="380" w:lineRule="exact"/>
      </w:pPr>
      <w:r>
        <w:rPr>
          <w:rFonts w:ascii="Times New Roman" w:hAnsi="Times New Roman" w:eastAsia="Songti SC"/>
          <w:color w:val="000000"/>
          <w:sz w:val="22"/>
        </w:rPr>
        <w:t>表F-1汇总方法中容易混淆的对象。第二章的文档</w:t>
      </w:r>
      <m:oMath>
        <m:r>
          <m:t xml:space="preserve">D</m:t>
        </m:r>
      </m:oMath>
      <w:r>
        <w:rPr>
          <w:rFonts w:ascii="Times New Roman" w:hAnsi="Times New Roman" w:eastAsia="Songti SC"/>
          <w:color w:val="000000"/>
          <w:sz w:val="22"/>
        </w:rPr>
        <w:t>与后续方法中的输入</w:t>
      </w:r>
      <m:oMath>
        <m:r>
          <m:t xml:space="preserve">x</m:t>
        </m:r>
      </m:oMath>
      <w:r>
        <w:rPr>
          <w:rFonts w:ascii="Times New Roman" w:hAnsi="Times New Roman" w:eastAsia="Songti SC"/>
          <w:color w:val="000000"/>
          <w:sz w:val="22"/>
        </w:rPr>
        <w:t>指同一对象，不能与第四章删除集合</w:t>
      </w:r>
      <m:oMath>
        <m:r>
          <m:t xml:space="preserve">D</m:t>
        </m:r>
      </m:oMath>
      <w:r>
        <w:rPr>
          <w:rFonts w:ascii="Times New Roman" w:hAnsi="Times New Roman" w:eastAsia="Songti SC"/>
          <w:color w:val="000000"/>
          <w:sz w:val="22"/>
        </w:rPr>
        <w:t>混用。</w:t>
      </w:r>
      <m:oMath>
        <m:r>
          <m:t xml:space="preserve">A</m:t>
        </m:r>
      </m:oMath>
      <w:r>
        <w:rPr>
          <w:rFonts w:ascii="Times New Roman" w:hAnsi="Times New Roman" w:eastAsia="Songti SC"/>
          <w:color w:val="000000"/>
          <w:sz w:val="22"/>
        </w:rPr>
        <w:t>在第三章表示可改写集合，在第四章表示变化组件集合。精确率、关系候选池和人工占位也分别采用不同的书写位置与上下文。</w:t>
      </w:r>
    </w:p>
    <w:p>
      <w:pPr>
        <w:pStyle w:val="TableCaption"/>
        <w:spacing w:line="380" w:lineRule="exact"/>
      </w:pPr>
      <w:r>
        <w:rPr>
          <w:rFonts w:ascii="Times New Roman" w:hAnsi="Times New Roman" w:eastAsia="Songti SC"/>
          <w:color w:val="000000"/>
          <w:sz w:val="21"/>
        </w:rPr>
        <w:t>表F-1 核心符号及其语义</w:t>
      </w:r>
      <w:bookmarkStart w:id="175" w:name="v3_175"/>
      <w:bookmarkEnd w:id="17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数值后缀P</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人工设置的预期情景占位</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不是概率、精确率、实测值或置信标记</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39" w:name="v3_139"/>
      <w:bookmarkEnd w:id="139"/>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检查单独反传成对对齐项，确认至少一个共享生成参数具有非零梯度，隐藏状态未被分离，表示中不包含金标回答。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事务检查比较修改前后的完整语义对象。新组件与旧组件冲突时扩张删除集合，旧端点失效时删除全部依赖关系，新端点合法组合重新参与选择。若整图合法性需要改变事务外结构，则显式扩张并重新计费，或拒绝提议。中断、无可行解及预算不足时返回最后一个完整合法状态，记录字段见附录B。</w:t>
      </w:r>
    </w:p>
    <w:p>
      <w:pPr>
        <w:pStyle w:val="Heading2"/>
      </w:pPr>
      <w:r>
        <w:t>F.3 研究问题阅读索引</w:t>
      </w:r>
      <w:bookmarkStart w:id="140" w:name="v3_140"/>
      <w:bookmarkEnd w:id="140"/>
    </w:p>
    <w:p>
      <w:pPr>
        <w:spacing w:line="380" w:lineRule="exact"/>
      </w:pPr>
      <w:r>
        <w:rPr>
          <w:rFonts w:ascii="Times New Roman" w:hAnsi="Times New Roman" w:eastAsia="Songti SC"/>
          <w:color w:val="000000"/>
          <w:sz w:val="22"/>
        </w:rPr>
        <w:t>表F-2将概念、方法和验证位置对应起来，便于连续阅读和交叉回查。该索引只说明正文组织，不表示尚待接入的正式实验已经完成。</w:t>
      </w:r>
    </w:p>
    <w:p>
      <w:pPr>
        <w:pStyle w:val="TableCaption"/>
        <w:spacing w:line="380" w:lineRule="exact"/>
      </w:pPr>
      <w:r>
        <w:rPr>
          <w:rFonts w:ascii="Times New Roman" w:hAnsi="Times New Roman" w:eastAsia="Songti SC"/>
          <w:color w:val="000000"/>
          <w:sz w:val="21"/>
        </w:rPr>
        <w:t>表F-2 方法与实验的阅读索引</w:t>
      </w:r>
      <w:bookmarkStart w:id="176" w:name="v3_176"/>
      <w:bookmarkEnd w:id="17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3.6.3同数据学习消融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5.1至5.3四格误差及整体成本</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83"/>
      <w:footerReference w:type="default" r:id="rId8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1008-v3 修订稿　含非实测占位　勿送审</dc:subject>
  <dc:creator>Chen Tang</dc:creator>
  <cp:keywords>关系感知学习 依赖闭合修正 非实测占位 勿送审</cp:keywords>
  <dc:description>generated by python-docx</dc:description>
  <cp:lastModifiedBy/>
  <cp:revision>1</cp:revision>
  <dcterms:created xsi:type="dcterms:W3CDTF">2013-12-23T23:15:00Z</dcterms:created>
  <dcterms:modified xsi:type="dcterms:W3CDTF">2013-12-23T23:15:00Z</dcterms:modified>
  <cp:category/>
</cp:coreProperties>
</file>