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1009-v1 修订稿　构造验证不替代语料实验</w:t>
      </w:r>
    </w:p>
    <w:p>
      <w:pPr>
        <w:spacing w:before="300"/>
        <w:ind w:firstLine="0"/>
        <w:jc w:val="center"/>
      </w:pPr>
      <w:r>
        <w:rPr>
          <w:rFonts w:ascii="Times New Roman" w:hAnsi="Times New Roman" w:eastAsia="Songti SC"/>
          <w:color w:val="000000"/>
        </w:rPr>
        <w:t>2026年10月</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5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面向结论组件的关系感知增强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本文以AAEC与CDCP为目标验证语料，保留CDCP原生多前提关系，并明确固定中心、受保护候选、分类队列、真实分步基线和松弛Oracle的执行边界。在独立的构造对象参考程序上，19项检查通过；四组件小图穷举表明，删除中间组件后新合法的非接触关系不一定在同一事务中恢复，分步提交也可能降低总效用。这些结果支持规约的一致性及机制边界，不构成语料上的性能证据。新增训练收益、联合修正净增量及两阶段互补性仍缺少正式多种子实验支持，本文不据构造数据给出相关效果结论。</w:t>
      </w:r>
    </w:p>
    <w:p>
      <w:pPr>
        <w:ind w:firstLine="0"/>
      </w:pPr>
      <w:r>
        <w:rPr>
          <w:rFonts w:ascii="Times New Roman" w:hAnsi="Times New Roman" w:eastAsia="Songti SC"/>
          <w:color w:val="000000"/>
          <w:sz w:val="22"/>
        </w:rPr>
        <w:t>关键词：端到端论辩挖掘；关系感知增强；结论组件；依赖闭合；图修正；代价敏感评分</w:t>
      </w:r>
    </w:p>
    <w:p>
      <w:pPr>
        <w:pStyle w:val="FrontContents"/>
      </w:pPr>
      <w:r>
        <w:t>Abstract</w:t>
      </w:r>
      <w:bookmarkStart w:id="11" w:name="v5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is relation-aware augmentation learning for conclusion components.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The target evaluation corpora are AAEC and CDCP, with CDCP multi-premise relations retained as native hyperedges. The specification fixes center selection, protected candidates, proposal scheduling, a genuinely sequential baseline, and relaxed oracle sets. An independent reference program passes 19 checks on constructed objects. Exhaustive enumeration of a four-component graph demonstrates that a newly legal nonincident relation need not be recovered in the same transaction; sequential commits can also reduce total utility. These findings concern specification consistency and mechanism boundaries, not corpus performance. Training gains, the incremental benefit of joint repair, and interaction between the two stages remain unsupported by completed multi-seed corpus experiments.</w:t>
      </w:r>
    </w:p>
    <w:p>
      <w:pPr>
        <w:spacing w:line="320" w:lineRule="exact" w:after="100"/>
        <w:ind w:firstLine="0"/>
      </w:pPr>
      <w:r>
        <w:rPr>
          <w:rFonts w:ascii="Times New Roman" w:hAnsi="Times New Roman" w:eastAsia="Songti SC"/>
          <w:color w:val="000000"/>
          <w:sz w:val="22"/>
        </w:rPr>
        <w:t>Keywords: End-to-End Argument Mining; Relation-Aware Augmentation; Conclusion Components; Dependency Closure; Graph Repair; Cost-Sensitive Scoring</w:t>
      </w:r>
    </w:p>
    <w:p>
      <w:pPr>
        <w:pStyle w:val="FrontHeading"/>
      </w:pPr>
      <w:r>
        <w:t>目录</w:t>
      </w:r>
    </w:p>
    <w:p>
      <w:pPr>
        <w:pStyle w:val="TOC1"/>
        <w:keepNext/>
        <w:spacing w:before="120"/>
      </w:pPr>
      <w:r>
        <w:fldChar w:fldCharType="begin"/>
      </w:r>
      <w:r>
        <w:instrText xml:space="preserve"> TOC \o "1-3" \h \z \t "Front Contents,1" </w:instrText>
      </w:r>
      <w:r>
        <w:fldChar w:fldCharType="separate"/>
      </w:r>
      <w:hyperlink w:anchor="v5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keepNext/>
        <w:spacing w:before="120"/>
      </w:pPr>
      <w:hyperlink w:anchor="v5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keepNext/>
        <w:spacing w:before="120"/>
      </w:pPr>
      <w:hyperlink w:anchor="v5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5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5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5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5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5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3</w:t>
        </w:r>
      </w:hyperlink>
    </w:p>
    <w:p>
      <w:pPr>
        <w:pStyle w:val="TOC3"/>
      </w:pPr>
      <w:hyperlink w:anchor="v5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4</w:t>
        </w:r>
      </w:hyperlink>
    </w:p>
    <w:p>
      <w:pPr>
        <w:pStyle w:val="TOC2"/>
      </w:pPr>
      <w:hyperlink w:anchor="v5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5</w:t>
        </w:r>
      </w:hyperlink>
    </w:p>
    <w:p>
      <w:pPr>
        <w:pStyle w:val="TOC3"/>
      </w:pPr>
      <w:hyperlink w:anchor="v5_20" w:history="1">
        <w:r>
          <w:rPr>
            <w:rFonts w:ascii="Times New Roman" w:hAnsi="Times New Roman" w:eastAsia="Songti SC"/>
            <w:color w:val="000000"/>
            <w:sz w:val="22"/>
          </w:rPr>
          <w:t>1.3.1 研究问题</w:t>
        </w:r>
        <w:r>
          <w:rPr>
            <w:rFonts w:ascii="Times New Roman" w:hAnsi="Times New Roman" w:eastAsia="Songti SC"/>
            <w:color w:val="000000"/>
            <w:sz w:val="22"/>
          </w:rPr>
          <w:tab/>
          <w:t>6</w:t>
        </w:r>
      </w:hyperlink>
    </w:p>
    <w:p>
      <w:pPr>
        <w:pStyle w:val="TOC3"/>
      </w:pPr>
      <w:hyperlink w:anchor="v5_21" w:history="1">
        <w:r>
          <w:rPr>
            <w:rFonts w:ascii="Times New Roman" w:hAnsi="Times New Roman" w:eastAsia="Songti SC"/>
            <w:color w:val="000000"/>
            <w:sz w:val="22"/>
          </w:rPr>
          <w:t>1.3.2 主要研究内容</w:t>
        </w:r>
        <w:r>
          <w:rPr>
            <w:rFonts w:ascii="Times New Roman" w:hAnsi="Times New Roman" w:eastAsia="Songti SC"/>
            <w:color w:val="000000"/>
            <w:sz w:val="22"/>
          </w:rPr>
          <w:tab/>
          <w:t>6</w:t>
        </w:r>
      </w:hyperlink>
    </w:p>
    <w:p>
      <w:pPr>
        <w:pStyle w:val="TOC3"/>
      </w:pPr>
      <w:hyperlink w:anchor="v5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7</w:t>
        </w:r>
      </w:hyperlink>
    </w:p>
    <w:p>
      <w:pPr>
        <w:pStyle w:val="TOC2"/>
      </w:pPr>
      <w:hyperlink w:anchor="v5_23" w:history="1">
        <w:r>
          <w:rPr>
            <w:rFonts w:ascii="Times New Roman" w:hAnsi="Times New Roman" w:eastAsia="Songti SC"/>
            <w:color w:val="000000"/>
            <w:sz w:val="22"/>
          </w:rPr>
          <w:t>1.4 论文组织结构</w:t>
        </w:r>
        <w:r>
          <w:rPr>
            <w:rFonts w:ascii="Times New Roman" w:hAnsi="Times New Roman" w:eastAsia="Songti SC"/>
            <w:color w:val="000000"/>
            <w:sz w:val="22"/>
          </w:rPr>
          <w:tab/>
          <w:t>8</w:t>
        </w:r>
      </w:hyperlink>
    </w:p>
    <w:p>
      <w:pPr>
        <w:pStyle w:val="TOC1"/>
        <w:keepNext/>
        <w:spacing w:before="120"/>
      </w:pPr>
      <w:hyperlink w:anchor="v5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9</w:t>
        </w:r>
      </w:hyperlink>
    </w:p>
    <w:p>
      <w:pPr>
        <w:pStyle w:val="TOC2"/>
      </w:pPr>
      <w:hyperlink w:anchor="v5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9</w:t>
        </w:r>
      </w:hyperlink>
    </w:p>
    <w:p>
      <w:pPr>
        <w:pStyle w:val="TOC3"/>
      </w:pPr>
      <w:hyperlink w:anchor="v5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9</w:t>
        </w:r>
      </w:hyperlink>
    </w:p>
    <w:p>
      <w:pPr>
        <w:pStyle w:val="TOC3"/>
      </w:pPr>
      <w:hyperlink w:anchor="v5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9</w:t>
        </w:r>
      </w:hyperlink>
    </w:p>
    <w:p>
      <w:pPr>
        <w:pStyle w:val="TOC2"/>
      </w:pPr>
      <w:hyperlink w:anchor="v5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10</w:t>
        </w:r>
      </w:hyperlink>
    </w:p>
    <w:p>
      <w:pPr>
        <w:pStyle w:val="TOC3"/>
      </w:pPr>
      <w:hyperlink w:anchor="v5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10</w:t>
        </w:r>
      </w:hyperlink>
    </w:p>
    <w:p>
      <w:pPr>
        <w:pStyle w:val="TOC3"/>
      </w:pPr>
      <w:hyperlink w:anchor="v5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10</w:t>
        </w:r>
      </w:hyperlink>
    </w:p>
    <w:p>
      <w:pPr>
        <w:pStyle w:val="TOC2"/>
      </w:pPr>
      <w:hyperlink w:anchor="v5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11</w:t>
        </w:r>
      </w:hyperlink>
    </w:p>
    <w:p>
      <w:pPr>
        <w:pStyle w:val="TOC2"/>
      </w:pPr>
      <w:hyperlink w:anchor="v5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11</w:t>
        </w:r>
      </w:hyperlink>
    </w:p>
    <w:p>
      <w:pPr>
        <w:pStyle w:val="TOC2"/>
      </w:pPr>
      <w:hyperlink w:anchor="v5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12</w:t>
        </w:r>
      </w:hyperlink>
    </w:p>
    <w:p>
      <w:pPr>
        <w:pStyle w:val="TOC2"/>
      </w:pPr>
      <w:hyperlink w:anchor="v5_34" w:history="1">
        <w:r>
          <w:rPr>
            <w:rFonts w:ascii="Times New Roman" w:hAnsi="Times New Roman" w:eastAsia="Songti SC"/>
            <w:color w:val="000000"/>
            <w:sz w:val="22"/>
          </w:rPr>
          <w:t>2.6 公共实验协议</w:t>
        </w:r>
        <w:r>
          <w:rPr>
            <w:rFonts w:ascii="Times New Roman" w:hAnsi="Times New Roman" w:eastAsia="Songti SC"/>
            <w:color w:val="000000"/>
            <w:sz w:val="22"/>
          </w:rPr>
          <w:tab/>
          <w:t>13</w:t>
        </w:r>
      </w:hyperlink>
    </w:p>
    <w:p>
      <w:pPr>
        <w:pStyle w:val="TOC3"/>
      </w:pPr>
      <w:hyperlink w:anchor="v5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13</w:t>
        </w:r>
      </w:hyperlink>
    </w:p>
    <w:p>
      <w:pPr>
        <w:pStyle w:val="TOC3"/>
      </w:pPr>
      <w:hyperlink w:anchor="v5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13</w:t>
        </w:r>
      </w:hyperlink>
    </w:p>
    <w:p>
      <w:pPr>
        <w:pStyle w:val="TOC3"/>
      </w:pPr>
      <w:hyperlink w:anchor="v5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15</w:t>
        </w:r>
      </w:hyperlink>
    </w:p>
    <w:p>
      <w:pPr>
        <w:pStyle w:val="TOC2"/>
      </w:pPr>
      <w:hyperlink w:anchor="v5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15</w:t>
        </w:r>
      </w:hyperlink>
    </w:p>
    <w:p>
      <w:pPr>
        <w:pStyle w:val="TOC2"/>
      </w:pPr>
      <w:hyperlink w:anchor="v5_39" w:history="1">
        <w:r>
          <w:rPr>
            <w:rFonts w:ascii="Times New Roman" w:hAnsi="Times New Roman" w:eastAsia="Songti SC"/>
            <w:color w:val="000000"/>
            <w:sz w:val="22"/>
          </w:rPr>
          <w:t>2.8 本章小结</w:t>
        </w:r>
        <w:r>
          <w:rPr>
            <w:rFonts w:ascii="Times New Roman" w:hAnsi="Times New Roman" w:eastAsia="Songti SC"/>
            <w:color w:val="000000"/>
            <w:sz w:val="22"/>
          </w:rPr>
          <w:tab/>
          <w:t>16</w:t>
        </w:r>
      </w:hyperlink>
    </w:p>
    <w:p>
      <w:pPr>
        <w:pStyle w:val="TOC1"/>
        <w:keepNext/>
        <w:spacing w:before="120"/>
      </w:pPr>
      <w:hyperlink w:anchor="v5_40" w:history="1">
        <w:r>
          <w:rPr>
            <w:rFonts w:ascii="Times New Roman" w:hAnsi="Times New Roman" w:eastAsia="Songti SC"/>
            <w:color w:val="000000"/>
            <w:sz w:val="22"/>
          </w:rPr>
          <w:t>第三章 面向结论组件的关系感知增强学习</w:t>
        </w:r>
        <w:r>
          <w:rPr>
            <w:rFonts w:ascii="Times New Roman" w:hAnsi="Times New Roman" w:eastAsia="Songti SC"/>
            <w:color w:val="000000"/>
            <w:sz w:val="22"/>
          </w:rPr>
          <w:tab/>
          <w:t>17</w:t>
        </w:r>
      </w:hyperlink>
    </w:p>
    <w:p>
      <w:pPr>
        <w:pStyle w:val="TOC2"/>
      </w:pPr>
      <w:hyperlink w:anchor="v5_41" w:history="1">
        <w:r>
          <w:rPr>
            <w:rFonts w:ascii="Times New Roman" w:hAnsi="Times New Roman" w:eastAsia="Songti SC"/>
            <w:color w:val="000000"/>
            <w:sz w:val="22"/>
          </w:rPr>
          <w:t>3.1 引言</w:t>
        </w:r>
        <w:r>
          <w:rPr>
            <w:rFonts w:ascii="Times New Roman" w:hAnsi="Times New Roman" w:eastAsia="Songti SC"/>
            <w:color w:val="000000"/>
            <w:sz w:val="22"/>
          </w:rPr>
          <w:tab/>
          <w:t>17</w:t>
        </w:r>
      </w:hyperlink>
    </w:p>
    <w:p>
      <w:pPr>
        <w:pStyle w:val="TOC2"/>
      </w:pPr>
      <w:hyperlink w:anchor="v5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18</w:t>
        </w:r>
      </w:hyperlink>
    </w:p>
    <w:p>
      <w:pPr>
        <w:pStyle w:val="TOC3"/>
      </w:pPr>
      <w:hyperlink w:anchor="v5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18</w:t>
        </w:r>
      </w:hyperlink>
    </w:p>
    <w:p>
      <w:pPr>
        <w:pStyle w:val="TOC3"/>
      </w:pPr>
      <w:hyperlink w:anchor="v5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18</w:t>
        </w:r>
      </w:hyperlink>
    </w:p>
    <w:p>
      <w:pPr>
        <w:pStyle w:val="TOC2"/>
      </w:pPr>
      <w:hyperlink w:anchor="v5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19</w:t>
        </w:r>
      </w:hyperlink>
    </w:p>
    <w:p>
      <w:pPr>
        <w:pStyle w:val="TOC3"/>
      </w:pPr>
      <w:hyperlink w:anchor="v5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19</w:t>
        </w:r>
      </w:hyperlink>
    </w:p>
    <w:p>
      <w:pPr>
        <w:pStyle w:val="TOC3"/>
      </w:pPr>
      <w:hyperlink w:anchor="v5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21</w:t>
        </w:r>
      </w:hyperlink>
    </w:p>
    <w:p>
      <w:pPr>
        <w:pStyle w:val="TOC3"/>
      </w:pPr>
      <w:hyperlink w:anchor="v5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22</w:t>
        </w:r>
      </w:hyperlink>
    </w:p>
    <w:p>
      <w:pPr>
        <w:pStyle w:val="TOC2"/>
      </w:pPr>
      <w:hyperlink w:anchor="v5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23</w:t>
        </w:r>
      </w:hyperlink>
    </w:p>
    <w:p>
      <w:pPr>
        <w:pStyle w:val="TOC3"/>
      </w:pPr>
      <w:hyperlink w:anchor="v5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24</w:t>
        </w:r>
      </w:hyperlink>
    </w:p>
    <w:p>
      <w:pPr>
        <w:pStyle w:val="TOC3"/>
      </w:pPr>
      <w:hyperlink w:anchor="v5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24</w:t>
        </w:r>
      </w:hyperlink>
    </w:p>
    <w:p>
      <w:pPr>
        <w:pStyle w:val="TOC3"/>
      </w:pPr>
      <w:hyperlink w:anchor="v5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25</w:t>
        </w:r>
      </w:hyperlink>
    </w:p>
    <w:p>
      <w:pPr>
        <w:pStyle w:val="TOC2"/>
      </w:pPr>
      <w:hyperlink w:anchor="v5_53" w:history="1">
        <w:r>
          <w:rPr>
            <w:rFonts w:ascii="Times New Roman" w:hAnsi="Times New Roman" w:eastAsia="Songti SC"/>
            <w:color w:val="000000"/>
            <w:sz w:val="22"/>
          </w:rPr>
          <w:t>3.5 算法及性质</w:t>
        </w:r>
        <w:r>
          <w:rPr>
            <w:rFonts w:ascii="Times New Roman" w:hAnsi="Times New Roman" w:eastAsia="Songti SC"/>
            <w:color w:val="000000"/>
            <w:sz w:val="22"/>
          </w:rPr>
          <w:tab/>
          <w:t>26</w:t>
        </w:r>
      </w:hyperlink>
    </w:p>
    <w:p>
      <w:pPr>
        <w:pStyle w:val="TOC3"/>
      </w:pPr>
      <w:hyperlink w:anchor="v5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26</w:t>
        </w:r>
      </w:hyperlink>
    </w:p>
    <w:p>
      <w:pPr>
        <w:pStyle w:val="TOC3"/>
      </w:pPr>
      <w:hyperlink w:anchor="v5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27</w:t>
        </w:r>
      </w:hyperlink>
    </w:p>
    <w:p>
      <w:pPr>
        <w:pStyle w:val="TOC2"/>
      </w:pPr>
      <w:hyperlink w:anchor="v5_56" w:history="1">
        <w:r>
          <w:rPr>
            <w:rFonts w:ascii="Times New Roman" w:hAnsi="Times New Roman" w:eastAsia="Songti SC"/>
            <w:color w:val="000000"/>
            <w:sz w:val="22"/>
          </w:rPr>
          <w:t>3.6 验证设计与已有证据</w:t>
        </w:r>
        <w:r>
          <w:rPr>
            <w:rFonts w:ascii="Times New Roman" w:hAnsi="Times New Roman" w:eastAsia="Songti SC"/>
            <w:color w:val="000000"/>
            <w:sz w:val="22"/>
          </w:rPr>
          <w:tab/>
          <w:t>28</w:t>
        </w:r>
      </w:hyperlink>
    </w:p>
    <w:p>
      <w:pPr>
        <w:pStyle w:val="TOC3"/>
      </w:pPr>
      <w:hyperlink w:anchor="v5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28</w:t>
        </w:r>
      </w:hyperlink>
    </w:p>
    <w:p>
      <w:pPr>
        <w:pStyle w:val="TOC3"/>
      </w:pPr>
      <w:hyperlink w:anchor="v5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29</w:t>
        </w:r>
      </w:hyperlink>
    </w:p>
    <w:p>
      <w:pPr>
        <w:pStyle w:val="TOC3"/>
      </w:pPr>
      <w:hyperlink w:anchor="v5_59" w:history="1">
        <w:r>
          <w:rPr>
            <w:rFonts w:ascii="Times New Roman" w:hAnsi="Times New Roman" w:eastAsia="Songti SC"/>
            <w:color w:val="000000"/>
            <w:sz w:val="22"/>
          </w:rPr>
          <w:t>3.6.3 已执行的结构与权重检查</w:t>
        </w:r>
        <w:r>
          <w:rPr>
            <w:rFonts w:ascii="Times New Roman" w:hAnsi="Times New Roman" w:eastAsia="Songti SC"/>
            <w:color w:val="000000"/>
            <w:sz w:val="22"/>
          </w:rPr>
          <w:tab/>
          <w:t>29</w:t>
        </w:r>
      </w:hyperlink>
    </w:p>
    <w:p>
      <w:pPr>
        <w:pStyle w:val="TOC3"/>
      </w:pPr>
      <w:hyperlink w:anchor="v5_60" w:history="1">
        <w:r>
          <w:rPr>
            <w:rFonts w:ascii="Times New Roman" w:hAnsi="Times New Roman" w:eastAsia="Songti SC"/>
            <w:color w:val="000000"/>
            <w:sz w:val="22"/>
          </w:rPr>
          <w:t>3.6.4 中心选择与适用条件</w:t>
        </w:r>
        <w:r>
          <w:rPr>
            <w:rFonts w:ascii="Times New Roman" w:hAnsi="Times New Roman" w:eastAsia="Songti SC"/>
            <w:color w:val="000000"/>
            <w:sz w:val="22"/>
          </w:rPr>
          <w:tab/>
          <w:t>30</w:t>
        </w:r>
      </w:hyperlink>
    </w:p>
    <w:p>
      <w:pPr>
        <w:pStyle w:val="TOC3"/>
      </w:pPr>
      <w:hyperlink w:anchor="v5_61" w:history="1">
        <w:r>
          <w:rPr>
            <w:rFonts w:ascii="Times New Roman" w:hAnsi="Times New Roman" w:eastAsia="Songti SC"/>
            <w:color w:val="000000"/>
            <w:sz w:val="22"/>
          </w:rPr>
          <w:t>3.6.5 成本与案例的证据身份</w:t>
        </w:r>
        <w:r>
          <w:rPr>
            <w:rFonts w:ascii="Times New Roman" w:hAnsi="Times New Roman" w:eastAsia="Songti SC"/>
            <w:color w:val="000000"/>
            <w:sz w:val="22"/>
          </w:rPr>
          <w:tab/>
          <w:t>31</w:t>
        </w:r>
      </w:hyperlink>
    </w:p>
    <w:p>
      <w:pPr>
        <w:pStyle w:val="TOC2"/>
      </w:pPr>
      <w:hyperlink w:anchor="v5_62" w:history="1">
        <w:r>
          <w:rPr>
            <w:rFonts w:ascii="Times New Roman" w:hAnsi="Times New Roman" w:eastAsia="Songti SC"/>
            <w:color w:val="000000"/>
            <w:sz w:val="22"/>
          </w:rPr>
          <w:t>3.7 本章小结</w:t>
        </w:r>
        <w:r>
          <w:rPr>
            <w:rFonts w:ascii="Times New Roman" w:hAnsi="Times New Roman" w:eastAsia="Songti SC"/>
            <w:color w:val="000000"/>
            <w:sz w:val="22"/>
          </w:rPr>
          <w:tab/>
          <w:t>31</w:t>
        </w:r>
      </w:hyperlink>
    </w:p>
    <w:p>
      <w:pPr>
        <w:pStyle w:val="TOC1"/>
        <w:keepNext/>
        <w:spacing w:before="120"/>
      </w:pPr>
      <w:hyperlink w:anchor="v5_63"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32</w:t>
        </w:r>
      </w:hyperlink>
    </w:p>
    <w:p>
      <w:pPr>
        <w:pStyle w:val="TOC2"/>
      </w:pPr>
      <w:hyperlink w:anchor="v5_64" w:history="1">
        <w:r>
          <w:rPr>
            <w:rFonts w:ascii="Times New Roman" w:hAnsi="Times New Roman" w:eastAsia="Songti SC"/>
            <w:color w:val="000000"/>
            <w:sz w:val="22"/>
          </w:rPr>
          <w:t>4.1 引言</w:t>
        </w:r>
        <w:r>
          <w:rPr>
            <w:rFonts w:ascii="Times New Roman" w:hAnsi="Times New Roman" w:eastAsia="Songti SC"/>
            <w:color w:val="000000"/>
            <w:sz w:val="22"/>
          </w:rPr>
          <w:tab/>
          <w:t>32</w:t>
        </w:r>
      </w:hyperlink>
    </w:p>
    <w:p>
      <w:pPr>
        <w:pStyle w:val="TOC2"/>
      </w:pPr>
      <w:hyperlink w:anchor="v5_65" w:history="1">
        <w:r>
          <w:rPr>
            <w:rFonts w:ascii="Times New Roman" w:hAnsi="Times New Roman" w:eastAsia="Songti SC"/>
            <w:color w:val="000000"/>
            <w:sz w:val="22"/>
          </w:rPr>
          <w:t>4.2 候选生成与初始图</w:t>
        </w:r>
        <w:r>
          <w:rPr>
            <w:rFonts w:ascii="Times New Roman" w:hAnsi="Times New Roman" w:eastAsia="Songti SC"/>
            <w:color w:val="000000"/>
            <w:sz w:val="22"/>
          </w:rPr>
          <w:tab/>
          <w:t>34</w:t>
        </w:r>
      </w:hyperlink>
    </w:p>
    <w:p>
      <w:pPr>
        <w:pStyle w:val="TOC3"/>
      </w:pPr>
      <w:hyperlink w:anchor="v5_66"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34</w:t>
        </w:r>
      </w:hyperlink>
    </w:p>
    <w:p>
      <w:pPr>
        <w:pStyle w:val="TOC3"/>
      </w:pPr>
      <w:hyperlink w:anchor="v5_67"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34</w:t>
        </w:r>
      </w:hyperlink>
    </w:p>
    <w:p>
      <w:pPr>
        <w:pStyle w:val="TOC3"/>
      </w:pPr>
      <w:hyperlink w:anchor="v5_68"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35</w:t>
        </w:r>
      </w:hyperlink>
    </w:p>
    <w:p>
      <w:pPr>
        <w:pStyle w:val="TOC3"/>
      </w:pPr>
      <w:hyperlink w:anchor="v5_69"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36</w:t>
        </w:r>
      </w:hyperlink>
    </w:p>
    <w:p>
      <w:pPr>
        <w:pStyle w:val="TOC2"/>
      </w:pPr>
      <w:hyperlink w:anchor="v5_70"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36</w:t>
        </w:r>
      </w:hyperlink>
    </w:p>
    <w:p>
      <w:pPr>
        <w:pStyle w:val="TOC3"/>
      </w:pPr>
      <w:hyperlink w:anchor="v5_71"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36</w:t>
        </w:r>
      </w:hyperlink>
    </w:p>
    <w:p>
      <w:pPr>
        <w:pStyle w:val="TOC3"/>
      </w:pPr>
      <w:hyperlink w:anchor="v5_72"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37</w:t>
        </w:r>
      </w:hyperlink>
    </w:p>
    <w:p>
      <w:pPr>
        <w:pStyle w:val="TOC2"/>
      </w:pPr>
      <w:hyperlink w:anchor="v5_73"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38</w:t>
        </w:r>
      </w:hyperlink>
    </w:p>
    <w:p>
      <w:pPr>
        <w:pStyle w:val="TOC3"/>
      </w:pPr>
      <w:hyperlink w:anchor="v5_74"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38</w:t>
        </w:r>
      </w:hyperlink>
    </w:p>
    <w:p>
      <w:pPr>
        <w:pStyle w:val="TOC3"/>
      </w:pPr>
      <w:hyperlink w:anchor="v5_75"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39</w:t>
        </w:r>
      </w:hyperlink>
    </w:p>
    <w:p>
      <w:pPr>
        <w:pStyle w:val="TOC3"/>
      </w:pPr>
      <w:hyperlink w:anchor="v5_76" w:history="1">
        <w:r>
          <w:rPr>
            <w:rFonts w:ascii="Times New Roman" w:hAnsi="Times New Roman" w:eastAsia="Songti SC"/>
            <w:color w:val="000000"/>
            <w:sz w:val="22"/>
          </w:rPr>
          <w:t>4.4.3 固定计数效用</w:t>
        </w:r>
        <w:r>
          <w:rPr>
            <w:rFonts w:ascii="Times New Roman" w:hAnsi="Times New Roman" w:eastAsia="Songti SC"/>
            <w:color w:val="000000"/>
            <w:sz w:val="22"/>
          </w:rPr>
          <w:tab/>
          <w:t>39</w:t>
        </w:r>
      </w:hyperlink>
    </w:p>
    <w:p>
      <w:pPr>
        <w:pStyle w:val="TOC3"/>
      </w:pPr>
      <w:hyperlink w:anchor="v5_77"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40</w:t>
        </w:r>
      </w:hyperlink>
    </w:p>
    <w:p>
      <w:pPr>
        <w:pStyle w:val="TOC3"/>
      </w:pPr>
      <w:hyperlink w:anchor="v5_78" w:history="1">
        <w:r>
          <w:rPr>
            <w:rFonts w:ascii="Times New Roman" w:hAnsi="Times New Roman" w:eastAsia="Songti SC"/>
            <w:color w:val="000000"/>
            <w:sz w:val="22"/>
          </w:rPr>
          <w:t>4.4.5 联合修正的教学算例</w:t>
        </w:r>
        <w:r>
          <w:rPr>
            <w:rFonts w:ascii="Times New Roman" w:hAnsi="Times New Roman" w:eastAsia="Songti SC"/>
            <w:color w:val="000000"/>
            <w:sz w:val="22"/>
          </w:rPr>
          <w:tab/>
          <w:t>40</w:t>
        </w:r>
      </w:hyperlink>
    </w:p>
    <w:p>
      <w:pPr>
        <w:pStyle w:val="TOC2"/>
      </w:pPr>
      <w:hyperlink w:anchor="v5_79" w:history="1">
        <w:r>
          <w:rPr>
            <w:rFonts w:ascii="Times New Roman" w:hAnsi="Times New Roman" w:eastAsia="Songti SC"/>
            <w:color w:val="000000"/>
            <w:sz w:val="22"/>
          </w:rPr>
          <w:t>4.5 求解算法及性质</w:t>
        </w:r>
        <w:r>
          <w:rPr>
            <w:rFonts w:ascii="Times New Roman" w:hAnsi="Times New Roman" w:eastAsia="Songti SC"/>
            <w:color w:val="000000"/>
            <w:sz w:val="22"/>
          </w:rPr>
          <w:tab/>
          <w:t>41</w:t>
        </w:r>
      </w:hyperlink>
    </w:p>
    <w:p>
      <w:pPr>
        <w:pStyle w:val="TOC3"/>
      </w:pPr>
      <w:hyperlink w:anchor="v5_80"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42</w:t>
        </w:r>
      </w:hyperlink>
    </w:p>
    <w:p>
      <w:pPr>
        <w:pStyle w:val="TOC3"/>
      </w:pPr>
      <w:hyperlink w:anchor="v5_81"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42</w:t>
        </w:r>
      </w:hyperlink>
    </w:p>
    <w:p>
      <w:pPr>
        <w:pStyle w:val="TOC3"/>
      </w:pPr>
      <w:hyperlink w:anchor="v5_82"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45</w:t>
        </w:r>
      </w:hyperlink>
    </w:p>
    <w:p>
      <w:pPr>
        <w:pStyle w:val="TOC3"/>
      </w:pPr>
      <w:hyperlink w:anchor="v5_83"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46</w:t>
        </w:r>
      </w:hyperlink>
    </w:p>
    <w:p>
      <w:pPr>
        <w:pStyle w:val="TOC3"/>
      </w:pPr>
      <w:hyperlink w:anchor="v5_84"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46</w:t>
        </w:r>
      </w:hyperlink>
    </w:p>
    <w:p>
      <w:pPr>
        <w:pStyle w:val="TOC2"/>
      </w:pPr>
      <w:hyperlink w:anchor="v5_85" w:history="1">
        <w:r>
          <w:rPr>
            <w:rFonts w:ascii="Times New Roman" w:hAnsi="Times New Roman" w:eastAsia="Songti SC"/>
            <w:color w:val="000000"/>
            <w:sz w:val="22"/>
          </w:rPr>
          <w:t>4.6 实验与分析</w:t>
        </w:r>
        <w:r>
          <w:rPr>
            <w:rFonts w:ascii="Times New Roman" w:hAnsi="Times New Roman" w:eastAsia="Songti SC"/>
            <w:color w:val="000000"/>
            <w:sz w:val="22"/>
          </w:rPr>
          <w:tab/>
          <w:t>47</w:t>
        </w:r>
      </w:hyperlink>
    </w:p>
    <w:p>
      <w:pPr>
        <w:pStyle w:val="TOC3"/>
      </w:pPr>
      <w:hyperlink w:anchor="v5_86"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47</w:t>
        </w:r>
      </w:hyperlink>
    </w:p>
    <w:p>
      <w:pPr>
        <w:pStyle w:val="TOC3"/>
      </w:pPr>
      <w:hyperlink w:anchor="v5_87" w:history="1">
        <w:r>
          <w:rPr>
            <w:rFonts w:ascii="Times New Roman" w:hAnsi="Times New Roman" w:eastAsia="Songti SC"/>
            <w:color w:val="000000"/>
            <w:sz w:val="22"/>
          </w:rPr>
          <w:t>4.6.2 分步与联合决策的构造验证</w:t>
        </w:r>
        <w:r>
          <w:rPr>
            <w:rFonts w:ascii="Times New Roman" w:hAnsi="Times New Roman" w:eastAsia="Songti SC"/>
            <w:color w:val="000000"/>
            <w:sz w:val="22"/>
          </w:rPr>
          <w:tab/>
          <w:t>50</w:t>
        </w:r>
      </w:hyperlink>
    </w:p>
    <w:p>
      <w:pPr>
        <w:pStyle w:val="TOC3"/>
      </w:pPr>
      <w:hyperlink w:anchor="v5_88" w:history="1">
        <w:r>
          <w:rPr>
            <w:rFonts w:ascii="Times New Roman" w:hAnsi="Times New Roman" w:eastAsia="Songti SC"/>
            <w:color w:val="000000"/>
            <w:sz w:val="22"/>
          </w:rPr>
          <w:t>4.6.3 候选覆盖与松弛Oracle</w:t>
        </w:r>
        <w:r>
          <w:rPr>
            <w:rFonts w:ascii="Times New Roman" w:hAnsi="Times New Roman" w:eastAsia="Songti SC"/>
            <w:color w:val="000000"/>
            <w:sz w:val="22"/>
          </w:rPr>
          <w:tab/>
          <w:t>51</w:t>
        </w:r>
      </w:hyperlink>
    </w:p>
    <w:p>
      <w:pPr>
        <w:pStyle w:val="TOC3"/>
      </w:pPr>
      <w:hyperlink w:anchor="v5_89" w:history="1">
        <w:r>
          <w:rPr>
            <w:rFonts w:ascii="Times New Roman" w:hAnsi="Times New Roman" w:eastAsia="Songti SC"/>
            <w:color w:val="000000"/>
            <w:sz w:val="22"/>
          </w:rPr>
          <w:t>4.6.4 完整对象评分及接受后可靠性</w:t>
        </w:r>
        <w:r>
          <w:rPr>
            <w:rFonts w:ascii="Times New Roman" w:hAnsi="Times New Roman" w:eastAsia="Songti SC"/>
            <w:color w:val="000000"/>
            <w:sz w:val="22"/>
          </w:rPr>
          <w:tab/>
          <w:t>52</w:t>
        </w:r>
      </w:hyperlink>
    </w:p>
    <w:p>
      <w:pPr>
        <w:pStyle w:val="TOC3"/>
      </w:pPr>
      <w:hyperlink w:anchor="v5_90" w:history="1">
        <w:r>
          <w:rPr>
            <w:rFonts w:ascii="Times New Roman" w:hAnsi="Times New Roman" w:eastAsia="Songti SC"/>
            <w:color w:val="000000"/>
            <w:sz w:val="22"/>
          </w:rPr>
          <w:t>4.6.5 风险、资源与求解状态</w:t>
        </w:r>
        <w:r>
          <w:rPr>
            <w:rFonts w:ascii="Times New Roman" w:hAnsi="Times New Roman" w:eastAsia="Songti SC"/>
            <w:color w:val="000000"/>
            <w:sz w:val="22"/>
          </w:rPr>
          <w:tab/>
          <w:t>53</w:t>
        </w:r>
      </w:hyperlink>
    </w:p>
    <w:p>
      <w:pPr>
        <w:pStyle w:val="TOC3"/>
      </w:pPr>
      <w:hyperlink w:anchor="v5_91" w:history="1">
        <w:r>
          <w:rPr>
            <w:rFonts w:ascii="Times New Roman" w:hAnsi="Times New Roman" w:eastAsia="Songti SC"/>
            <w:color w:val="000000"/>
            <w:sz w:val="22"/>
          </w:rPr>
          <w:t>4.6.6 案例身份与解释范围</w:t>
        </w:r>
        <w:r>
          <w:rPr>
            <w:rFonts w:ascii="Times New Roman" w:hAnsi="Times New Roman" w:eastAsia="Songti SC"/>
            <w:color w:val="000000"/>
            <w:sz w:val="22"/>
          </w:rPr>
          <w:tab/>
          <w:t>54</w:t>
        </w:r>
      </w:hyperlink>
    </w:p>
    <w:p>
      <w:pPr>
        <w:pStyle w:val="TOC2"/>
      </w:pPr>
      <w:hyperlink w:anchor="v5_92" w:history="1">
        <w:r>
          <w:rPr>
            <w:rFonts w:ascii="Times New Roman" w:hAnsi="Times New Roman" w:eastAsia="Songti SC"/>
            <w:color w:val="000000"/>
            <w:sz w:val="22"/>
          </w:rPr>
          <w:t>4.7 本章小结</w:t>
        </w:r>
        <w:r>
          <w:rPr>
            <w:rFonts w:ascii="Times New Roman" w:hAnsi="Times New Roman" w:eastAsia="Songti SC"/>
            <w:color w:val="000000"/>
            <w:sz w:val="22"/>
          </w:rPr>
          <w:tab/>
          <w:t>54</w:t>
        </w:r>
      </w:hyperlink>
    </w:p>
    <w:p>
      <w:pPr>
        <w:pStyle w:val="TOC1"/>
        <w:keepNext/>
        <w:spacing w:before="120"/>
      </w:pPr>
      <w:hyperlink w:anchor="v5_93"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55</w:t>
        </w:r>
      </w:hyperlink>
    </w:p>
    <w:p>
      <w:pPr>
        <w:pStyle w:val="TOC2"/>
      </w:pPr>
      <w:hyperlink w:anchor="v5_94" w:history="1">
        <w:r>
          <w:rPr>
            <w:rFonts w:ascii="Times New Roman" w:hAnsi="Times New Roman" w:eastAsia="Songti SC"/>
            <w:color w:val="000000"/>
            <w:sz w:val="22"/>
          </w:rPr>
          <w:t>5.1 两阶段组合及可比条件</w:t>
        </w:r>
        <w:r>
          <w:rPr>
            <w:rFonts w:ascii="Times New Roman" w:hAnsi="Times New Roman" w:eastAsia="Songti SC"/>
            <w:color w:val="000000"/>
            <w:sz w:val="22"/>
          </w:rPr>
          <w:tab/>
          <w:t>55</w:t>
        </w:r>
      </w:hyperlink>
    </w:p>
    <w:p>
      <w:pPr>
        <w:pStyle w:val="TOC2"/>
      </w:pPr>
      <w:hyperlink w:anchor="v5_95" w:history="1">
        <w:r>
          <w:rPr>
            <w:rFonts w:ascii="Times New Roman" w:hAnsi="Times New Roman" w:eastAsia="Songti SC"/>
            <w:color w:val="000000"/>
            <w:sz w:val="22"/>
          </w:rPr>
          <w:t>5.2 当前证据与两阶段归因</w:t>
        </w:r>
        <w:r>
          <w:rPr>
            <w:rFonts w:ascii="Times New Roman" w:hAnsi="Times New Roman" w:eastAsia="Songti SC"/>
            <w:color w:val="000000"/>
            <w:sz w:val="22"/>
          </w:rPr>
          <w:tab/>
          <w:t>55</w:t>
        </w:r>
      </w:hyperlink>
    </w:p>
    <w:p>
      <w:pPr>
        <w:pStyle w:val="TOC3"/>
      </w:pPr>
      <w:hyperlink w:anchor="v5_96" w:history="1">
        <w:r>
          <w:rPr>
            <w:rFonts w:ascii="Times New Roman" w:hAnsi="Times New Roman" w:eastAsia="Songti SC"/>
            <w:color w:val="000000"/>
            <w:sz w:val="22"/>
          </w:rPr>
          <w:t>5.2.1 四格结果的身份约束</w:t>
        </w:r>
        <w:r>
          <w:rPr>
            <w:rFonts w:ascii="Times New Roman" w:hAnsi="Times New Roman" w:eastAsia="Songti SC"/>
            <w:color w:val="000000"/>
            <w:sz w:val="22"/>
          </w:rPr>
          <w:tab/>
          <w:t>55</w:t>
        </w:r>
      </w:hyperlink>
    </w:p>
    <w:p>
      <w:pPr>
        <w:pStyle w:val="TOC3"/>
      </w:pPr>
      <w:hyperlink w:anchor="v5_97" w:history="1">
        <w:r>
          <w:rPr>
            <w:rFonts w:ascii="Times New Roman" w:hAnsi="Times New Roman" w:eastAsia="Songti SC"/>
            <w:color w:val="000000"/>
            <w:sz w:val="22"/>
          </w:rPr>
          <w:t>5.2.2 已观察的结构边界</w:t>
        </w:r>
        <w:r>
          <w:rPr>
            <w:rFonts w:ascii="Times New Roman" w:hAnsi="Times New Roman" w:eastAsia="Songti SC"/>
            <w:color w:val="000000"/>
            <w:sz w:val="22"/>
          </w:rPr>
          <w:tab/>
          <w:t>56</w:t>
        </w:r>
      </w:hyperlink>
    </w:p>
    <w:p>
      <w:pPr>
        <w:pStyle w:val="TOC2"/>
      </w:pPr>
      <w:hyperlink w:anchor="v5_98" w:history="1">
        <w:r>
          <w:rPr>
            <w:rFonts w:ascii="Times New Roman" w:hAnsi="Times New Roman" w:eastAsia="Songti SC"/>
            <w:color w:val="000000"/>
            <w:sz w:val="22"/>
          </w:rPr>
          <w:t>5.3 成本与效果主张的边界</w:t>
        </w:r>
        <w:r>
          <w:rPr>
            <w:rFonts w:ascii="Times New Roman" w:hAnsi="Times New Roman" w:eastAsia="Songti SC"/>
            <w:color w:val="000000"/>
            <w:sz w:val="22"/>
          </w:rPr>
          <w:tab/>
          <w:t>57</w:t>
        </w:r>
      </w:hyperlink>
    </w:p>
    <w:p>
      <w:pPr>
        <w:pStyle w:val="TOC2"/>
      </w:pPr>
      <w:hyperlink w:anchor="v5_99" w:history="1">
        <w:r>
          <w:rPr>
            <w:rFonts w:ascii="Times New Roman" w:hAnsi="Times New Roman" w:eastAsia="Songti SC"/>
            <w:color w:val="000000"/>
            <w:sz w:val="22"/>
          </w:rPr>
          <w:t>5.4 跨语料适用范围</w:t>
        </w:r>
        <w:r>
          <w:rPr>
            <w:rFonts w:ascii="Times New Roman" w:hAnsi="Times New Roman" w:eastAsia="Songti SC"/>
            <w:color w:val="000000"/>
            <w:sz w:val="22"/>
          </w:rPr>
          <w:tab/>
          <w:t>57</w:t>
        </w:r>
      </w:hyperlink>
    </w:p>
    <w:p>
      <w:pPr>
        <w:pStyle w:val="TOC2"/>
      </w:pPr>
      <w:hyperlink w:anchor="v5_100" w:history="1">
        <w:r>
          <w:rPr>
            <w:rFonts w:ascii="Times New Roman" w:hAnsi="Times New Roman" w:eastAsia="Songti SC"/>
            <w:color w:val="000000"/>
            <w:sz w:val="22"/>
          </w:rPr>
          <w:t>5.5 本章小结</w:t>
        </w:r>
        <w:r>
          <w:rPr>
            <w:rFonts w:ascii="Times New Roman" w:hAnsi="Times New Roman" w:eastAsia="Songti SC"/>
            <w:color w:val="000000"/>
            <w:sz w:val="22"/>
          </w:rPr>
          <w:tab/>
          <w:t>57</w:t>
        </w:r>
      </w:hyperlink>
    </w:p>
    <w:p>
      <w:pPr>
        <w:pStyle w:val="TOC1"/>
        <w:keepNext/>
        <w:spacing w:before="120"/>
      </w:pPr>
      <w:hyperlink w:anchor="v5_101" w:history="1">
        <w:r>
          <w:rPr>
            <w:rFonts w:ascii="Times New Roman" w:hAnsi="Times New Roman" w:eastAsia="Songti SC"/>
            <w:color w:val="000000"/>
            <w:sz w:val="22"/>
          </w:rPr>
          <w:t>第六章 总结与展望</w:t>
        </w:r>
        <w:r>
          <w:rPr>
            <w:rFonts w:ascii="Times New Roman" w:hAnsi="Times New Roman" w:eastAsia="Songti SC"/>
            <w:color w:val="000000"/>
            <w:sz w:val="22"/>
          </w:rPr>
          <w:tab/>
          <w:t>58</w:t>
        </w:r>
      </w:hyperlink>
    </w:p>
    <w:p>
      <w:pPr>
        <w:pStyle w:val="TOC2"/>
      </w:pPr>
      <w:hyperlink w:anchor="v5_102" w:history="1">
        <w:r>
          <w:rPr>
            <w:rFonts w:ascii="Times New Roman" w:hAnsi="Times New Roman" w:eastAsia="Songti SC"/>
            <w:color w:val="000000"/>
            <w:sz w:val="22"/>
          </w:rPr>
          <w:t>6.1 研究总结</w:t>
        </w:r>
        <w:r>
          <w:rPr>
            <w:rFonts w:ascii="Times New Roman" w:hAnsi="Times New Roman" w:eastAsia="Songti SC"/>
            <w:color w:val="000000"/>
            <w:sz w:val="22"/>
          </w:rPr>
          <w:tab/>
          <w:t>58</w:t>
        </w:r>
      </w:hyperlink>
    </w:p>
    <w:p>
      <w:pPr>
        <w:pStyle w:val="TOC2"/>
      </w:pPr>
      <w:hyperlink w:anchor="v5_103" w:history="1">
        <w:r>
          <w:rPr>
            <w:rFonts w:ascii="Times New Roman" w:hAnsi="Times New Roman" w:eastAsia="Songti SC"/>
            <w:color w:val="000000"/>
            <w:sz w:val="22"/>
          </w:rPr>
          <w:t>6.2 研究局限</w:t>
        </w:r>
        <w:r>
          <w:rPr>
            <w:rFonts w:ascii="Times New Roman" w:hAnsi="Times New Roman" w:eastAsia="Songti SC"/>
            <w:color w:val="000000"/>
            <w:sz w:val="22"/>
          </w:rPr>
          <w:tab/>
          <w:t>58</w:t>
        </w:r>
      </w:hyperlink>
    </w:p>
    <w:p>
      <w:pPr>
        <w:pStyle w:val="TOC2"/>
      </w:pPr>
      <w:hyperlink w:anchor="v5_104" w:history="1">
        <w:r>
          <w:rPr>
            <w:rFonts w:ascii="Times New Roman" w:hAnsi="Times New Roman" w:eastAsia="Songti SC"/>
            <w:color w:val="000000"/>
            <w:sz w:val="22"/>
          </w:rPr>
          <w:t>6.3 后续研究方向</w:t>
        </w:r>
        <w:r>
          <w:rPr>
            <w:rFonts w:ascii="Times New Roman" w:hAnsi="Times New Roman" w:eastAsia="Songti SC"/>
            <w:color w:val="000000"/>
            <w:sz w:val="22"/>
          </w:rPr>
          <w:tab/>
          <w:t>59</w:t>
        </w:r>
      </w:hyperlink>
    </w:p>
    <w:p>
      <w:pPr>
        <w:pStyle w:val="TOC1"/>
        <w:keepNext/>
        <w:spacing w:before="120"/>
      </w:pPr>
      <w:hyperlink w:anchor="v5_105" w:history="1">
        <w:r>
          <w:rPr>
            <w:rFonts w:ascii="Times New Roman" w:hAnsi="Times New Roman" w:eastAsia="Songti SC"/>
            <w:color w:val="000000"/>
            <w:sz w:val="22"/>
          </w:rPr>
          <w:t>参考文献</w:t>
        </w:r>
        <w:r>
          <w:rPr>
            <w:rFonts w:ascii="Times New Roman" w:hAnsi="Times New Roman" w:eastAsia="Songti SC"/>
            <w:color w:val="000000"/>
            <w:sz w:val="22"/>
          </w:rPr>
          <w:tab/>
          <w:t>60</w:t>
        </w:r>
      </w:hyperlink>
    </w:p>
    <w:p>
      <w:pPr>
        <w:pStyle w:val="TOC1"/>
        <w:keepNext/>
        <w:spacing w:before="120"/>
      </w:pPr>
      <w:hyperlink w:anchor="v5_106"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64</w:t>
        </w:r>
      </w:hyperlink>
    </w:p>
    <w:p>
      <w:pPr>
        <w:pStyle w:val="TOC2"/>
      </w:pPr>
      <w:hyperlink w:anchor="v5_107" w:history="1">
        <w:r>
          <w:rPr>
            <w:rFonts w:ascii="Times New Roman" w:hAnsi="Times New Roman" w:eastAsia="Songti SC"/>
            <w:color w:val="000000"/>
            <w:sz w:val="22"/>
          </w:rPr>
          <w:t>A.1 坐标与结构数据</w:t>
        </w:r>
        <w:r>
          <w:rPr>
            <w:rFonts w:ascii="Times New Roman" w:hAnsi="Times New Roman" w:eastAsia="Songti SC"/>
            <w:color w:val="000000"/>
            <w:sz w:val="22"/>
          </w:rPr>
          <w:tab/>
          <w:t>64</w:t>
        </w:r>
      </w:hyperlink>
    </w:p>
    <w:p>
      <w:pPr>
        <w:pStyle w:val="TOC2"/>
      </w:pPr>
      <w:hyperlink w:anchor="v5_108" w:history="1">
        <w:r>
          <w:rPr>
            <w:rFonts w:ascii="Times New Roman" w:hAnsi="Times New Roman" w:eastAsia="Songti SC"/>
            <w:color w:val="000000"/>
            <w:sz w:val="22"/>
          </w:rPr>
          <w:t>A.2 配置与结果的关联</w:t>
        </w:r>
        <w:r>
          <w:rPr>
            <w:rFonts w:ascii="Times New Roman" w:hAnsi="Times New Roman" w:eastAsia="Songti SC"/>
            <w:color w:val="000000"/>
            <w:sz w:val="22"/>
          </w:rPr>
          <w:tab/>
          <w:t>64</w:t>
        </w:r>
      </w:hyperlink>
    </w:p>
    <w:p>
      <w:pPr>
        <w:pStyle w:val="TOC2"/>
      </w:pPr>
      <w:hyperlink w:anchor="v5_109"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65</w:t>
        </w:r>
      </w:hyperlink>
    </w:p>
    <w:p>
      <w:pPr>
        <w:pStyle w:val="TOC2"/>
      </w:pPr>
      <w:hyperlink w:anchor="v5_110" w:history="1">
        <w:r>
          <w:rPr>
            <w:rFonts w:ascii="Times New Roman" w:hAnsi="Times New Roman" w:eastAsia="Songti SC"/>
            <w:color w:val="000000"/>
            <w:sz w:val="22"/>
          </w:rPr>
          <w:t>A.4 本版参考规约与配置身份</w:t>
        </w:r>
        <w:r>
          <w:rPr>
            <w:rFonts w:ascii="Times New Roman" w:hAnsi="Times New Roman" w:eastAsia="Songti SC"/>
            <w:color w:val="000000"/>
            <w:sz w:val="22"/>
          </w:rPr>
          <w:tab/>
          <w:t>65</w:t>
        </w:r>
      </w:hyperlink>
    </w:p>
    <w:p>
      <w:pPr>
        <w:pStyle w:val="TOC2"/>
      </w:pPr>
      <w:hyperlink w:anchor="v5_111" w:history="1">
        <w:r>
          <w:rPr>
            <w:rFonts w:ascii="Times New Roman" w:hAnsi="Times New Roman" w:eastAsia="Songti SC"/>
            <w:color w:val="000000"/>
            <w:sz w:val="22"/>
          </w:rPr>
          <w:t>A.5 结果登记与缺失处理</w:t>
        </w:r>
        <w:r>
          <w:rPr>
            <w:rFonts w:ascii="Times New Roman" w:hAnsi="Times New Roman" w:eastAsia="Songti SC"/>
            <w:color w:val="000000"/>
            <w:sz w:val="22"/>
          </w:rPr>
          <w:tab/>
          <w:t>66</w:t>
        </w:r>
      </w:hyperlink>
    </w:p>
    <w:p>
      <w:pPr>
        <w:pStyle w:val="TOC1"/>
        <w:keepNext/>
        <w:spacing w:before="120"/>
      </w:pPr>
      <w:hyperlink w:anchor="v5_112"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67</w:t>
        </w:r>
      </w:hyperlink>
    </w:p>
    <w:p>
      <w:pPr>
        <w:pStyle w:val="TOC2"/>
      </w:pPr>
      <w:hyperlink w:anchor="v5_113" w:history="1">
        <w:r>
          <w:rPr>
            <w:rFonts w:ascii="Times New Roman" w:hAnsi="Times New Roman" w:eastAsia="Songti SC"/>
            <w:color w:val="000000"/>
            <w:sz w:val="22"/>
          </w:rPr>
          <w:t>B.1 数据与模型身份</w:t>
        </w:r>
        <w:r>
          <w:rPr>
            <w:rFonts w:ascii="Times New Roman" w:hAnsi="Times New Roman" w:eastAsia="Songti SC"/>
            <w:color w:val="000000"/>
            <w:sz w:val="22"/>
          </w:rPr>
          <w:tab/>
          <w:t>67</w:t>
        </w:r>
      </w:hyperlink>
    </w:p>
    <w:p>
      <w:pPr>
        <w:pStyle w:val="TOC2"/>
      </w:pPr>
      <w:hyperlink w:anchor="v5_114" w:history="1">
        <w:r>
          <w:rPr>
            <w:rFonts w:ascii="Times New Roman" w:hAnsi="Times New Roman" w:eastAsia="Songti SC"/>
            <w:color w:val="000000"/>
            <w:sz w:val="22"/>
          </w:rPr>
          <w:t>B.2 评分与接受轨迹</w:t>
        </w:r>
        <w:r>
          <w:rPr>
            <w:rFonts w:ascii="Times New Roman" w:hAnsi="Times New Roman" w:eastAsia="Songti SC"/>
            <w:color w:val="000000"/>
            <w:sz w:val="22"/>
          </w:rPr>
          <w:tab/>
          <w:t>67</w:t>
        </w:r>
      </w:hyperlink>
    </w:p>
    <w:p>
      <w:pPr>
        <w:pStyle w:val="TOC2"/>
      </w:pPr>
      <w:hyperlink w:anchor="v5_115" w:history="1">
        <w:r>
          <w:rPr>
            <w:rFonts w:ascii="Times New Roman" w:hAnsi="Times New Roman" w:eastAsia="Songti SC"/>
            <w:color w:val="000000"/>
            <w:sz w:val="22"/>
          </w:rPr>
          <w:t>B.3 回退与预算</w:t>
        </w:r>
        <w:r>
          <w:rPr>
            <w:rFonts w:ascii="Times New Roman" w:hAnsi="Times New Roman" w:eastAsia="Songti SC"/>
            <w:color w:val="000000"/>
            <w:sz w:val="22"/>
          </w:rPr>
          <w:tab/>
          <w:t>67</w:t>
        </w:r>
      </w:hyperlink>
    </w:p>
    <w:p>
      <w:pPr>
        <w:pStyle w:val="TOC2"/>
      </w:pPr>
      <w:hyperlink w:anchor="v5_116" w:history="1">
        <w:r>
          <w:rPr>
            <w:rFonts w:ascii="Times New Roman" w:hAnsi="Times New Roman" w:eastAsia="Songti SC"/>
            <w:color w:val="000000"/>
            <w:sz w:val="22"/>
          </w:rPr>
          <w:t>B.4 实现一致性测试</w:t>
        </w:r>
        <w:r>
          <w:rPr>
            <w:rFonts w:ascii="Times New Roman" w:hAnsi="Times New Roman" w:eastAsia="Songti SC"/>
            <w:color w:val="000000"/>
            <w:sz w:val="22"/>
          </w:rPr>
          <w:tab/>
          <w:t>67</w:t>
        </w:r>
      </w:hyperlink>
    </w:p>
    <w:p>
      <w:pPr>
        <w:pStyle w:val="TOC2"/>
      </w:pPr>
      <w:hyperlink w:anchor="v5_117" w:history="1">
        <w:r>
          <w:rPr>
            <w:rFonts w:ascii="Times New Roman" w:hAnsi="Times New Roman" w:eastAsia="Songti SC"/>
            <w:color w:val="000000"/>
            <w:sz w:val="22"/>
          </w:rPr>
          <w:t>B.5 真实案例的统一记录模板</w:t>
        </w:r>
        <w:r>
          <w:rPr>
            <w:rFonts w:ascii="Times New Roman" w:hAnsi="Times New Roman" w:eastAsia="Songti SC"/>
            <w:color w:val="000000"/>
            <w:sz w:val="22"/>
          </w:rPr>
          <w:tab/>
          <w:t>68</w:t>
        </w:r>
      </w:hyperlink>
    </w:p>
    <w:p>
      <w:pPr>
        <w:pStyle w:val="TOC1"/>
        <w:keepNext/>
        <w:spacing w:before="120"/>
      </w:pPr>
      <w:hyperlink w:anchor="v5_118"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69</w:t>
        </w:r>
      </w:hyperlink>
    </w:p>
    <w:p>
      <w:pPr>
        <w:pStyle w:val="TOC2"/>
      </w:pPr>
      <w:hyperlink w:anchor="v5_119" w:history="1">
        <w:r>
          <w:rPr>
            <w:rFonts w:ascii="Times New Roman" w:hAnsi="Times New Roman" w:eastAsia="Songti SC"/>
            <w:color w:val="000000"/>
            <w:sz w:val="22"/>
          </w:rPr>
          <w:t>C.1 前期共同成果</w:t>
        </w:r>
        <w:r>
          <w:rPr>
            <w:rFonts w:ascii="Times New Roman" w:hAnsi="Times New Roman" w:eastAsia="Songti SC"/>
            <w:color w:val="000000"/>
            <w:sz w:val="22"/>
          </w:rPr>
          <w:tab/>
          <w:t>69</w:t>
        </w:r>
      </w:hyperlink>
    </w:p>
    <w:p>
      <w:pPr>
        <w:pStyle w:val="TOC2"/>
      </w:pPr>
      <w:hyperlink w:anchor="v5_120" w:history="1">
        <w:r>
          <w:rPr>
            <w:rFonts w:ascii="Times New Roman" w:hAnsi="Times New Roman" w:eastAsia="Songti SC"/>
            <w:color w:val="000000"/>
            <w:sz w:val="22"/>
          </w:rPr>
          <w:t>C.2 数据与材料可得性</w:t>
        </w:r>
        <w:r>
          <w:rPr>
            <w:rFonts w:ascii="Times New Roman" w:hAnsi="Times New Roman" w:eastAsia="Songti SC"/>
            <w:color w:val="000000"/>
            <w:sz w:val="22"/>
          </w:rPr>
          <w:tab/>
          <w:t>69</w:t>
        </w:r>
      </w:hyperlink>
    </w:p>
    <w:p>
      <w:pPr>
        <w:pStyle w:val="TOC2"/>
      </w:pPr>
      <w:hyperlink w:anchor="v5_121"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69</w:t>
        </w:r>
      </w:hyperlink>
    </w:p>
    <w:p>
      <w:pPr>
        <w:pStyle w:val="TOC2"/>
      </w:pPr>
      <w:hyperlink w:anchor="v5_122" w:history="1">
        <w:r>
          <w:rPr>
            <w:rFonts w:ascii="Times New Roman" w:hAnsi="Times New Roman" w:eastAsia="Songti SC"/>
            <w:color w:val="000000"/>
            <w:sz w:val="22"/>
          </w:rPr>
          <w:t>C.4 资助与利益冲突</w:t>
        </w:r>
        <w:r>
          <w:rPr>
            <w:rFonts w:ascii="Times New Roman" w:hAnsi="Times New Roman" w:eastAsia="Songti SC"/>
            <w:color w:val="000000"/>
            <w:sz w:val="22"/>
          </w:rPr>
          <w:tab/>
          <w:t>69</w:t>
        </w:r>
      </w:hyperlink>
    </w:p>
    <w:p>
      <w:pPr>
        <w:pStyle w:val="TOC1"/>
        <w:keepNext/>
        <w:spacing w:before="120"/>
      </w:pPr>
      <w:hyperlink w:anchor="v5_123"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70</w:t>
        </w:r>
      </w:hyperlink>
    </w:p>
    <w:p>
      <w:pPr>
        <w:pStyle w:val="TOC2"/>
      </w:pPr>
      <w:hyperlink w:anchor="v5_124"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70</w:t>
        </w:r>
      </w:hyperlink>
    </w:p>
    <w:p>
      <w:pPr>
        <w:pStyle w:val="TOC2"/>
      </w:pPr>
      <w:hyperlink w:anchor="v5_125" w:history="1">
        <w:r>
          <w:rPr>
            <w:rFonts w:ascii="Times New Roman" w:hAnsi="Times New Roman" w:eastAsia="Songti SC"/>
            <w:color w:val="000000"/>
            <w:sz w:val="22"/>
          </w:rPr>
          <w:t>D.2 训练集内诊断设置</w:t>
        </w:r>
        <w:r>
          <w:rPr>
            <w:rFonts w:ascii="Times New Roman" w:hAnsi="Times New Roman" w:eastAsia="Songti SC"/>
            <w:color w:val="000000"/>
            <w:sz w:val="22"/>
          </w:rPr>
          <w:tab/>
          <w:t>70</w:t>
        </w:r>
      </w:hyperlink>
    </w:p>
    <w:p>
      <w:pPr>
        <w:pStyle w:val="TOC2"/>
      </w:pPr>
      <w:hyperlink w:anchor="v5_126" w:history="1">
        <w:r>
          <w:rPr>
            <w:rFonts w:ascii="Times New Roman" w:hAnsi="Times New Roman" w:eastAsia="Songti SC"/>
            <w:color w:val="000000"/>
            <w:sz w:val="22"/>
          </w:rPr>
          <w:t>D.3 诊断的启示与限制</w:t>
        </w:r>
        <w:r>
          <w:rPr>
            <w:rFonts w:ascii="Times New Roman" w:hAnsi="Times New Roman" w:eastAsia="Songti SC"/>
            <w:color w:val="000000"/>
            <w:sz w:val="22"/>
          </w:rPr>
          <w:tab/>
          <w:t>70</w:t>
        </w:r>
      </w:hyperlink>
    </w:p>
    <w:p>
      <w:pPr>
        <w:pStyle w:val="TOC2"/>
      </w:pPr>
      <w:hyperlink w:anchor="v5_127" w:history="1">
        <w:r>
          <w:rPr>
            <w:rFonts w:ascii="Times New Roman" w:hAnsi="Times New Roman" w:eastAsia="Songti SC"/>
            <w:color w:val="000000"/>
            <w:sz w:val="22"/>
          </w:rPr>
          <w:t>D.4 本版构造验证及复算入口</w:t>
        </w:r>
        <w:r>
          <w:rPr>
            <w:rFonts w:ascii="Times New Roman" w:hAnsi="Times New Roman" w:eastAsia="Songti SC"/>
            <w:color w:val="000000"/>
            <w:sz w:val="22"/>
          </w:rPr>
          <w:tab/>
          <w:t>71</w:t>
        </w:r>
      </w:hyperlink>
    </w:p>
    <w:p>
      <w:pPr>
        <w:pStyle w:val="TOC2"/>
      </w:pPr>
      <w:hyperlink w:anchor="v5_128" w:history="1">
        <w:r>
          <w:rPr>
            <w:rFonts w:ascii="Times New Roman" w:hAnsi="Times New Roman" w:eastAsia="Songti SC"/>
            <w:color w:val="000000"/>
            <w:sz w:val="22"/>
          </w:rPr>
          <w:t>D.5 micro优化的计数反例</w:t>
        </w:r>
        <w:r>
          <w:rPr>
            <w:rFonts w:ascii="Times New Roman" w:hAnsi="Times New Roman" w:eastAsia="Songti SC"/>
            <w:color w:val="000000"/>
            <w:sz w:val="22"/>
          </w:rPr>
          <w:tab/>
          <w:t>71</w:t>
        </w:r>
      </w:hyperlink>
    </w:p>
    <w:p>
      <w:pPr>
        <w:pStyle w:val="TOC1"/>
        <w:keepNext/>
        <w:spacing w:before="120"/>
      </w:pPr>
      <w:hyperlink w:anchor="v5_129"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72</w:t>
        </w:r>
      </w:hyperlink>
    </w:p>
    <w:p>
      <w:pPr>
        <w:pStyle w:val="TOC2"/>
      </w:pPr>
      <w:hyperlink w:anchor="v5_130"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72</w:t>
        </w:r>
      </w:hyperlink>
    </w:p>
    <w:p>
      <w:pPr>
        <w:pStyle w:val="TOC2"/>
      </w:pPr>
      <w:hyperlink w:anchor="v5_131"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72</w:t>
        </w:r>
      </w:hyperlink>
    </w:p>
    <w:p>
      <w:pPr>
        <w:pStyle w:val="TOC2"/>
      </w:pPr>
      <w:hyperlink w:anchor="v5_132"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73</w:t>
        </w:r>
      </w:hyperlink>
    </w:p>
    <w:p>
      <w:pPr>
        <w:pStyle w:val="TOC2"/>
      </w:pPr>
      <w:hyperlink w:anchor="v5_133"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73</w:t>
        </w:r>
      </w:hyperlink>
    </w:p>
    <w:p>
      <w:pPr>
        <w:pStyle w:val="TOC2"/>
      </w:pPr>
      <w:hyperlink w:anchor="v5_134"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74</w:t>
        </w:r>
      </w:hyperlink>
    </w:p>
    <w:p>
      <w:pPr>
        <w:pStyle w:val="TOC2"/>
      </w:pPr>
      <w:hyperlink w:anchor="v5_135" w:history="1">
        <w:r>
          <w:rPr>
            <w:rFonts w:ascii="Times New Roman" w:hAnsi="Times New Roman" w:eastAsia="Songti SC"/>
            <w:color w:val="000000"/>
            <w:sz w:val="22"/>
          </w:rPr>
          <w:t>E.6 ICIC原版Oracle记录</w:t>
        </w:r>
        <w:r>
          <w:rPr>
            <w:rFonts w:ascii="Times New Roman" w:hAnsi="Times New Roman" w:eastAsia="Songti SC"/>
            <w:color w:val="000000"/>
            <w:sz w:val="22"/>
          </w:rPr>
          <w:tab/>
          <w:t>74</w:t>
        </w:r>
      </w:hyperlink>
    </w:p>
    <w:p>
      <w:pPr>
        <w:pStyle w:val="TOC2"/>
      </w:pPr>
      <w:hyperlink w:anchor="v5_136"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74</w:t>
        </w:r>
      </w:hyperlink>
    </w:p>
    <w:p>
      <w:pPr>
        <w:pStyle w:val="TOC2"/>
      </w:pPr>
      <w:hyperlink w:anchor="v5_137"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75</w:t>
        </w:r>
      </w:hyperlink>
    </w:p>
    <w:p>
      <w:pPr>
        <w:pStyle w:val="TOC2"/>
      </w:pPr>
      <w:hyperlink w:anchor="v5_138"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76</w:t>
        </w:r>
      </w:hyperlink>
    </w:p>
    <w:p>
      <w:pPr>
        <w:pStyle w:val="TOC1"/>
        <w:keepNext/>
        <w:spacing w:before="120"/>
      </w:pPr>
      <w:hyperlink w:anchor="v5_139"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77</w:t>
        </w:r>
      </w:hyperlink>
    </w:p>
    <w:p>
      <w:pPr>
        <w:pStyle w:val="TOC2"/>
      </w:pPr>
      <w:hyperlink w:anchor="v5_140" w:history="1">
        <w:r>
          <w:rPr>
            <w:rFonts w:ascii="Times New Roman" w:hAnsi="Times New Roman" w:eastAsia="Songti SC"/>
            <w:color w:val="000000"/>
            <w:sz w:val="22"/>
          </w:rPr>
          <w:t>F.1 核心术语与符号</w:t>
        </w:r>
        <w:r>
          <w:rPr>
            <w:rFonts w:ascii="Times New Roman" w:hAnsi="Times New Roman" w:eastAsia="Songti SC"/>
            <w:color w:val="000000"/>
            <w:sz w:val="22"/>
          </w:rPr>
          <w:tab/>
          <w:t>77</w:t>
        </w:r>
      </w:hyperlink>
    </w:p>
    <w:p>
      <w:pPr>
        <w:pStyle w:val="TOC2"/>
      </w:pPr>
      <w:hyperlink w:anchor="v5_141" w:history="1">
        <w:r>
          <w:rPr>
            <w:rFonts w:ascii="Times New Roman" w:hAnsi="Times New Roman" w:eastAsia="Songti SC"/>
            <w:color w:val="000000"/>
            <w:sz w:val="22"/>
          </w:rPr>
          <w:t>F.2 实现接口补充</w:t>
        </w:r>
        <w:r>
          <w:rPr>
            <w:rFonts w:ascii="Times New Roman" w:hAnsi="Times New Roman" w:eastAsia="Songti SC"/>
            <w:color w:val="000000"/>
            <w:sz w:val="22"/>
          </w:rPr>
          <w:tab/>
          <w:t>78</w:t>
        </w:r>
      </w:hyperlink>
    </w:p>
    <w:p>
      <w:pPr>
        <w:pStyle w:val="TOC2"/>
      </w:pPr>
      <w:hyperlink w:anchor="v5_142" w:history="1">
        <w:r>
          <w:rPr>
            <w:rFonts w:ascii="Times New Roman" w:hAnsi="Times New Roman" w:eastAsia="Songti SC"/>
            <w:color w:val="000000"/>
            <w:sz w:val="22"/>
          </w:rPr>
          <w:t>F.3 研究问题阅读索引</w:t>
        </w:r>
        <w:r>
          <w:rPr>
            <w:rFonts w:ascii="Times New Roman" w:hAnsi="Times New Roman" w:eastAsia="Songti SC"/>
            <w:color w:val="000000"/>
            <w:sz w:val="22"/>
          </w:rPr>
          <w:tab/>
          <w:t>78</w:t>
        </w:r>
      </w:hyperlink>
      <w:r>
        <w:fldChar w:fldCharType="end"/>
      </w:r>
    </w:p>
    <w:p>
      <w:pPr>
        <w:pStyle w:val="FrontHeading"/>
      </w:pPr>
      <w:r>
        <w:t>图目录</w:t>
      </w:r>
    </w:p>
    <w:p>
      <w:pPr>
        <w:pStyle w:val="FigureList"/>
      </w:pPr>
      <w:r>
        <w:fldChar w:fldCharType="begin"/>
      </w:r>
      <w:r>
        <w:instrText xml:space="preserve"> TOC \h \z \t "Figure Caption,1" </w:instrText>
      </w:r>
      <w:r>
        <w:fldChar w:fldCharType="separate"/>
      </w:r>
      <w:hyperlink w:anchor="v5_143"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FigureList"/>
      </w:pPr>
      <w:hyperlink w:anchor="v5_145"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6</w:t>
        </w:r>
      </w:hyperlink>
    </w:p>
    <w:p>
      <w:pPr>
        <w:pStyle w:val="FigureList"/>
      </w:pPr>
      <w:hyperlink w:anchor="v5_149"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16</w:t>
        </w:r>
      </w:hyperlink>
    </w:p>
    <w:p>
      <w:pPr>
        <w:pStyle w:val="FigureList"/>
      </w:pPr>
      <w:hyperlink w:anchor="v5_151"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20</w:t>
        </w:r>
      </w:hyperlink>
    </w:p>
    <w:p>
      <w:pPr>
        <w:pStyle w:val="FigureList"/>
      </w:pPr>
      <w:hyperlink w:anchor="v5_152" w:history="1">
        <w:r>
          <w:rPr>
            <w:rFonts w:ascii="Times New Roman" w:hAnsi="Times New Roman" w:eastAsia="Songti SC"/>
            <w:color w:val="000000"/>
            <w:sz w:val="22"/>
          </w:rPr>
          <w:t>图3-2 关系感知增强学习的训练架构</w:t>
        </w:r>
        <w:r>
          <w:rPr>
            <w:rFonts w:ascii="Times New Roman" w:hAnsi="Times New Roman" w:eastAsia="Songti SC"/>
            <w:color w:val="000000"/>
            <w:sz w:val="22"/>
          </w:rPr>
          <w:tab/>
          <w:t>23</w:t>
        </w:r>
      </w:hyperlink>
    </w:p>
    <w:p>
      <w:pPr>
        <w:pStyle w:val="FigureList"/>
      </w:pPr>
      <w:hyperlink w:anchor="v5_157"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33</w:t>
        </w:r>
      </w:hyperlink>
    </w:p>
    <w:p>
      <w:pPr>
        <w:pStyle w:val="FigureList"/>
      </w:pPr>
      <w:hyperlink w:anchor="v5_160"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45</w:t>
        </w:r>
      </w:hyperlink>
      <w:r>
        <w:fldChar w:fldCharType="end"/>
      </w:r>
    </w:p>
    <w:p>
      <w:pPr>
        <w:pStyle w:val="FrontHeading"/>
      </w:pPr>
      <w:r>
        <w:t>表目录</w:t>
      </w:r>
    </w:p>
    <w:p>
      <w:pPr>
        <w:pStyle w:val="TableList"/>
      </w:pPr>
      <w:r>
        <w:fldChar w:fldCharType="begin"/>
      </w:r>
      <w:r>
        <w:instrText xml:space="preserve"> TOC \h \z \t "Table Caption,1" </w:instrText>
      </w:r>
      <w:r>
        <w:fldChar w:fldCharType="separate"/>
      </w:r>
      <w:hyperlink w:anchor="v5_144"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5</w:t>
        </w:r>
      </w:hyperlink>
    </w:p>
    <w:p>
      <w:pPr>
        <w:pStyle w:val="TableList"/>
      </w:pPr>
      <w:hyperlink w:anchor="v5_146"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7</w:t>
        </w:r>
      </w:hyperlink>
    </w:p>
    <w:p>
      <w:pPr>
        <w:pStyle w:val="TableList"/>
      </w:pPr>
      <w:hyperlink w:anchor="v5_147"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10</w:t>
        </w:r>
      </w:hyperlink>
    </w:p>
    <w:p>
      <w:pPr>
        <w:pStyle w:val="TableList"/>
      </w:pPr>
      <w:hyperlink w:anchor="v5_148" w:history="1">
        <w:r>
          <w:rPr>
            <w:rFonts w:ascii="Times New Roman" w:hAnsi="Times New Roman" w:eastAsia="Songti SC"/>
            <w:color w:val="000000"/>
            <w:sz w:val="22"/>
          </w:rPr>
          <w:t>表2-2 公共协议与当前材料状态</w:t>
        </w:r>
        <w:r>
          <w:rPr>
            <w:rFonts w:ascii="Times New Roman" w:hAnsi="Times New Roman" w:eastAsia="Songti SC"/>
            <w:color w:val="000000"/>
            <w:sz w:val="22"/>
          </w:rPr>
          <w:tab/>
          <w:t>14</w:t>
        </w:r>
      </w:hyperlink>
    </w:p>
    <w:p>
      <w:pPr>
        <w:pStyle w:val="TableList"/>
      </w:pPr>
      <w:hyperlink w:anchor="v5_150" w:history="1">
        <w:r>
          <w:rPr>
            <w:rFonts w:ascii="Times New Roman" w:hAnsi="Times New Roman" w:eastAsia="Songti SC"/>
            <w:color w:val="000000"/>
            <w:sz w:val="22"/>
          </w:rPr>
          <w:t>表3-1 关系保持改写的组件示意</w:t>
        </w:r>
        <w:r>
          <w:rPr>
            <w:rFonts w:ascii="Times New Roman" w:hAnsi="Times New Roman" w:eastAsia="Songti SC"/>
            <w:color w:val="000000"/>
            <w:sz w:val="22"/>
          </w:rPr>
          <w:tab/>
          <w:t>19</w:t>
        </w:r>
      </w:hyperlink>
    </w:p>
    <w:p>
      <w:pPr>
        <w:pStyle w:val="TableList"/>
      </w:pPr>
      <w:hyperlink w:anchor="v5_154" w:history="1">
        <w:r>
          <w:rPr>
            <w:rFonts w:ascii="Times New Roman" w:hAnsi="Times New Roman" w:eastAsia="Songti SC"/>
            <w:color w:val="000000"/>
            <w:sz w:val="22"/>
          </w:rPr>
          <w:t>表3-2 训练侧对照与归因条件</w:t>
        </w:r>
        <w:r>
          <w:rPr>
            <w:rFonts w:ascii="Times New Roman" w:hAnsi="Times New Roman" w:eastAsia="Songti SC"/>
            <w:color w:val="000000"/>
            <w:sz w:val="22"/>
          </w:rPr>
          <w:tab/>
          <w:t>28</w:t>
        </w:r>
      </w:hyperlink>
    </w:p>
    <w:p>
      <w:pPr>
        <w:pStyle w:val="TableList"/>
      </w:pPr>
      <w:hyperlink w:anchor="v5_155" w:history="1">
        <w:r>
          <w:rPr>
            <w:rFonts w:ascii="Times New Roman" w:hAnsi="Times New Roman" w:eastAsia="Songti SC"/>
            <w:color w:val="000000"/>
            <w:sz w:val="22"/>
          </w:rPr>
          <w:t>表3-3 构造输入上的训练侧规约检查</w:t>
        </w:r>
        <w:r>
          <w:rPr>
            <w:rFonts w:ascii="Times New Roman" w:hAnsi="Times New Roman" w:eastAsia="Songti SC"/>
            <w:color w:val="000000"/>
            <w:sz w:val="22"/>
          </w:rPr>
          <w:tab/>
          <w:t>30</w:t>
        </w:r>
      </w:hyperlink>
    </w:p>
    <w:p>
      <w:pPr>
        <w:pStyle w:val="TableList"/>
      </w:pPr>
      <w:hyperlink w:anchor="v5_156" w:history="1">
        <w:r>
          <w:rPr>
            <w:rFonts w:ascii="Times New Roman" w:hAnsi="Times New Roman" w:eastAsia="Songti SC"/>
            <w:color w:val="000000"/>
            <w:sz w:val="22"/>
          </w:rPr>
          <w:t>表3-4 当前案例材料及解释范围</w:t>
        </w:r>
        <w:r>
          <w:rPr>
            <w:rFonts w:ascii="Times New Roman" w:hAnsi="Times New Roman" w:eastAsia="Songti SC"/>
            <w:color w:val="000000"/>
            <w:sz w:val="22"/>
          </w:rPr>
          <w:tab/>
          <w:t>31</w:t>
        </w:r>
      </w:hyperlink>
    </w:p>
    <w:p>
      <w:pPr>
        <w:pStyle w:val="TableList"/>
      </w:pPr>
      <w:hyperlink w:anchor="v5_161" w:history="1">
        <w:r>
          <w:rPr>
            <w:rFonts w:ascii="Times New Roman" w:hAnsi="Times New Roman" w:eastAsia="Songti SC"/>
            <w:color w:val="000000"/>
            <w:sz w:val="22"/>
          </w:rPr>
          <w:t>表4-1 推理方法的修改对象与决策接口</w:t>
        </w:r>
        <w:r>
          <w:rPr>
            <w:rFonts w:ascii="Times New Roman" w:hAnsi="Times New Roman" w:eastAsia="Songti SC"/>
            <w:color w:val="000000"/>
            <w:sz w:val="22"/>
          </w:rPr>
          <w:tab/>
          <w:t>48</w:t>
        </w:r>
      </w:hyperlink>
    </w:p>
    <w:p>
      <w:pPr>
        <w:pStyle w:val="TableList"/>
      </w:pPr>
      <w:hyperlink w:anchor="v5_162" w:history="1">
        <w:r>
          <w:rPr>
            <w:rFonts w:ascii="Times New Roman" w:hAnsi="Times New Roman" w:eastAsia="Songti SC"/>
            <w:color w:val="000000"/>
            <w:sz w:val="22"/>
          </w:rPr>
          <w:t>表4-2 推理侧对照及归因</w:t>
        </w:r>
        <w:r>
          <w:rPr>
            <w:rFonts w:ascii="Times New Roman" w:hAnsi="Times New Roman" w:eastAsia="Songti SC"/>
            <w:color w:val="000000"/>
            <w:sz w:val="22"/>
          </w:rPr>
          <w:tab/>
          <w:t>49</w:t>
        </w:r>
      </w:hyperlink>
    </w:p>
    <w:p>
      <w:pPr>
        <w:pStyle w:val="TableList"/>
      </w:pPr>
      <w:hyperlink w:anchor="v5_163" w:history="1">
        <w:r>
          <w:rPr>
            <w:rFonts w:ascii="Times New Roman" w:hAnsi="Times New Roman" w:eastAsia="Songti SC"/>
            <w:color w:val="000000"/>
            <w:sz w:val="22"/>
          </w:rPr>
          <w:t>表4-3 同一构造提议的真实分步与联合判断</w:t>
        </w:r>
        <w:r>
          <w:rPr>
            <w:rFonts w:ascii="Times New Roman" w:hAnsi="Times New Roman" w:eastAsia="Songti SC"/>
            <w:color w:val="000000"/>
            <w:sz w:val="22"/>
          </w:rPr>
          <w:tab/>
          <w:t>50</w:t>
        </w:r>
      </w:hyperlink>
    </w:p>
    <w:p>
      <w:pPr>
        <w:pStyle w:val="TableList"/>
      </w:pPr>
      <w:hyperlink w:anchor="v5_164" w:history="1">
        <w:r>
          <w:rPr>
            <w:rFonts w:ascii="Times New Roman" w:hAnsi="Times New Roman" w:eastAsia="Songti SC"/>
            <w:color w:val="000000"/>
            <w:sz w:val="22"/>
          </w:rPr>
          <w:t>表4-4 四组件构造空间的精确枚举结果</w:t>
        </w:r>
        <w:r>
          <w:rPr>
            <w:rFonts w:ascii="Times New Roman" w:hAnsi="Times New Roman" w:eastAsia="Songti SC"/>
            <w:color w:val="000000"/>
            <w:sz w:val="22"/>
          </w:rPr>
          <w:tab/>
          <w:t>52</w:t>
        </w:r>
      </w:hyperlink>
    </w:p>
    <w:p>
      <w:pPr>
        <w:pStyle w:val="TableList"/>
      </w:pPr>
      <w:hyperlink w:anchor="v5_165" w:history="1">
        <w:r>
          <w:rPr>
            <w:rFonts w:ascii="Times New Roman" w:hAnsi="Times New Roman" w:eastAsia="Songti SC"/>
            <w:color w:val="000000"/>
            <w:sz w:val="22"/>
          </w:rPr>
          <w:t>表4-5 评分验证的两个对象层次</w:t>
        </w:r>
        <w:r>
          <w:rPr>
            <w:rFonts w:ascii="Times New Roman" w:hAnsi="Times New Roman" w:eastAsia="Songti SC"/>
            <w:color w:val="000000"/>
            <w:sz w:val="22"/>
          </w:rPr>
          <w:tab/>
          <w:t>53</w:t>
        </w:r>
      </w:hyperlink>
    </w:p>
    <w:p>
      <w:pPr>
        <w:pStyle w:val="TableList"/>
      </w:pPr>
      <w:hyperlink w:anchor="v5_166" w:history="1">
        <w:r>
          <w:rPr>
            <w:rFonts w:ascii="Times New Roman" w:hAnsi="Times New Roman" w:eastAsia="Songti SC"/>
            <w:color w:val="000000"/>
            <w:sz w:val="22"/>
          </w:rPr>
          <w:t>表4-6 当前可核验的风险与成本边界</w:t>
        </w:r>
        <w:r>
          <w:rPr>
            <w:rFonts w:ascii="Times New Roman" w:hAnsi="Times New Roman" w:eastAsia="Songti SC"/>
            <w:color w:val="000000"/>
            <w:sz w:val="22"/>
          </w:rPr>
          <w:tab/>
          <w:t>53</w:t>
        </w:r>
      </w:hyperlink>
    </w:p>
    <w:p>
      <w:pPr>
        <w:pStyle w:val="TableList"/>
      </w:pPr>
      <w:hyperlink w:anchor="v5_167" w:history="1">
        <w:r>
          <w:rPr>
            <w:rFonts w:ascii="Times New Roman" w:hAnsi="Times New Roman" w:eastAsia="Songti SC"/>
            <w:color w:val="000000"/>
            <w:sz w:val="22"/>
          </w:rPr>
          <w:t>表5-1 四格比较的运行对应关系</w:t>
        </w:r>
        <w:r>
          <w:rPr>
            <w:rFonts w:ascii="Times New Roman" w:hAnsi="Times New Roman" w:eastAsia="Songti SC"/>
            <w:color w:val="000000"/>
            <w:sz w:val="22"/>
          </w:rPr>
          <w:tab/>
          <w:t>56</w:t>
        </w:r>
      </w:hyperlink>
    </w:p>
    <w:p>
      <w:pPr>
        <w:pStyle w:val="TableList"/>
      </w:pPr>
      <w:hyperlink w:anchor="v5_168"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64</w:t>
        </w:r>
      </w:hyperlink>
    </w:p>
    <w:p>
      <w:pPr>
        <w:pStyle w:val="TableList"/>
      </w:pPr>
      <w:hyperlink w:anchor="v5_169" w:history="1">
        <w:r>
          <w:rPr>
            <w:rFonts w:ascii="Times New Roman" w:hAnsi="Times New Roman" w:eastAsia="Songti SC"/>
            <w:color w:val="000000"/>
            <w:sz w:val="22"/>
          </w:rPr>
          <w:t>表A-2 本版参考配置</w:t>
        </w:r>
        <w:r>
          <w:rPr>
            <w:rFonts w:ascii="Times New Roman" w:hAnsi="Times New Roman" w:eastAsia="Songti SC"/>
            <w:color w:val="000000"/>
            <w:sz w:val="22"/>
          </w:rPr>
          <w:tab/>
          <w:t>65</w:t>
        </w:r>
      </w:hyperlink>
    </w:p>
    <w:p>
      <w:pPr>
        <w:pStyle w:val="TableList"/>
      </w:pPr>
      <w:hyperlink w:anchor="v5_170"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72</w:t>
        </w:r>
      </w:hyperlink>
    </w:p>
    <w:p>
      <w:pPr>
        <w:pStyle w:val="TableList"/>
      </w:pPr>
      <w:hyperlink w:anchor="v5_171"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72</w:t>
        </w:r>
      </w:hyperlink>
    </w:p>
    <w:p>
      <w:pPr>
        <w:pStyle w:val="TableList"/>
      </w:pPr>
      <w:hyperlink w:anchor="v5_172"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73</w:t>
        </w:r>
      </w:hyperlink>
    </w:p>
    <w:p>
      <w:pPr>
        <w:pStyle w:val="TableList"/>
      </w:pPr>
      <w:hyperlink w:anchor="v5_173"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73</w:t>
        </w:r>
      </w:hyperlink>
    </w:p>
    <w:p>
      <w:pPr>
        <w:pStyle w:val="TableList"/>
      </w:pPr>
      <w:hyperlink w:anchor="v5_174"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74</w:t>
        </w:r>
      </w:hyperlink>
    </w:p>
    <w:p>
      <w:pPr>
        <w:pStyle w:val="TableList"/>
      </w:pPr>
      <w:hyperlink w:anchor="v5_175"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74</w:t>
        </w:r>
      </w:hyperlink>
    </w:p>
    <w:p>
      <w:pPr>
        <w:pStyle w:val="TableList"/>
      </w:pPr>
      <w:hyperlink w:anchor="v5_176"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74</w:t>
        </w:r>
      </w:hyperlink>
    </w:p>
    <w:p>
      <w:pPr>
        <w:pStyle w:val="TableList"/>
      </w:pPr>
      <w:hyperlink w:anchor="v5_177"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75</w:t>
        </w:r>
      </w:hyperlink>
    </w:p>
    <w:p>
      <w:pPr>
        <w:pStyle w:val="TableList"/>
      </w:pPr>
      <w:hyperlink w:anchor="v5_178"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76</w:t>
        </w:r>
      </w:hyperlink>
    </w:p>
    <w:p>
      <w:pPr>
        <w:pStyle w:val="TableList"/>
      </w:pPr>
      <w:hyperlink w:anchor="v5_179"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77</w:t>
        </w:r>
      </w:hyperlink>
    </w:p>
    <w:p>
      <w:pPr>
        <w:pStyle w:val="TableList"/>
      </w:pPr>
      <w:hyperlink w:anchor="v5_180"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79</w:t>
        </w:r>
      </w:hyperlink>
      <w:r>
        <w:fldChar w:fldCharType="end"/>
      </w:r>
    </w:p>
    <w:p>
      <w:pPr>
        <w:sectPr>
          <w:headerReference w:type="default" r:id="rId89"/>
          <w:footerReference w:type="default" r:id="rId90"/>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5_12"/>
      <w:bookmarkEnd w:id="12"/>
    </w:p>
    <w:p>
      <w:pPr>
        <w:pStyle w:val="Heading2"/>
      </w:pPr>
      <w:r>
        <w:t>1.1 研究背景与问题提出</w:t>
      </w:r>
      <w:bookmarkStart w:id="13" w:name="v5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531839"/>
            <wp:docPr id="1" name="argument_example.png" descr="原文到组件与关系的论辩挖掘示意。机制示意，非实测案例。"/>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652770" cy="3531839"/>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43" w:name="v5_143"/>
      <w:bookmarkEnd w:id="143"/>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形成两项互补研究：训练阶段保持文本改写后的关系监督，推理阶段恢复预测修改后的依赖结构。两项研究以真实文本上的严格组件和关系评价为共同依据，并分别考察收益、失败情形与计算代价。</w:t>
      </w:r>
    </w:p>
    <w:p>
      <w:pPr>
        <w:pStyle w:val="Heading2"/>
      </w:pPr>
      <w:r>
        <w:t>1.2 国内外研究现状</w:t>
      </w:r>
      <w:bookmarkStart w:id="14" w:name="v5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5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是本文的直接生成式基线[7]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5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槽位化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5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5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将跨语料分析作为适用范围检验，区分多任务训练、单源零样本迁移和目标域校准，不把这些设定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44" w:name="v5_144"/>
      <w:bookmarkEnd w:id="14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表中的机制依据本章已说明的材料范围归纳，不表示各方法使用相同数据、输入或评价协议，也不据未核实信息断言其缺少某一细节。本文主实验限定为英文AAEC和CDCP，其他语言与任务资源的范围说明见附录A.3。</w:t>
      </w:r>
    </w:p>
    <w:p>
      <w:pPr>
        <w:pStyle w:val="Heading2"/>
      </w:pPr>
      <w:r>
        <w:t>1.3 研究问题与主要研究工作</w:t>
      </w:r>
      <w:bookmarkStart w:id="19" w:name="v5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03290"/>
            <wp:docPr id="2" name="research_relationship.png" descr="两项研究的共同问题与分工。机制示意，非实测案例。"/>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652770" cy="3303290"/>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45" w:name="v5_145"/>
      <w:bookmarkEnd w:id="145"/>
    </w:p>
    <w:p>
      <w:pPr>
        <w:pStyle w:val="Heading3"/>
      </w:pPr>
      <w:r>
        <w:t>1.3.1 研究问题</w:t>
      </w:r>
      <w:bookmarkStart w:id="20" w:name="v5_20"/>
      <w:bookmarkEnd w:id="20"/>
    </w:p>
    <w:p>
      <w:r>
        <w:rPr>
          <w:rFonts w:ascii="Times New Roman" w:hAnsi="Times New Roman" w:eastAsia="Songti SC"/>
          <w:color w:val="000000"/>
        </w:rPr>
        <w:t>RQ1：在继承结论组件专项建模的基础上，检查改写集合内部及跨边界的端点组合，并同时保持已有关系和NONE状态，能否提高增强样本的监督可靠性？在同一批增强数据上，成对图因素学习能否进一步改善原始测试文本的严格抽取质量？两问分别检验数据构造与学习目标的作用。</w:t>
      </w:r>
    </w:p>
    <w:p>
      <w:r>
        <w:rPr>
          <w:rFonts w:ascii="Times New Roman" w:hAnsi="Times New Roman" w:eastAsia="Songti SC"/>
          <w:color w:val="000000"/>
        </w:rPr>
        <w:t>RQ2：在固定初始图、候选对象和评分器的条件下，组件集合替换与关系依赖闭合能否恢复顺序局部修正难以处理的组件关系错误，并取得可接受的误改风险与计算成本？候选覆盖、评分可靠性与预算内搜索分别构成恢复能力的限制，需要独立诊断。</w:t>
      </w:r>
    </w:p>
    <w:p>
      <w:r>
        <w:rPr>
          <w:rFonts w:ascii="Times New Roman" w:hAnsi="Times New Roman" w:eastAsia="Songti SC"/>
          <w:color w:val="000000"/>
        </w:rPr>
        <w:t>训练与推理的组合实验用于分析两项方法的互补性，跨语料实验用于说明适用边界，均不另列为第三项算法创新。</w:t>
      </w:r>
    </w:p>
    <w:p>
      <w:pPr>
        <w:pStyle w:val="Heading3"/>
      </w:pPr>
      <w:r>
        <w:t>1.3.2 主要研究内容</w:t>
      </w:r>
      <w:bookmarkStart w:id="21" w:name="v5_21"/>
      <w:bookmarkEnd w:id="21"/>
    </w:p>
    <w:p>
      <w:r>
        <w:rPr>
          <w:rFonts w:ascii="Times New Roman" w:hAnsi="Times New Roman" w:eastAsia="Songti SC"/>
          <w:color w:val="000000"/>
        </w:rPr>
        <w:t>（1）面向结论组件的关系感知增强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5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46" w:name="v5_146"/>
      <w:bookmarkEnd w:id="14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前期共同成果的来源见附录C.1。</w:t>
      </w:r>
    </w:p>
    <w:p>
      <w:pPr>
        <w:pStyle w:val="Heading2"/>
      </w:pPr>
      <w:r>
        <w:t>1.4 论文组织结构</w:t>
      </w:r>
      <w:bookmarkStart w:id="23" w:name="v5_23"/>
      <w:bookmarkEnd w:id="23"/>
    </w:p>
    <w:p>
      <w:r>
        <w:rPr>
          <w:rFonts w:ascii="Times New Roman" w:hAnsi="Times New Roman" w:eastAsia="Songti SC"/>
          <w:color w:val="000000"/>
        </w:rPr>
        <w:t>第一章介绍研究背景、相关工作与两项研究的关系。第二章统一任务表示、评价口径、公共实验协议和训练推理接口。第三章围绕关系感知增强学习，依次说明前期基础、影响域、标注迁移、成对学习及训练侧实验。第四章围绕依赖闭合修正，说明候选、事务、评分、求解及推理侧实验。第五章分析两阶段组合、整体成本和跨语料适用性。第六章总结方法与局限，并讨论后续研究方向。</w:t>
      </w:r>
    </w:p>
    <w:p>
      <w:r>
        <w:rPr>
          <w:rFonts w:ascii="Times New Roman" w:hAnsi="Times New Roman" w:eastAsia="Songti SC"/>
          <w:color w:val="000000"/>
        </w:rPr>
        <w:t>附录补充复现协议、执行记录、成果说明、前期诊断、历史数值和符号索引。各方法章区分已经执行的构造验证与尚无正式结果的语料实验，保留输入、计数和结论的对应关系。</w:t>
      </w:r>
    </w:p>
    <w:p>
      <w:pPr>
        <w:pStyle w:val="Heading1"/>
      </w:pPr>
      <w:r>
        <w:t>第二章 任务表示与方法基础</w:t>
      </w:r>
      <w:bookmarkStart w:id="24" w:name="v5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5_25"/>
      <w:bookmarkEnd w:id="25"/>
    </w:p>
    <w:p>
      <w:pPr>
        <w:pStyle w:val="Heading3"/>
      </w:pPr>
      <w:r>
        <w:t>2.1.1 组件及二元关系</w:t>
      </w:r>
      <w:bookmarkStart w:id="26" w:name="v5_26"/>
      <w:bookmarkEnd w:id="26"/>
    </w:p>
    <w:p>
      <w:r>
        <w:rPr>
          <w:rFonts w:ascii="Times New Roman" w:hAnsi="Times New Roman" w:eastAsia="Songti SC"/>
          <w:color w:val="000000"/>
        </w:rPr>
        <w:t>本章用</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表示固定评价分词器下的输入文档，其中</w:t>
      </w:r>
      <m:oMath>
        <m:sSub>
          <m:e>
            <m:r>
              <m:t xml:space="preserve">x</m:t>
            </m:r>
          </m:e>
          <m:sub>
            <m:r>
              <m:t xml:space="preserve">i</m:t>
            </m:r>
          </m:sub>
        </m:sSub>
      </m:oMath>
      <w:r>
        <w:rPr>
          <w:rFonts w:ascii="Times New Roman" w:hAnsi="Times New Roman" w:eastAsia="Songti SC"/>
          <w:color w:val="000000"/>
        </w:rPr>
        <w:t>为第</w:t>
      </w:r>
      <m:oMath>
        <m:r>
          <m:t xml:space="preserve">i</m:t>
        </m:r>
      </m:oMath>
      <w:r>
        <w:rPr>
          <w:rFonts w:ascii="Times New Roman" w:hAnsi="Times New Roman" w:eastAsia="Songti SC"/>
          <w:color w:val="000000"/>
        </w:rPr>
        <w:t>个评价token；第三、四章用</w:t>
      </w:r>
      <m:oMath>
        <m:r>
          <m:t xml:space="preserve">x</m:t>
        </m:r>
      </m:oMath>
      <w:r>
        <w:rPr>
          <w:rFonts w:ascii="Times New Roman" w:hAnsi="Times New Roman" w:eastAsia="Songti SC"/>
          <w:color w:val="000000"/>
        </w:rPr>
        <w:t>表示同一整篇输入。下文在涉及第四章的删除操作时明确写“删除集合</w:t>
      </w:r>
      <m:oMath>
        <m:r>
          <m:t xml:space="preserve">D</m:t>
        </m:r>
      </m:oMath>
      <w:r>
        <w:rPr>
          <w:rFonts w:ascii="Times New Roman" w:hAnsi="Times New Roman" w:eastAsia="Songti SC"/>
          <w:color w:val="000000"/>
        </w:rPr>
        <w:t>”，不以裸字母代指输入文档。组件定义为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5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47" w:name="v5_147"/>
      <w:bookmarkEnd w:id="14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表2-1依据语料与联合预测研究区分两种任务[2][3][46]。CDCP中的结论角色仅用于第三章选择增强中心，不改变原生组件标签。第五章跨语料分析采用另行声明的粗粒度映射，该映射不反向改变域内金标。</w:t>
      </w:r>
    </w:p>
    <w:p>
      <w:pPr>
        <w:pStyle w:val="Heading2"/>
      </w:pPr>
      <w:r>
        <w:t>2.2 合法结构与对象身份</w:t>
      </w:r>
      <w:bookmarkStart w:id="28" w:name="v5_28"/>
      <w:bookmarkEnd w:id="28"/>
    </w:p>
    <w:p>
      <w:pPr>
        <w:pStyle w:val="Heading3"/>
      </w:pPr>
      <w:r>
        <w:t>2.2.1 语料约束与候选范围</w:t>
      </w:r>
      <w:bookmarkStart w:id="29" w:name="v5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5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r>
        <w:rPr>
          <w:rFonts w:ascii="Times New Roman" w:hAnsi="Times New Roman" w:eastAsia="Songti SC"/>
          <w:color w:val="000000"/>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pStyle w:val="Heading2"/>
      </w:pPr>
      <w:r>
        <w:t>2.3 生成建模与参数高效适配</w:t>
      </w:r>
      <w:bookmarkStart w:id="31" w:name="v5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实际运行的权重revision、分词器及环境在2.6节统一记录。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5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5_33"/>
      <w:bookmarkEnd w:id="33"/>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。下式的</w:t>
      </w:r>
      <m:oMath>
        <m:r>
          <m:t xml:space="preserve">P</m:t>
        </m:r>
      </m:oMath>
      <w:r>
        <w:rPr>
          <w:rFonts w:ascii="Times New Roman" w:hAnsi="Times New Roman" w:eastAsia="Songti SC"/>
          <w:color w:val="000000"/>
        </w:rPr>
        <w:t>和</w:t>
      </w:r>
      <m:oMath>
        <m:r>
          <m:t xml:space="preserve">R</m:t>
        </m:r>
      </m:oMath>
      <w:r>
        <w:rPr>
          <w:rFonts w:ascii="Times New Roman" w:hAnsi="Times New Roman" w:eastAsia="Songti SC"/>
          <w:color w:val="000000"/>
        </w:rPr>
        <w:t>仅表示精确率与召回率，正文采用Precision和Recall指称这两个指标，以区别于第四章的关系候选池</w:t>
      </w:r>
      <m:oMath>
        <m:r>
          <m:t xml:space="preserve">P</m:t>
        </m:r>
      </m:oMath>
      <w:r>
        <w:rPr>
          <w:rFonts w:ascii="Times New Roman" w:hAnsi="Times New Roman" w:eastAsia="Songti SC"/>
          <w:color w:val="000000"/>
        </w:rPr>
        <w:t>及图中的关系集合</w:t>
      </w:r>
      <m:oMath>
        <m:r>
          <m:t xml:space="preserve">R</m:t>
        </m:r>
      </m:oMath>
      <w:r>
        <w:rPr>
          <w:rFonts w:ascii="Times New Roman" w:hAnsi="Times New Roman" w:eastAsia="Songti SC"/>
          <w:color w:val="000000"/>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5_34"/>
      <w:bookmarkEnd w:id="34"/>
    </w:p>
    <w:p>
      <w:pPr>
        <w:pStyle w:val="Heading3"/>
      </w:pPr>
      <w:r>
        <w:t>2.6.1 数据划分与使用范围</w:t>
      </w:r>
      <w:bookmarkStart w:id="35" w:name="v5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生成器只使用训练数据，增强中心选择、提示调整、早停和超参数筛选不使用测试标签。评分器的训练候选由训练集内部三折交叉拟合产生，使每个文档的预测不由已经拟合该文档标签的生成器直接给出。两种训练方案各自产生交叉拟合候选，覆盖其实际错误分布。</w:t>
      </w:r>
    </w:p>
    <w:p>
      <w:r>
        <w:rPr>
          <w:rFonts w:ascii="Times New Roman" w:hAnsi="Times New Roman" w:eastAsia="Songti SC"/>
          <w:color w:val="000000"/>
        </w:rPr>
        <w:t>开发文档划分为校准部分与策略选择部分，分别用于概率校准及阈值、预算选择。数据不足时采用预先固定的交叉验证安排，并记录每个阶段的数据用途。最终选择冻结后再进行完整测试报告。上述隔离控制数据泄漏；模型误差的关系仍须按2.4节区分。</w:t>
      </w:r>
    </w:p>
    <w:p>
      <w:pPr>
        <w:pStyle w:val="Heading3"/>
      </w:pPr>
      <w:r>
        <w:t>2.6.2 运行配置与可复现记录</w:t>
      </w:r>
      <w:bookmarkStart w:id="36" w:name="v5_36"/>
      <w:bookmarkEnd w:id="36"/>
    </w:p>
    <w:p>
      <w:r>
        <w:rPr>
          <w:rFonts w:ascii="Times New Roman" w:hAnsi="Times New Roman" w:eastAsia="Songti SC"/>
          <w:color w:val="000000"/>
        </w:rPr>
        <w:t>本文区分方法定义、构造验证和语料实测三种材料。方法定义指定允许的操作与输入；构造验证用公开在本地材料包中的有限对象和人工评分检查执行语义；语料实测需要真实数据划分、模型检查点和逐文档预测。表2-2分别记录其状态，不能把构造程序的通过数或CPU运行条件填入LLM实验配置。</w:t>
      </w:r>
    </w:p>
    <w:p>
      <w:pPr>
        <w:pStyle w:val="TableCaption"/>
      </w:pPr>
      <w:r>
        <w:rPr>
          <w:rFonts w:ascii="Times New Roman" w:hAnsi="Times New Roman" w:eastAsia="Songti SC"/>
          <w:color w:val="000000"/>
          <w:sz w:val="21"/>
        </w:rPr>
        <w:t>表2-2 公共协议与当前材料状态</w:t>
      </w:r>
      <w:bookmarkStart w:id="148" w:name="v5_148"/>
      <w:bookmarkEnd w:id="14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项目</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本版确定内容</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证据及适用范围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任务与评价</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AAEC严格二元关系；CDCP完整超边</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对象定义已固定；新增语料预测未形成</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训练基础</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沿用Qwen2.5-7B-Instruct及ICIC模块</w:t>
            </w:r>
          </w:p>
        </w:tc>
        <w:tc>
          <w:tcPr>
            <w:tcW w:type="dxa" w:w="328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rank 16、alpha 32等是前期起点，非新运行事实</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数据隔离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源文档及重复文本分组；训练内三折OOF</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生成器和跨度头均隔离持出文档及变体</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中心与区域</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单中心哈希排序；完整直接入源；超限跳过</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3.3.1定义；构造测试覆盖空集与长超边</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候选与队列</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保护初始对象；有限单次扩展；六类轮转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4.2与4.5定义；参考预算见附录A.4</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顺序与联合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真实两次提交；联合整批择优提交</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构造轨迹可重算，不等于端到端实现验证</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Oracle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一步、多步、全局净预算三个松弛集合</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四组件有限空间穷举，非全语料求解</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本版验证材料</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validate_mechanisms.py及mechanism_results.json</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19项构造检查；路径和哈希见附录D.4</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正式训练材料</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数据revision、模型、优化器、种子、环境</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尚未生成绑定清单，不能报告新增实测成绩</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正式推理材料</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候选缓存、校准参数、求解器与硬件时限</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尚未形成完整运行，不报告真实时延或成本</w:t>
            </w:r>
          </w:p>
        </w:tc>
      </w:tr>
    </w:tbl>
    <w:p>
      <w:pPr>
        <w:spacing w:after="0" w:line="240" w:lineRule="auto"/>
      </w:pPr>
    </w:p>
    <w:p>
      <w:r>
        <w:rPr>
          <w:rFonts w:ascii="Times New Roman" w:hAnsi="Times New Roman" w:eastAsia="Songti SC"/>
          <w:color w:val="000000"/>
        </w:rPr>
        <w:t>本版确定参考算法分支与有限资源参数，不将参数称为开发集最优值。实际模型运行还必须绑定数据、token映射、模型权重、软硬件版本及独立开发选择记录；缺少这些输入时，正式运行入口应拒绝启动，不能自动以旧稿配置或构造分数代替。各结果以附录A.2的身份字段追溯至唯一材料。</w:t>
      </w:r>
    </w:p>
    <w:p>
      <w:pPr>
        <w:pStyle w:val="Heading3"/>
      </w:pPr>
      <w:r>
        <w:t>2.6.3 统计分析与计算成本</w:t>
      </w:r>
      <w:bookmarkStart w:id="37" w:name="v5_37"/>
      <w:bookmarkEnd w:id="37"/>
    </w:p>
    <w:p>
      <w:r>
        <w:rPr>
          <w:rFonts w:ascii="Times New Roman" w:hAnsi="Times New Roman" w:eastAsia="Songti SC"/>
          <w:color w:val="000000"/>
        </w:rPr>
        <w:t>核心语料实验计划使用至少3个预先登记的随机种子，资源允许时扩展到5个；全部种子应在运行前固定，不能根据中途结果选择性追加或删除。本版尚未完成这些重复运行。主指标限定为组件与严格关系micro-F1，其他指标用于解释机制。跨种子差值和文档级配对重采样共同报告，重复文本按组处理，不将多个种子中的同一文档当作额外独立样本。区间、效应量、持平、下降和失败配置均保留，不依据结果临时选择检验方式。</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局部与全局ILP采用一致的软件、线程和每文档总求解时间预算；另列每次调用上限和实际调用次数。相同单次上限不能替代相同总计算量。充分求解结果与等资源结果分列，超时报告可行解、有效界或gap，运行到时限不等于求得最优。文档级区间采用配对重采样，每次重新汇总TP、FP、FN；跨种子的标准差描述训练随机性，二者分别报告。区间跨零只表示未建立稳定增量，不能据此认定等效。主比较事先确定，多重探索比较另行标识并说明调整方法。只有与实际运行绑定的统计量才能进入效果结论。</w:t>
      </w:r>
    </w:p>
    <w:p>
      <w:pPr>
        <w:pStyle w:val="Heading2"/>
      </w:pPr>
      <w:r>
        <w:t>2.7 训练与推理的接口</w:t>
      </w:r>
      <w:bookmarkStart w:id="38" w:name="v5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2986369"/>
            <wp:docPr id="3" name="framework.png" descr="训练和推理的数据及模型接口。机制示意，非实测案例。"/>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652770" cy="2986369"/>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49" w:name="v5_149"/>
      <w:bookmarkEnd w:id="149"/>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5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面向结论组件的关系感知增强学习</w:t>
      </w:r>
      <w:bookmarkStart w:id="40" w:name="v5_40"/>
      <w:bookmarkEnd w:id="40"/>
    </w:p>
    <w:p>
      <w:pPr>
        <w:pStyle w:val="Heading2"/>
      </w:pPr>
      <w:r>
        <w:t>3.1 引言</w:t>
      </w:r>
      <w:bookmarkStart w:id="41" w:name="v5_41"/>
      <w:bookmarkEnd w:id="41"/>
    </w:p>
    <w:p>
      <w:r>
        <w:rPr>
          <w:rFonts w:ascii="Times New Roman" w:hAnsi="Times New Roman" w:eastAsia="Songti SC"/>
          <w:color w:val="000000"/>
        </w:rPr>
        <w:t>训练文本的表达变化会同时影响组件识别和关系判断。一个结论即使被改写为意思相近的句子，也可能改变原有论据与它之间的支持方向、关系类型或适用条件。改写涉及多个组件时，这种变化还可能传递到未被改写的其他组件。因此，结构化标注的直接复制需要明确前提：哪些组件发生了变化，哪些关系状态必须重新检查，以及通过检查的对应关系如何参与模型学习。</w:t>
      </w:r>
    </w:p>
    <w:p>
      <w:r>
        <w:rPr>
          <w:rFonts w:ascii="Times New Roman" w:hAnsi="Times New Roman" w:eastAsia="Songti SC"/>
          <w:color w:val="000000"/>
        </w:rPr>
        <w:t xml:space="preserve">组件与关系的依赖也体现在端到端评价中。在组件集合固定的预测条件下，令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为跨度和类型均正确匹配的金标组件集合，</w:t>
      </w:r>
      <m:oMath>
        <m:sSub>
          <m:e>
            <m:r>
              <m:t xml:space="preserve">R</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 xml:space="preserve"> 为全部端点都属于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的金标关系集合。当 </w:t>
      </w:r>
      <m:oMath>
        <m:r>
          <m:t xml:space="preserve">|</m:t>
        </m:r>
        <m:r>
          <m:t xml:space="preserve">R</m:t>
        </m:r>
        <m:r>
          <m:t xml:space="preserve">|</m:t>
        </m:r>
        <m:r>
          <m:t xml:space="preserve">&gt;</m:t>
        </m:r>
        <m:r>
          <m:t xml:space="preserve">0</m:t>
        </m:r>
      </m:oMath>
      <w:r>
        <w:rPr>
          <w:rFonts w:ascii="Times New Roman" w:hAnsi="Times New Roman" w:eastAsia="Songti SC"/>
          <w:color w:val="000000"/>
        </w:rPr>
        <w:t xml:space="preserve"> 时，有 </w:t>
      </w:r>
      <m:oMath>
        <m:sSub>
          <m:e>
            <m:r>
              <m:rPr>
                <m:sty m:val="p"/>
              </m:rPr>
              <m:t xml:space="preserve">Recall</m:t>
            </m:r>
          </m:e>
          <m:sub>
            <m:r>
              <m:t xml:space="preserve">r</m:t>
            </m:r>
            <m:r>
              <m:t xml:space="preserve">e</m:t>
            </m:r>
            <m:r>
              <m:t xml:space="preserve">l</m:t>
            </m:r>
          </m:sub>
        </m:sSub>
        <m:r>
          <m:t xml:space="preserve">≤</m:t>
        </m:r>
        <m:r>
          <m:t xml:space="preserve">|</m:t>
        </m:r>
        <m:sSub>
          <m:e>
            <m:r>
              <m:t xml:space="preserve">R</m:t>
            </m:r>
          </m:e>
          <m:sub>
            <m:r>
              <m:t xml:space="preserve">r</m:t>
            </m:r>
            <m:r>
              <m:t xml:space="preserve">e</m:t>
            </m:r>
            <m:r>
              <m:t xml:space="preserve">a</m:t>
            </m:r>
            <m:r>
              <m:t xml:space="preserve">c</m:t>
            </m:r>
            <m:r>
              <m:t xml:space="preserve">h</m:t>
            </m:r>
          </m:sub>
        </m:sSub>
        <m:r>
          <m:t xml:space="preserve">|</m:t>
        </m:r>
        <m:r>
          <m:t xml:space="preserve">/</m:t>
        </m:r>
        <m:r>
          <m:t xml:space="preserve">|</m:t>
        </m:r>
        <m:r>
          <m:t xml:space="preserve">R</m:t>
        </m:r>
        <m:r>
          <m:t xml:space="preserve">|</m:t>
        </m:r>
      </m:oMath>
      <w:r>
        <w:rPr>
          <w:rFonts w:ascii="Times New Roman" w:hAnsi="Times New Roman" w:eastAsia="Songti SC"/>
          <w:color w:val="000000"/>
        </w:rPr>
        <w:t>，因为任何正确关系必须首先具有正确端点。该结论同样适用于要求全部源成员正确的超边。它说明组件学习会限制关系恢复的候选空间，但并不保证可达关系被正确识别，也不足以单独证明结论类组件应当优先增强。</w:t>
      </w:r>
    </w:p>
    <w:p>
      <w:r>
        <w:rPr>
          <w:rFonts w:ascii="Times New Roman" w:hAnsi="Times New Roman" w:eastAsia="Songti SC"/>
          <w:color w:val="000000"/>
        </w:rPr>
        <w:t>本章以作者 ICIC 2026 工作中的结论专项适配、线索提示与句子辅助监督为建模基础[34]，研究面向结论组件的关系感知增强学习。方法包含两个相互衔接的部分：首先，在局部文字改写后检查所有与改写组件关联的合法关系状态，并将原标注迁移到新坐标；其次，利用原文与增强文之间的组件、关系对应，约束共享生成表示上的预测分布。前者控制训练监督的继承条件，后者使这些对应关系参与参数更新。前期专项模块为二者提供生成基础，不分别计作本论文新增创新。</w:t>
      </w:r>
    </w:p>
    <w:p>
      <w:r>
        <w:rPr>
          <w:rFonts w:ascii="Times New Roman" w:hAnsi="Times New Roman" w:eastAsia="Songti SC"/>
          <w:color w:val="000000"/>
        </w:rPr>
        <w:t>结构保持增强及一致性学习已有相关研究。QOS通过论辩结构保持改写继承标注[35]；关系抽取中的ConsistRE将关系条件用于文本生成[38]，Wang等研究关系保持增强与多视图一致性[36]。相对于这些研究，本章将约束范围具体化为论辩组件改写所涉及的完整端点影响域，并以成对因素学习连接监督保持和共享表示更新。关系条件及一致性损失本身不单独作为新增贡献。</w:t>
      </w:r>
    </w:p>
    <w:p>
      <w:r>
        <w:rPr>
          <w:rFonts w:ascii="Times New Roman" w:hAnsi="Times New Roman" w:eastAsia="Songti SC"/>
          <w:color w:val="000000"/>
        </w:rPr>
        <w:t>结论中心选择是待检验的任务启发式，其适用性取决于类型频次、关系度和分类难度。AAEC 保留 MajorClaim、Claim、Premise；CDCP 保留 Policy、Value、Fact、Testimony、Reference，Policy/Value 作为专项模块的触发类别，并不表示其与 AAEC 的 Claim 语义相同。AAEC 的 stance 属性不转为普通关系，缺少普通关系的 MajorClaim 仍可用于组件学习。本章先介绍前期专项建模基础，再定义关系影响域、标注迁移和成对学习，最后通过相互分离的数据质量审计与学习对照建立实验分析框架。</w:t>
      </w:r>
    </w:p>
    <w:p>
      <w:pPr>
        <w:pStyle w:val="Heading2"/>
      </w:pPr>
      <w:r>
        <w:t>3.2 前期专项建模基础</w:t>
      </w:r>
      <w:bookmarkStart w:id="42" w:name="v5_42"/>
      <w:bookmarkEnd w:id="42"/>
    </w:p>
    <w:p>
      <w:pPr>
        <w:pStyle w:val="Heading3"/>
      </w:pPr>
      <w:r>
        <w:t>3.2.1 类型条件低秩适配</w:t>
      </w:r>
      <w:bookmarkStart w:id="43" w:name="v5_43"/>
      <w:bookmarkEnd w:id="43"/>
    </w:p>
    <w:p>
      <w:r>
        <w:rPr>
          <w:rFonts w:ascii="Times New Roman" w:hAnsi="Times New Roman" w:eastAsia="Songti SC"/>
          <w:color w:val="000000"/>
        </w:rPr>
        <w:t xml:space="preserve">本节说明前期专项建模与新增学习目标的接口。模型采用 Qwen2.5-7B-Instruct，冻结基础权重，在注意力投影中保留全局和结论专项低秩分支；LoRA 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全局分支参与所有位置的计算，结论分支由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控制。字段按 id、type、span 排列；可见前缀中的结论类型值完整闭合后，门控在该组件的后续字段开启，并在组件结束时关闭。AAEC 和 CDCP 的触发类型分别为 Claim/MajorClaim 和 Policy/Value；输入、未闭合类型字段及关系区域均令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。教师强制训练也仅使用可见前缀。</w:t>
      </w:r>
    </w:p>
    <w:p>
      <w:r>
        <w:rPr>
          <w:rFonts w:ascii="Times New Roman" w:hAnsi="Times New Roman" w:eastAsia="Songti SC"/>
          <w:color w:val="000000"/>
        </w:rPr>
        <w:t xml:space="preserve">这一门控作用于类型确定后的跨度等字段，不回溯修改已输出类型。参考配置取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，以单一全局 rank-32 分支作为参数量匹配对照；实际计算成本另行测量。</w:t>
      </w:r>
    </w:p>
    <w:p>
      <w:pPr>
        <w:pStyle w:val="Heading3"/>
      </w:pPr>
      <w:r>
        <w:t>3.2.2 线索提示与原有监督</w:t>
      </w:r>
      <w:bookmarkStart w:id="44" w:name="v5_44"/>
      <w:bookmarkEnd w:id="44"/>
    </w:p>
    <w:p>
      <w:r>
        <w:rPr>
          <w:rFonts w:ascii="Times New Roman" w:hAnsi="Times New Roman" w:eastAsia="Songti SC"/>
          <w:color w:val="000000"/>
        </w:rPr>
        <w:t xml:space="preserve">连续提示沿用参数高效提示调优机制[33]。对 therefore、thus、in conclusion、consequently、hence、to conclude 作不区分大小写的词边界匹配；命中时在聊天模板输入嵌入之前插入四个向量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，未命中则不插入。提示位置不计入原文坐标。</w:t>
      </w:r>
    </w:p>
    <w:p>
      <w:r>
        <w:rPr>
          <w:rFonts w:ascii="Times New Roman" w:hAnsi="Times New Roman" w:eastAsia="Songti SC"/>
          <w:color w:val="000000"/>
        </w:rPr>
        <w:t>词典只控制提示启用，不赋予结论标签。话语标记的收益不能由标记数量直接推定[40]；原文与增强文分别按各自文本触发提示，线索依赖由3.6.4节检验。</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专项监督思路：按句末标点和文档结尾分句，对输入最后一层隐藏状态作句内均值池化，经线性层和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。句子与结论类金标跨度相交时令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 xml:space="preserve">。句子头只读取输入表示，用于共享表示学习。上述生成目标与句子监督构成继承目标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；3.3节构造增强视图，3.4节在此基础上引入组件、关系头及成对监督。</w:t>
      </w:r>
    </w:p>
    <w:p>
      <w:pPr>
        <w:pStyle w:val="Heading2"/>
      </w:pPr>
      <w:r>
        <w:t>3.3 关系影响域与标注迁移</w:t>
      </w:r>
      <w:bookmarkStart w:id="45" w:name="v5_45"/>
      <w:bookmarkEnd w:id="45"/>
    </w:p>
    <w:p>
      <w:pPr>
        <w:pStyle w:val="Heading3"/>
      </w:pPr>
      <w:r>
        <w:t>3.3.1 改写区域与关系因素</w:t>
      </w:r>
      <w:bookmarkStart w:id="46" w:name="v5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表3-1用人为构造的中文片段说明二元关系，不作为AAEC或CDCP的实测样本。</w:t>
      </w:r>
    </w:p>
    <w:p>
      <w:pPr>
        <w:pStyle w:val="TableCaption"/>
      </w:pPr>
      <w:r>
        <w:rPr>
          <w:rFonts w:ascii="Times New Roman" w:hAnsi="Times New Roman" w:eastAsia="Songti SC"/>
          <w:color w:val="000000"/>
          <w:sz w:val="21"/>
        </w:rPr>
        <w:t>表3-1 关系保持改写的组件示意</w:t>
      </w:r>
      <w:bookmarkStart w:id="150" w:name="v5_150"/>
      <w:bookmarkEnd w:id="15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：前一条Support的两端均在集合内，后一条只有一端在集合内，分别属于内部和跨边界因素。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同样跨越边界，但标签为NONE，表示该合法端点组合没有标注关系。NONE不作为输出边，与组件不存在的状态不同。</w:t>
      </w:r>
    </w:p>
    <w:p>
      <w:pPr>
        <w:keepNext/>
        <w:spacing w:line="240" w:lineRule="auto" w:before="80" w:after="60"/>
        <w:ind w:firstLine="0"/>
        <w:jc w:val="center"/>
      </w:pPr>
      <w:r>
        <w:drawing>
          <wp:inline xmlns:a="http://schemas.openxmlformats.org/drawingml/2006/main" xmlns:pic="http://schemas.openxmlformats.org/drawingml/2006/picture">
            <wp:extent cx="5652770" cy="4141302"/>
            <wp:docPr id="4" name="augmentation.png" descr="关系影响域中的内部与跨边界组合。机制示意，非实测案例。"/>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652770" cy="4141302"/>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51" w:name="v5_151"/>
      <w:bookmarkEnd w:id="151"/>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每篇文档固定一个中心。AAEC优先集合为Claim与MajorClaim，CDCP为Policy与Value；后者只定义本方法的触发角色，不改写原生类型。将种子、文档身份和规范化组件键按UTF-8规范JSON编码，计算SHA-256，按哈希及组件键升序选取第一个对象。主参考种子为17，同一文档全部尝试复用同一中心；不依据生成成功率换中心。</w:t>
      </w:r>
    </w:p>
    <w:p>
      <w:r>
        <w:rPr>
          <w:rFonts w:ascii="Times New Roman" w:hAnsi="Times New Roman" w:eastAsia="Songti SC"/>
          <w:color w:val="000000"/>
        </w:rPr>
        <w:t>优先集合为空时，从全部合法金标组件按同一顺序回退，并记录fallback；组件集合为空时保留原文、跳过增强。改写集合</w:t>
      </w:r>
      <m:oMath>
        <m:r>
          <m:t xml:space="preserve">A</m:t>
        </m:r>
      </m:oMath>
      <w:r>
        <w:rPr>
          <w:rFonts w:ascii="Times New Roman" w:hAnsi="Times New Roman" w:eastAsia="Songti SC"/>
          <w:color w:val="000000"/>
        </w:rPr>
        <w:t>由中心及所有指向中心的金标关系的完整源成员组成，去重、不递归扩展。无入关系时仅改写中心；超过三源成员的金标超边仍完整纳入，新增NONE因素的元数预算不截断金标。其余组件文字只读。</w:t>
      </w:r>
    </w:p>
    <w:p>
      <w:r>
        <w:rPr>
          <w:rFonts w:ascii="Times New Roman" w:hAnsi="Times New Roman" w:eastAsia="Songti SC"/>
          <w:color w:val="000000"/>
        </w:rPr>
        <w:t>若槽位重叠、完整输入超过冻结上下文上限，或影响域无法在单次审核资源内完整处理，则跳过该文档增强并记录具体原因，不删除源成员或改选其他中心。不同模型的上下文及调用上限由运行清单提供；未提供时不启动生成。每文档最多四次尝试、两个接受变体，原始样本始终保留。该选择控制定义和资源，不意味着结论中心已经优于其他中心。</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。源成员按原文顺序规范化，整条超边作为一个关系对象，不展开为独立二元关系。</w:t>
      </w:r>
    </w:p>
    <w:p>
      <w:r>
        <w:rPr>
          <w:rFonts w:ascii="Times New Roman" w:hAnsi="Times New Roman" w:eastAsia="Songti SC"/>
          <w:color w:val="000000"/>
        </w:rPr>
        <w:t>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r>
        <w:rPr>
          <w:rFonts w:ascii="Times New Roman" w:hAnsi="Times New Roman" w:eastAsia="Songti SC"/>
          <w:color w:val="000000"/>
        </w:rPr>
        <w:t>NONE 仅在上述有限宇宙内定义，不涉及组件集合的全部子集。三源成员预算使更长的金标超边缺少同元数NONE对照，可能形成长度相关的监督偏置，需按元数诊断。这一辅助头不用于估计长超边的完整对象正确率。</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。全部端点位于 </w:t>
      </w:r>
      <m:oMath>
        <m:r>
          <m:t xml:space="preserve">A</m:t>
        </m:r>
      </m:oMath>
      <w:r>
        <w:rPr>
          <w:rFonts w:ascii="Times New Roman" w:hAnsi="Times New Roman" w:eastAsia="Songti SC"/>
          <w:color w:val="000000"/>
        </w:rPr>
        <w:t xml:space="preserve"> 中的因素属于内部因素，仅部分端点位于 </w:t>
      </w:r>
      <m:oMath>
        <m:r>
          <m:t xml:space="preserve">A</m:t>
        </m:r>
      </m:oMath>
      <w:r>
        <w:rPr>
          <w:rFonts w:ascii="Times New Roman" w:hAnsi="Times New Roman" w:eastAsia="Songti SC"/>
          <w:color w:val="000000"/>
        </w:rPr>
        <w:t xml:space="preserve"> 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t>3.3.2 条件生成与标注迁移</w:t>
      </w:r>
      <w:bookmarkStart w:id="47" w:name="v5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5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5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4674582"/>
            <wp:docPr id="5" name="training_architecture.png" descr="关系感知增强学习的共享表示与梯度接口。机制示意，非实测案例。"/>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652770" cy="4674582"/>
                    </a:xfrm>
                    <a:prstGeom prst="rect"/>
                  </pic:spPr>
                </pic:pic>
              </a:graphicData>
            </a:graphic>
          </wp:inline>
        </w:drawing>
      </w:r>
    </w:p>
    <w:p>
      <w:pPr>
        <w:pStyle w:val="FigureCaption"/>
      </w:pPr>
      <w:r>
        <w:rPr>
          <w:rFonts w:ascii="Times New Roman" w:hAnsi="Times New Roman" w:eastAsia="Songti SC"/>
          <w:color w:val="000000"/>
          <w:sz w:val="21"/>
        </w:rPr>
        <w:t>图3-2 关系感知增强学习的训练架构</w:t>
      </w:r>
      <w:bookmarkStart w:id="152" w:name="v5_152"/>
      <w:bookmarkEnd w:id="152"/>
    </w:p>
    <w:p>
      <w:r>
        <w:rPr>
          <w:rFonts w:ascii="Times New Roman" w:hAnsi="Times New Roman" w:eastAsia="Songti SC"/>
          <w:color w:val="000000"/>
        </w:rPr>
        <w:t>图3-2区分继承的专项适配、线索提示和句子监督，以及新增的组件头、关系头与成对损失。数据流表示文本和隐藏状态的传递；各类参数的梯度来源在3.4.3节统一说明。</w:t>
      </w:r>
    </w:p>
    <w:p>
      <w:pPr>
        <w:pStyle w:val="Heading3"/>
      </w:pPr>
      <w:r>
        <w:t>3.4.1 输入表示与训练头</w:t>
      </w:r>
      <w:bookmarkStart w:id="50" w:name="v5_50"/>
      <w:bookmarkEnd w:id="50"/>
    </w:p>
    <w:p>
      <w:r>
        <w:rPr>
          <w:rFonts w:ascii="Times New Roman" w:hAnsi="Times New Roman" w:eastAsia="Songti SC"/>
          <w:color w:val="000000"/>
        </w:rPr>
        <w:t>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r>
        <w:rPr>
          <w:rFonts w:ascii="Times New Roman" w:hAnsi="Times New Roman" w:eastAsia="Songti SC"/>
          <w:color w:val="000000"/>
        </w:rPr>
        <w:t xml:space="preserve">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为输入子词隐藏状态，</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 为组件字符跨度对应的输入子词集合，</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为全文输入结束且回答尚未开始处的隐藏状态。坐标映射和输入隔离的实现检查见附录F.2。组件表示与类型分布定义为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为跨度表示补充全文上下文通道，并不改变模型的因果注意力结构；组件头不输入待预测的金标类型。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为源成员表示的算术均值。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p>
      <w:pPr>
        <w:pStyle w:val="Heading3"/>
      </w:pPr>
      <w:r>
        <w:t>3.4.2 对齐与金标锚定</w:t>
      </w:r>
      <w:bookmarkStart w:id="51" w:name="v5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5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控制每篇源文档的增强基础目标总权重：接受一个变体时，该变体的系数为 </w:t>
      </w:r>
      <m:oMath>
        <m:r>
          <m:t xml:space="preserve">ρ</m:t>
        </m:r>
      </m:oMath>
      <w:r>
        <w:rPr>
          <w:rFonts w:ascii="Times New Roman" w:hAnsi="Times New Roman" w:eastAsia="Songti SC"/>
          <w:color w:val="000000"/>
        </w:rPr>
        <w:t xml:space="preserve">；接受两个变体时，每个变体的系数为 </w:t>
      </w:r>
      <m:oMath>
        <m:r>
          <m:t xml:space="preserve">ρ</m:t>
        </m:r>
        <m:r>
          <m:t xml:space="preserve">/</m:t>
        </m:r>
        <m:r>
          <m:t xml:space="preserve">2</m:t>
        </m:r>
      </m:oMath>
      <w:r>
        <w:rPr>
          <w:rFonts w:ascii="Times New Roman" w:hAnsi="Times New Roman" w:eastAsia="Songti SC"/>
          <w:color w:val="000000"/>
        </w:rPr>
        <w:t xml:space="preserve">。因此，无变体文档的基础目标系数合计为1，有变体文档为 </w:t>
      </w:r>
      <m:oMath>
        <m:r>
          <m:t xml:space="preserve">1</m:t>
        </m:r>
        <m:r>
          <m:t xml:space="preserve">+</m:t>
        </m:r>
        <m:r>
          <m:t xml:space="preserve">ρ</m:t>
        </m:r>
      </m:oMath>
      <w:r>
        <w:rPr>
          <w:rFonts w:ascii="Times New Roman" w:hAnsi="Times New Roman" w:eastAsia="Songti SC"/>
          <w:color w:val="000000"/>
        </w:rPr>
        <w:t xml:space="preserve">，不随已接受变体数继续倍增。这里的系数合计仅描述原文与增强文的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 xml:space="preserve"> 加权，不表示实际梯度幅度具有相同比例；头监督仍按 </w:t>
      </w:r>
      <m:oMath>
        <m:r>
          <m:t xml:space="preserve">1</m:t>
        </m:r>
        <m:r>
          <m:t xml:space="preserve">+</m:t>
        </m:r>
        <m:sSub>
          <m:e>
            <m:r>
              <m:t xml:space="preserve">m</m:t>
            </m:r>
          </m:e>
          <m:sub>
            <m:r>
              <m:t xml:space="preserve">d</m:t>
            </m:r>
          </m:sub>
        </m:sSub>
      </m:oMath>
      <w:r>
        <w:rPr>
          <w:rFonts w:ascii="Times New Roman" w:hAnsi="Times New Roman" w:eastAsia="Songti SC"/>
          <w:color w:val="000000"/>
        </w:rPr>
        <w:t xml:space="preserve"> 个视图平均，对齐项按已接受文本对平均。</w:t>
      </w:r>
    </w:p>
    <w:p>
      <w:r>
        <w:rPr>
          <w:rFonts w:ascii="Times New Roman" w:hAnsi="Times New Roman" w:eastAsia="Songti SC"/>
          <w:color w:val="000000"/>
        </w:rPr>
        <w:t>本文保留上述加权方式，使通过筛选的增强视图提供额外监督。外层按源文档等权采样，用于控制文档访问频次，并不使有、无增强的文档具有完全相同的基础目标总权重。不同筛选方案可能通过接受覆盖影响这一加权分布，其比较口径见3.6.1节。梯度累积的最后一个不足批次按实际源文档数归一化；损失系数在开发阶段确定，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具体梯度核验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5_53"/>
      <w:bookmarkEnd w:id="53"/>
    </w:p>
    <w:p>
      <w:pPr>
        <w:pStyle w:val="Heading3"/>
      </w:pPr>
      <w:r>
        <w:t>3.5.1 数据构造与参数学习</w:t>
      </w:r>
      <w:bookmarkStart w:id="54" w:name="v5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关系感知增强学习</w:t>
      </w:r>
      <w:bookmarkStart w:id="153" w:name="v5_153"/>
      <w:bookmarkEnd w:id="153"/>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输入：训练文档及金标图 D_train，数据协议，固定增强与语义验证模型，</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ab/>
      </w:r>
      <w:r>
        <w:rPr>
          <w:rFonts w:ascii="Times New Roman" w:hAnsi="Times New Roman" w:eastAsia="Songti SC"/>
          <w:color w:val="000000"/>
          <w:sz w:val="21"/>
        </w:rPr>
        <w:t>每文档尝试上限 B_try、接受上限 B_accept，训练更新上限 U。</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输出：结论专项生成器 θ，以及增强样本、组件映射和来源记录。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检查训练划分、全文哈希分组、坐标和标签协议</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for</w:t>
      </w:r>
      <w:r>
        <w:rPr>
          <w:rFonts w:ascii="Times New Roman" w:hAnsi="Times New Roman" w:eastAsia="Songti SC"/>
          <w:color w:val="000000"/>
          <w:sz w:val="21"/>
        </w:rPr>
        <w:t xml:space="preserve"> 每篇源文档 d ∈ D_train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color w:val="000000"/>
          <w:sz w:val="21"/>
        </w:rPr>
        <w:t>保留原文 x_d 和完整金标图 G_d；令 Views_d = ∅</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按3.3.1固定中心及完整入源；不可处理则记原因并继续下一文档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05</w:t>
        <w:tab/>
      </w:r>
      <w:r>
        <w:rPr>
          <w:rFonts w:ascii="Times New Roman" w:hAnsi="Times New Roman" w:eastAsia="Songti SC"/>
          <w:color w:val="000000"/>
          <w:sz w:val="21"/>
        </w:rPr>
        <w:t>建立因素宇宙 Ω(C_d)，构造改写集合 A</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06</w:t>
        <w:tab/>
      </w:r>
      <w:r>
        <w:rPr>
          <w:rFonts w:ascii="Times New Roman" w:hAnsi="Times New Roman" w:eastAsia="Songti SC"/>
          <w:color w:val="000000"/>
          <w:sz w:val="21"/>
        </w:rPr>
        <w:t>构造完整影响域 D_A；令 attempts = 0</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b/>
          <w:color w:val="000000"/>
          <w:sz w:val="21"/>
        </w:rPr>
        <w:t>while</w:t>
      </w:r>
      <w:r>
        <w:rPr>
          <w:rFonts w:ascii="Times New Roman" w:hAnsi="Times New Roman" w:eastAsia="Songti SC"/>
          <w:color w:val="000000"/>
          <w:sz w:val="21"/>
        </w:rPr>
        <w:t xml:space="preserve"> attempts &lt; B_try 且 |Views_d| &lt; B_accept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08</w:t>
        <w:tab/>
      </w:r>
      <w:r>
        <w:rPr>
          <w:rFonts w:ascii="Times New Roman" w:hAnsi="Times New Roman" w:eastAsia="Songti SC"/>
          <w:color w:val="000000"/>
          <w:sz w:val="21"/>
        </w:rPr>
        <w:t>attempts ← attempts + 1；生成组件槽位的替换文本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回填全文、重新分词，建立全部组件的双射 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if</w:t>
      </w:r>
      <w:r>
        <w:rPr>
          <w:rFonts w:ascii="Times New Roman" w:hAnsi="Times New Roman" w:eastAsia="Songti SC"/>
          <w:color w:val="000000"/>
          <w:sz w:val="21"/>
        </w:rPr>
        <w:t xml:space="preserve"> 格式、槽位、坐标或端点检查失败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color w:val="000000"/>
          <w:sz w:val="21"/>
        </w:rPr>
        <w:t>检查全文角色与表达退化</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15</w:t>
        <w:tab/>
      </w:r>
      <w:r>
        <w:rPr>
          <w:rFonts w:ascii="Times New Roman" w:hAnsi="Times New Roman" w:eastAsia="Songti SC"/>
          <w:b/>
          <w:color w:val="000000"/>
          <w:sz w:val="21"/>
        </w:rPr>
        <w:t>if</w:t>
      </w:r>
      <w:r>
        <w:rPr>
          <w:rFonts w:ascii="Times New Roman" w:hAnsi="Times New Roman" w:eastAsia="Songti SC"/>
          <w:color w:val="000000"/>
          <w:sz w:val="21"/>
        </w:rPr>
        <w:t xml:space="preserve"> D_A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检查 D_A 中全部关系状态</w:t>
      </w:r>
    </w:p>
    <w:p>
      <w:pPr>
        <w:pStyle w:val="AlgorithmLine"/>
        <w:keepNext w:val="0"/>
        <w:keepLines/>
        <w:tabs>
          <w:tab w:pos="850" w:val="left"/>
        </w:tabs>
        <w:spacing w:line="300" w:lineRule="exact" w:after="0"/>
        <w:ind w:left="850" w:hanging="850"/>
        <w:pBdr>
          <w:bottom w:val="single" w:sz="4" w:color="000000" w:space="4"/>
        </w:pBdr>
      </w:pPr>
      <w:r>
        <w:rPr>
          <w:rFonts w:ascii="Times New Roman" w:hAnsi="Times New Roman" w:eastAsia="Songti SC"/>
          <w:color w:val="000000"/>
          <w:sz w:val="21"/>
        </w:rPr>
        <w:t>17</w:t>
        <w:tab/>
      </w:r>
      <w:r>
        <w:rPr>
          <w:rFonts w:ascii="Times New Roman" w:hAnsi="Times New Roman" w:eastAsia="Songti SC"/>
          <w:b/>
          <w:color w:val="000000"/>
          <w:sz w:val="21"/>
        </w:rPr>
        <w:t>end if</w:t>
      </w:r>
    </w:p>
    <w:p>
      <w:pPr>
        <w:pStyle w:val="ContinuationCaption"/>
        <w:keepNext/>
        <w:pageBreakBefore/>
      </w:pPr>
      <w:r>
        <w:t>算法3-1（续）</w:t>
      </w:r>
    </w:p>
    <w:p>
      <w:pPr>
        <w:pStyle w:val="AlgorithmLine"/>
        <w:keepNext/>
        <w:keepLines/>
        <w:tabs>
          <w:tab w:pos="850" w:val="left"/>
        </w:tabs>
        <w:spacing w:line="300" w:lineRule="exact" w:after="0"/>
        <w:ind w:left="850" w:hanging="850"/>
        <w:pBdr>
          <w:top w:val="single" w:sz="4" w:color="000000" w:space="4"/>
        </w:pBdr>
      </w:pPr>
      <w:r>
        <w:rPr>
          <w:rFonts w:ascii="Times New Roman" w:hAnsi="Times New Roman" w:eastAsia="Songti SC"/>
          <w:color w:val="000000"/>
          <w:sz w:val="21"/>
        </w:rPr>
        <w:t>18</w:t>
        <w:tab/>
      </w:r>
      <w:r>
        <w:rPr>
          <w:rFonts w:ascii="Times New Roman" w:hAnsi="Times New Roman" w:eastAsia="Songti SC"/>
          <w:b/>
          <w:color w:val="000000"/>
          <w:sz w:val="21"/>
        </w:rPr>
        <w:t>if</w:t>
      </w:r>
      <w:r>
        <w:rPr>
          <w:rFonts w:ascii="Times New Roman" w:hAnsi="Times New Roman" w:eastAsia="Songti SC"/>
          <w:color w:val="000000"/>
          <w:sz w:val="21"/>
        </w:rPr>
        <w:t xml:space="preserve"> 任一受检标签漂移或其他筛选条件失败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20</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21</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color w:val="000000"/>
          <w:sz w:val="21"/>
        </w:rPr>
        <w:t>将通过的全文视图、φ(G_d)、φ 和来源加入 Views_d</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24</w:t>
        <w:tab/>
      </w:r>
      <w:r>
        <w:rPr>
          <w:rFonts w:ascii="Times New Roman" w:hAnsi="Times New Roman" w:eastAsia="Songti SC"/>
          <w:color w:val="000000"/>
          <w:sz w:val="21"/>
        </w:rPr>
        <w:t>保存 Views_d；集合为空时仍保留原文</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25</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26</w:t>
        <w:tab/>
      </w:r>
      <w:r>
        <w:rPr>
          <w:rFonts w:ascii="Times New Roman" w:hAnsi="Times New Roman" w:eastAsia="Songti SC"/>
          <w:b/>
          <w:color w:val="000000"/>
          <w:sz w:val="21"/>
        </w:rPr>
        <w:t>for</w:t>
      </w:r>
      <w:r>
        <w:rPr>
          <w:rFonts w:ascii="Times New Roman" w:hAnsi="Times New Roman" w:eastAsia="Songti SC"/>
          <w:color w:val="000000"/>
          <w:sz w:val="21"/>
        </w:rPr>
        <w:t xml:space="preserve"> step = 1, …, U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27</w:t>
        <w:tab/>
      </w:r>
      <w:r>
        <w:rPr>
          <w:rFonts w:ascii="Times New Roman" w:hAnsi="Times New Roman" w:eastAsia="Songti SC"/>
          <w:color w:val="000000"/>
          <w:sz w:val="21"/>
        </w:rPr>
        <w:t>按源文档等权取训练批次；读取原文及其已接受视图</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28</w:t>
        <w:tab/>
      </w:r>
      <w:r>
        <w:rPr>
          <w:rFonts w:ascii="Times New Roman" w:hAnsi="Times New Roman" w:eastAsia="Songti SC"/>
          <w:color w:val="000000"/>
          <w:sz w:val="21"/>
        </w:rPr>
        <w:t>依可见前缀门控，计算各视图的生成损失和句子辅助损失</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29</w:t>
        <w:tab/>
      </w:r>
      <w:r>
        <w:rPr>
          <w:rFonts w:ascii="Times New Roman" w:hAnsi="Times New Roman" w:eastAsia="Songti SC"/>
          <w:color w:val="000000"/>
          <w:sz w:val="21"/>
        </w:rPr>
        <w:t>从回答开始前的输入表示计算组件头与关系状态头监督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30</w:t>
        <w:tab/>
      </w:r>
      <w:r>
        <w:rPr>
          <w:rFonts w:ascii="Times New Roman" w:hAnsi="Times New Roman" w:eastAsia="Songti SC"/>
          <w:color w:val="000000"/>
          <w:sz w:val="21"/>
        </w:rPr>
        <w:t>依 φ 计算非空域成对损失；无变体或空域的对齐项置零</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31</w:t>
        <w:tab/>
      </w:r>
      <w:r>
        <w:rPr>
          <w:rFonts w:ascii="Times New Roman" w:hAnsi="Times New Roman" w:eastAsia="Songti SC"/>
          <w:color w:val="000000"/>
          <w:sz w:val="21"/>
        </w:rPr>
        <w:t>保留两个视图的梯度，按同源变体及源文档两级归一化</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32</w:t>
        <w:tab/>
      </w:r>
      <w:r>
        <w:rPr>
          <w:rFonts w:ascii="Times New Roman" w:hAnsi="Times New Roman" w:eastAsia="Songti SC"/>
          <w:color w:val="000000"/>
          <w:sz w:val="21"/>
        </w:rPr>
        <w:t>按3.4.3节的梯度路径执行一次反向传播；基础模型权重冻结</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33</w:t>
        <w:tab/>
      </w:r>
      <w:r>
        <w:rPr>
          <w:rFonts w:ascii="Times New Roman" w:hAnsi="Times New Roman" w:eastAsia="Songti SC"/>
          <w:b/>
          <w:color w:val="000000"/>
          <w:sz w:val="21"/>
        </w:rPr>
        <w:t>if</w:t>
      </w:r>
      <w:r>
        <w:rPr>
          <w:rFonts w:ascii="Times New Roman" w:hAnsi="Times New Roman" w:eastAsia="Songti SC"/>
          <w:color w:val="000000"/>
          <w:sz w:val="21"/>
        </w:rPr>
        <w:t xml:space="preserve"> 达到2.6节预先确定的停止条件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34</w:t>
        <w:tab/>
      </w:r>
      <w:r>
        <w:rPr>
          <w:rFonts w:ascii="Times New Roman" w:hAnsi="Times New Roman" w:eastAsia="Songti SC"/>
          <w:b/>
          <w:color w:val="000000"/>
          <w:sz w:val="21"/>
        </w:rPr>
        <w:t>break</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35</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36</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37</w:t>
        <w:tab/>
      </w:r>
      <w:r>
        <w:rPr>
          <w:rFonts w:ascii="Times New Roman" w:hAnsi="Times New Roman" w:eastAsia="Songti SC"/>
          <w:color w:val="000000"/>
          <w:sz w:val="21"/>
        </w:rPr>
        <w:t>返回生成器及来源记录；开发评价和测试时移除训练辅助头</w:t>
      </w:r>
    </w:p>
    <w:p>
      <w:r>
        <w:rPr>
          <w:rFonts w:ascii="Times New Roman" w:hAnsi="Times New Roman" w:eastAsia="Songti SC"/>
          <w:color w:val="000000"/>
        </w:rPr>
        <w:t>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Heading3"/>
      </w:pPr>
      <w:r>
        <w:t>3.5.2 性质与适用条件</w:t>
      </w:r>
      <w:bookmarkStart w:id="55" w:name="v5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验证设计与已有证据</w:t>
      </w:r>
      <w:bookmarkStart w:id="56" w:name="v5_56"/>
      <w:bookmarkEnd w:id="56"/>
    </w:p>
    <w:p>
      <w:r>
        <w:rPr>
          <w:rFonts w:ascii="Times New Roman" w:hAnsi="Times New Roman" w:eastAsia="Songti SC"/>
          <w:color w:val="000000"/>
        </w:rPr>
        <w:t>本章将监督可靠性与下游学习收益分开判断。构造程序已验证中心、完整源成员、字符坐标和因素分类的确定行为；标签语义是否保持、成对学习是否改善真实文本抽取，仍需要独立审计和模型训练。CovEReD亦区分增强一致性和原始任务表现[37]。本节报告已执行检查，并明确尚无语料结果支持的主张，不填入预期F1。</w:t>
      </w:r>
    </w:p>
    <w:p>
      <w:pPr>
        <w:pStyle w:val="Heading3"/>
      </w:pPr>
      <w:r>
        <w:t>3.6.1 实验设置与比较方法</w:t>
      </w:r>
      <w:bookmarkStart w:id="57" w:name="v5_57"/>
      <w:bookmarkEnd w:id="57"/>
    </w:p>
    <w:p>
      <w:r>
        <w:rPr>
          <w:rFonts w:ascii="Times New Roman" w:hAnsi="Times New Roman" w:eastAsia="Songti SC"/>
          <w:color w:val="000000"/>
        </w:rPr>
        <w:t>训练侧全部使用I0推理。T0保留ICIC专项适配、线索提示和句子辅助目标，不增加本章增强及训练头；T1使用完整增强、头监督及成对因素学习。正式评价采用未改写的测试原文，AAEC使用严格二元关系，CDCP使用完整原生超边。构造数据不进入正式训练、开发或测试划分。</w:t>
      </w:r>
    </w:p>
    <w:p>
      <w:pPr>
        <w:pStyle w:val="TableCaption"/>
      </w:pPr>
      <w:r>
        <w:rPr>
          <w:rFonts w:ascii="Times New Roman" w:hAnsi="Times New Roman" w:eastAsia="Songti SC"/>
          <w:color w:val="000000"/>
          <w:sz w:val="21"/>
        </w:rPr>
        <w:t>表3-2 训练侧对照与归因条件</w:t>
      </w:r>
      <w:bookmarkStart w:id="154" w:name="v5_154"/>
      <w:bookmarkEnd w:id="15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编号与比较</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变化因素及可回答问题</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T-A T0与普通增强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相同基础损失，不增加新头</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一般数据增量；普通生成是否共用筛选须明示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T-B QOS式与完整方案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语料、评价及资源轨道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共同接口下的数据构造差异，非原论文优劣结论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T-C 去跨边界正关系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同中心、生成池及其他检查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跨边界正标签检查的质量与覆盖作用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T-D 去NONE检查</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同中心、生成池及正关系检查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无边状态检查的作用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 基础、加头、加对齐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完全相同变体、逐源权重与更新条件</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辅助监督和成对项分别产生的增量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T-F 结论与匹配随机中心</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同文档、区域大小、长度与关系度</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结论优先的条件性价值</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T-G T0与T1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同骨干、原生评价、I0</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完整训练方案；复用第五章主运行</w:t>
            </w:r>
          </w:p>
        </w:tc>
      </w:tr>
    </w:tbl>
    <w:p>
      <w:pPr>
        <w:spacing w:after="0" w:line="240" w:lineRule="auto"/>
      </w:pPr>
    </w:p>
    <w:p>
      <w:r>
        <w:rPr>
          <w:rFonts w:ascii="Times New Roman" w:hAnsi="Times New Roman" w:eastAsia="Songti SC"/>
          <w:color w:val="000000"/>
        </w:rPr>
        <w:t>固定生成池上的筛选诊断与改变生成提示的完整方法分开。筛选版本以“内部正关系、跨边界正关系、内部NONE、跨边界NONE”四开关表示：完整方案为1111，去跨边界正关系为1011，去NONE为1100，仅内部正关系为1000。因此，后两类删减不能混用名称。未做下游训练的过滤版本只提供数据质量证据。</w:t>
      </w:r>
    </w:p>
    <w:p>
      <w:r>
        <w:rPr>
          <w:rFonts w:ascii="Times New Roman" w:hAnsi="Times New Roman" w:eastAsia="Songti SC"/>
          <w:color w:val="000000"/>
        </w:rPr>
        <w:t>数据构造保留固定尝试预算和匹配训练规模两条轨道。后者同时记录每文档接受数、原文覆盖、增强token及更新条件，不能以相同总接受数声称完全公平。T-E复用同一增强集合和</w:t>
      </w:r>
      <m:oMath>
        <m:sSub>
          <m:e>
            <m:r>
              <m:t xml:space="preserve">m</m:t>
            </m:r>
          </m:e>
          <m:sub>
            <m:r>
              <m:t xml:space="preserve">d</m:t>
            </m:r>
          </m:sub>
        </m:sSub>
      </m:oMath>
      <w:r>
        <w:rPr>
          <w:rFonts w:ascii="Times New Roman" w:hAnsi="Times New Roman" w:eastAsia="Songti SC"/>
          <w:color w:val="000000"/>
        </w:rPr>
        <w:t>，仅基础损失、增加头监督和增加对齐分别命名；普通增强若同时加头，另设无增强同头对照，否则不能只归因于数据增量。QOS原方法复现与共同接口适配各有配置身份，适配差异不得隐去。</w:t>
      </w:r>
    </w:p>
    <w:p>
      <w:pPr>
        <w:pStyle w:val="Heading3"/>
      </w:pPr>
      <w:r>
        <w:t>3.6.2 增强质量与标签可靠性</w:t>
      </w:r>
      <w:bookmarkStart w:id="58" w:name="v5_58"/>
      <w:bookmarkEnd w:id="58"/>
    </w:p>
    <w:p>
      <w:r>
        <w:rPr>
          <w:rFonts w:ascii="Times New Roman" w:hAnsi="Times New Roman" w:eastAsia="Songti SC"/>
          <w:color w:val="000000"/>
        </w:rPr>
        <w:t>语义审计按数据集、接受或拒绝、内部或跨边界、正关系或NONE交叉分层，CDCP另记源成员数，并抽查两端只读的域外因素。判断准则覆盖角色、方向、否定、模态、指代与标签保持。先用训练或开发材料试审并冻结规则，再由不知道方法和自动判定的评审者独立判断、记录分歧及裁决；单人审计不报告虚构的一致性系数。</w:t>
      </w:r>
    </w:p>
    <w:p>
      <w:r>
        <w:rPr>
          <w:rFonts w:ascii="Times New Roman" w:hAnsi="Times New Roman" w:eastAsia="Songti SC"/>
          <w:color w:val="000000"/>
        </w:rPr>
        <w:t>漂移率以实际被审计因素为分母，空层记为无数据。抽样比例不等时按纳入概率加权，接受覆盖及拒绝错误同时报告，避免只检查成功样本。本版尚无正式盲审样本，因而不报告保持率、漂移率、人工一致性或“降低标签噪声”的效果。表3-3的程序检查不替代这一证据。</w:t>
      </w:r>
    </w:p>
    <w:p>
      <w:pPr>
        <w:pStyle w:val="Heading3"/>
      </w:pPr>
      <w:r>
        <w:t>3.6.3 已执行的结构与权重检查</w:t>
      </w:r>
      <w:bookmarkStart w:id="59" w:name="v5_59"/>
      <w:bookmarkEnd w:id="59"/>
    </w:p>
    <w:p>
      <w:r>
        <w:rPr>
          <w:rFonts w:ascii="Times New Roman" w:hAnsi="Times New Roman" w:eastAsia="Songti SC"/>
          <w:color w:val="000000"/>
        </w:rPr>
        <w:t>表3-3来自本版独立参考程序的实际执行。输入是人工定义的组件、超边与短字符串，未调用增强模型或训练生成器。全部结果可由附录D.4材料重新计算。</w:t>
      </w:r>
    </w:p>
    <w:p>
      <w:pPr>
        <w:pStyle w:val="TableCaption"/>
      </w:pPr>
      <w:r>
        <w:rPr>
          <w:rFonts w:ascii="Times New Roman" w:hAnsi="Times New Roman" w:eastAsia="Songti SC"/>
          <w:color w:val="000000"/>
          <w:sz w:val="21"/>
        </w:rPr>
        <w:t>表3-3 构造输入上的训练侧规约检查</w:t>
      </w:r>
      <w:bookmarkStart w:id="155" w:name="v5_155"/>
      <w:bookmarkEnd w:id="15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检查对象</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输入或操作</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实际输出及解释</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固定中心</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同文档组件顺序置换</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选中同一中心；选择不依赖容器顺序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空集与回退</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无组件；仅Premise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分别跳过增强；记录一般组件回退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长金标超边</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四个Fact指向一个Policy</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区域含5个组件，未按三源预算截断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区域资源超限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上述区域长度5，上限4</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整体跳过，未删减金标成员</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字符输运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 bb cc”改为“aaaa b cc”</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只读末组件从[6,8)移动到[7,9)</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因素分类</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三个组件、两个正关系，改写其中两个</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内部正/NONE各1，跨边界正1/NONE3</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逐源基础权重</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ρ=1，接受数为0、1、2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系数分别[1]、[1,1]、[1,0.5,0.5]</w:t>
            </w:r>
          </w:p>
        </w:tc>
      </w:tr>
    </w:tbl>
    <w:p>
      <w:pPr>
        <w:spacing w:after="0" w:line="240" w:lineRule="auto"/>
      </w:pPr>
    </w:p>
    <w:p>
      <w:r>
        <w:rPr>
          <w:rFonts w:ascii="Times New Roman" w:hAnsi="Times New Roman" w:eastAsia="Songti SC"/>
          <w:color w:val="000000"/>
        </w:rPr>
        <w:t>这些输出说明参考函数没有把只读组件误当成坐标不变，也没有把跨边界与NONE混成同一分类。权重之和分别为1、2、2，验证了现有公式中的增强总权重，不证明实际梯度幅度相等。测试仅覆盖字符层输运；真实分词器offset mapping、输入隐藏状态、LoRA梯度流和训练稳定性尚未运行，因此不声称完整训练实现已验证。</w:t>
      </w:r>
    </w:p>
    <w:p>
      <w:r>
        <w:rPr>
          <w:rFonts w:ascii="Times New Roman" w:hAnsi="Times New Roman" w:eastAsia="Songti SC"/>
          <w:color w:val="000000"/>
        </w:rPr>
        <w:t>同数据学习消融尚无正式结果。当前能够确认的是三个损失配置的区别及其归因要求，不能确认成对项的任务增量，也不能由结构检查通过推出语义保持。原稿预期数值及据此计算的差值已从本节撤出，历史成绩仍保持附录E原身份。</w:t>
      </w:r>
    </w:p>
    <w:p>
      <w:pPr>
        <w:pStyle w:val="Heading3"/>
      </w:pPr>
      <w:r>
        <w:t>3.6.4 中心选择与适用条件</w:t>
      </w:r>
      <w:bookmarkStart w:id="60" w:name="v5_60"/>
      <w:bookmarkEnd w:id="60"/>
    </w:p>
    <w:p>
      <w:r>
        <w:rPr>
          <w:rFonts w:ascii="Times New Roman" w:hAnsi="Times New Roman" w:eastAsia="Songti SC"/>
          <w:color w:val="000000"/>
        </w:rPr>
        <w:t>随机中心对照在同一文档的全部合法组件中选择，允许抽到结论角色，用于估计“结论优先”相对于无角色偏好的策略效果，而不是强制结论与非结论的对立。对每个候选中心按同一规则生成完整区域；参考匹配要求区域组件数相同、入关系数相同、区域字符总长相差不超过20%，再按3.3.1的哈希顺序选择。无匹配项的文档记为unmatched，不反复挑选最好结果；回退文档不单独支持结论角色优势。20%为参考设计容差，非实测最优值。</w:t>
      </w:r>
    </w:p>
    <w:p>
      <w:r>
        <w:rPr>
          <w:rFonts w:ascii="Times New Roman" w:hAnsi="Times New Roman" w:eastAsia="Songti SC"/>
          <w:color w:val="000000"/>
        </w:rPr>
        <w:t>匹配子集与完整训练集分别报告，前者限定中心归因范围，后者反映部署覆盖。线索扰动和隐式结论分析尚未开展，不能据此声称鲁棒性。AAEC无普通入关系的MajorClaim仅贡献组件学习证据，不虚构其关系恢复空间。</w:t>
      </w:r>
    </w:p>
    <w:p>
      <w:pPr>
        <w:pStyle w:val="Heading3"/>
      </w:pPr>
      <w:r>
        <w:t>3.6.5 成本与案例的证据身份</w:t>
      </w:r>
      <w:bookmarkStart w:id="61" w:name="v5_61"/>
      <w:bookmarkEnd w:id="61"/>
    </w:p>
    <w:p>
      <w:r>
        <w:rPr>
          <w:rFonts w:ascii="Times New Roman" w:hAnsi="Times New Roman" w:eastAsia="Songti SC"/>
          <w:color w:val="000000"/>
        </w:rPr>
        <w:t>生成和审核成本包含全部失败尝试，训练成本包含原文、变体和辅助头；一次性构造、OOF准备与模型训练分别计费。本版未运行这些模型，故不报告token单价、GPU耗时、显存或端到端费用。</w:t>
      </w:r>
    </w:p>
    <w:p>
      <w:r>
        <w:rPr>
          <w:rFonts w:ascii="Times New Roman" w:hAnsi="Times New Roman" w:eastAsia="Songti SC"/>
          <w:color w:val="000000"/>
        </w:rPr>
        <w:t>表3-4区分已保存的构造例与尚缺的语义审计，避免用看似完整的案例表掩盖没有观测的类别。</w:t>
      </w:r>
    </w:p>
    <w:p>
      <w:pPr>
        <w:pStyle w:val="TableCaption"/>
      </w:pPr>
      <w:r>
        <w:rPr>
          <w:rFonts w:ascii="Times New Roman" w:hAnsi="Times New Roman" w:eastAsia="Songti SC"/>
          <w:color w:val="000000"/>
          <w:sz w:val="21"/>
        </w:rPr>
        <w:t>表3-4 当前案例材料及解释范围</w:t>
      </w:r>
      <w:bookmarkStart w:id="156" w:name="v5_156"/>
      <w:bookmarkEnd w:id="15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身份与实际内容</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能够支持的判断</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图书馆片段</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人工文本与关系设定</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内部正边、跨边界及NONE为何需分开</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字符替换fixture</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可执行字符串及全部坐标映射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长度变化后只读组件必须移动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长超边fixture</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四源成员及一个目标</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金标完整性不受新增NONE上限截断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接受但漂移、拒绝但保持</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尚无盲审记录</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不能估计漏判、误拒频率或归因</w:t>
            </w:r>
          </w:p>
        </w:tc>
      </w:tr>
    </w:tbl>
    <w:p>
      <w:pPr>
        <w:spacing w:after="0" w:line="240" w:lineRule="auto"/>
      </w:pPr>
    </w:p>
    <w:p>
      <w:pPr>
        <w:pStyle w:val="Heading2"/>
      </w:pPr>
      <w:r>
        <w:t>3.7 本章小结</w:t>
      </w:r>
      <w:bookmarkStart w:id="62" w:name="v5_62"/>
      <w:bookmarkEnd w:id="62"/>
    </w:p>
    <w:p>
      <w:r>
        <w:rPr>
          <w:rFonts w:ascii="Times New Roman" w:hAnsi="Times New Roman" w:eastAsia="Songti SC"/>
          <w:color w:val="000000"/>
        </w:rPr>
        <w:t>本章确定了单中心、完整入源、有限因素宇宙、标注输运与逐源学习目标，并用构造输入核查部分结构接口。对RQ1，当前支持的是方法定义和对应关系的可复核性；监督质量改善与同数据成对学习的独立收益仍未建立。下一章保持原文不变，研究组件修改后关系如何共同决策。</w:t>
      </w:r>
    </w:p>
    <w:p>
      <w:pPr>
        <w:pStyle w:val="Heading1"/>
      </w:pPr>
      <w:r>
        <w:t>第四章 多候选驱动的依赖闭合论辩图修正</w:t>
      </w:r>
      <w:bookmarkStart w:id="63" w:name="v5_63"/>
      <w:bookmarkEnd w:id="63"/>
    </w:p>
    <w:p>
      <w:pPr>
        <w:pStyle w:val="Heading2"/>
      </w:pPr>
      <w:r>
        <w:t>4.1 引言</w:t>
      </w:r>
      <w:bookmarkStart w:id="64" w:name="v5_64"/>
      <w:bookmarkEnd w:id="64"/>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本章方法记为MCR-BR-J，J用于区分联合修正版与前期方法。方法保留完整候选图生成与初始重排序，将修正单位扩展为冲突闭合的组件集合替换，并同步重建所有依赖于变化端点的候选关系。固定文本证据评分、代价敏感效用与有限预算共同规定每次修改的依据和停止条件。下文依次说明候选空间、集合事务、评分与接受规则、求解算法，并以独立对照和机制诊断组织实验分析。</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 xml:space="preserve">据此，本章将问题定义为有预算的结构选择。给定原文 </w:t>
      </w:r>
      <m:oMath>
        <m:r>
          <m:t xml:space="preserve">x</m:t>
        </m:r>
      </m:oMath>
      <w:r>
        <w:rPr>
          <w:rFonts w:ascii="Times New Roman" w:hAnsi="Times New Roman" w:eastAsia="Songti SC"/>
          <w:color w:val="000000"/>
        </w:rPr>
        <w:t xml:space="preserve">、初始图 </w:t>
      </w:r>
      <m:oMath>
        <m:sSub>
          <m:e>
            <m:r>
              <m:t xml:space="preserve">G</m:t>
            </m:r>
          </m:e>
          <m:sub>
            <m:r>
              <m:t xml:space="preserve">0</m:t>
            </m:r>
          </m:sub>
        </m:sSub>
      </m:oMath>
      <w:r>
        <w:rPr>
          <w:rFonts w:ascii="Times New Roman" w:hAnsi="Times New Roman" w:eastAsia="Songti SC"/>
          <w:color w:val="000000"/>
        </w:rPr>
        <w:t xml:space="preserve"> 和预先构建的候选宇宙，算法选择有限次结构事务，输出合法图 </w:t>
      </w:r>
      <m:oMath>
        <m:r>
          <m:t xml:space="preserve">G</m:t>
        </m:r>
      </m:oMath>
      <w:r>
        <w:rPr>
          <w:rFonts w:ascii="Times New Roman" w:hAnsi="Times New Roman" w:eastAsia="Songti SC"/>
          <w:color w:val="000000"/>
        </w:rPr>
        <w:t>。候选空间限定可恢复的对象，事务邻域限定一次允许跨越的结构变化，评分器提供修改依据，预算限定搜索代价。这四者分别影响性能，不能仅用最终 F1 的变化解释全部机制。</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217484"/>
            <wp:docPr id="6" name="repair.png" descr="组件变更与关系重建的整体决策。机制示意，非实测案例。"/>
            <wp:cNvGraphicFramePr>
              <a:graphicFrameLocks noChangeAspect="1"/>
            </wp:cNvGraphicFramePr>
            <a:graphic>
              <a:graphicData uri="http://schemas.openxmlformats.org/drawingml/2006/picture">
                <pic:pic>
                  <pic:nvPicPr>
                    <pic:cNvPr id="0" name="repair.png"/>
                    <pic:cNvPicPr/>
                  </pic:nvPicPr>
                  <pic:blipFill>
                    <a:blip r:embed="rId93"/>
                    <a:stretch>
                      <a:fillRect/>
                    </a:stretch>
                  </pic:blipFill>
                  <pic:spPr>
                    <a:xfrm>
                      <a:off x="0" y="0"/>
                      <a:ext cx="5652770" cy="4217484"/>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57" w:name="v5_157"/>
      <w:bookmarkEnd w:id="157"/>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5" w:name="v5_65"/>
      <w:bookmarkEnd w:id="65"/>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6" w:name="v5_66"/>
      <w:bookmarkEnd w:id="66"/>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7" w:name="v5_67"/>
      <w:bookmarkEnd w:id="67"/>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8" w:name="v5_68"/>
      <w:bookmarkEnd w:id="68"/>
    </w:p>
    <w:p>
      <w:r>
        <w:rPr>
          <w:rFonts w:ascii="Times New Roman" w:hAnsi="Times New Roman" w:eastAsia="Songti SC"/>
          <w:color w:val="000000"/>
        </w:rPr>
        <w:t>修正开始前构建固定跨度集合</w:t>
      </w:r>
      <m:oMath>
        <m:r>
          <m:t xml:space="preserve">U</m:t>
        </m:r>
      </m:oMath>
      <w:r>
        <w:rPr>
          <w:rFonts w:ascii="Times New Roman" w:hAnsi="Times New Roman" w:eastAsia="Songti SC"/>
          <w:color w:val="000000"/>
        </w:rPr>
        <w:t>。受保护部分包含合法化后初始图及全部成功解析候选图中的合法组件跨度；对象先去重，不以概率阈值裁掉初始图。独立跨度头和有限规则扩展提供补充部分。两部分分开计数，保护对象多于补充上限时不裁初始图；若总资源无法容纳保护部分，返回候选构造失败，而不是无声改变基线。</w:t>
      </w:r>
    </w:p>
    <w:p>
      <w:r>
        <w:rPr>
          <w:rFonts w:ascii="Times New Roman" w:hAnsi="Times New Roman" w:eastAsia="Songti SC"/>
          <w:color w:val="000000"/>
        </w:rPr>
        <w:t>独立跨度头使用全文编码器和两个线性层，分别预测评价token边界的起点与终点概率；监督来自训练集全部金标跨度。子词表示按offset mapping聚合到评价token，空映射报错，训练采用起止两项二元交叉熵均值。内部解码采用零基半开区间，枚举</w:t>
      </w:r>
      <m:oMath>
        <m:r>
          <m:t xml:space="preserve">0</m:t>
        </m:r>
        <m:r>
          <m:t xml:space="preserve">≤</m:t>
        </m:r>
        <m:r>
          <m:t xml:space="preserve">s</m:t>
        </m:r>
        <m:r>
          <m:t xml:space="preserve">&lt;</m:t>
        </m:r>
        <m:r>
          <m:t xml:space="preserve">e</m:t>
        </m:r>
        <m:r>
          <m:t xml:space="preserve">≤</m:t>
        </m:r>
        <m:r>
          <m:t xml:space="preserve">n</m:t>
        </m:r>
      </m:oMath>
      <w:r>
        <w:rPr>
          <w:rFonts w:ascii="Times New Roman" w:hAnsi="Times New Roman" w:eastAsia="Songti SC"/>
          <w:color w:val="000000"/>
        </w:rPr>
        <w:t>且</w:t>
      </w:r>
      <m:oMath>
        <m:r>
          <m:t xml:space="preserve">e</m:t>
        </m:r>
        <m:r>
          <m:t xml:space="preserve">-</m:t>
        </m:r>
        <m:r>
          <m:t xml:space="preserve">s</m:t>
        </m:r>
        <m:r>
          <m:t xml:space="preserve">≤</m:t>
        </m:r>
        <m:sSub>
          <m:e>
            <m:r>
              <m:t xml:space="preserve">L</m:t>
            </m:r>
          </m:e>
          <m:sub>
            <m:r>
              <m:t xml:space="preserve">s</m:t>
            </m:r>
            <m:r>
              <m:t xml:space="preserve">p</m:t>
            </m:r>
            <m:r>
              <m:t xml:space="preserve">a</m:t>
            </m:r>
            <m:r>
              <m:t xml:space="preserve">n</m:t>
            </m:r>
          </m:sub>
        </m:sSub>
      </m:oMath>
      <w:r>
        <w:rPr>
          <w:rFonts w:ascii="Times New Roman" w:hAnsi="Times New Roman" w:eastAsia="Songti SC"/>
          <w:color w:val="000000"/>
        </w:rPr>
        <w:t>，以两端对数概率之和排序，同分按</w:t>
      </w:r>
      <m:oMath>
        <m:r>
          <m:t xml:space="preserve">(</m:t>
        </m:r>
        <m:r>
          <m:t xml:space="preserve">s</m:t>
        </m:r>
        <m:r>
          <m:t xml:space="preserve">,</m:t>
        </m:r>
        <m:r>
          <m:t xml:space="preserve">e</m:t>
        </m:r>
        <m:r>
          <m:t xml:space="preserve">)</m:t>
        </m:r>
      </m:oMath>
      <w:r>
        <w:rPr>
          <w:rFonts w:ascii="Times New Roman" w:hAnsi="Times New Roman" w:eastAsia="Songti SC"/>
          <w:color w:val="000000"/>
        </w:rPr>
        <w:t>升序；输出统一转换为2.1节从1开始的闭区间</w:t>
      </w:r>
      <m:oMath>
        <m:r>
          <m:t xml:space="preserve">[</m:t>
        </m:r>
        <m:r>
          <m:t xml:space="preserve">s</m:t>
        </m:r>
        <m:r>
          <m:t xml:space="preserve">+</m:t>
        </m:r>
        <m:r>
          <m:t xml:space="preserve">1</m:t>
        </m:r>
        <m:r>
          <m:t xml:space="preserve">,</m:t>
        </m:r>
        <m:r>
          <m:t xml:space="preserve">e</m:t>
        </m:r>
        <m:r>
          <m:t xml:space="preserve">]</m:t>
        </m:r>
      </m:oMath>
      <w:r>
        <w:rPr>
          <w:rFonts w:ascii="Times New Roman" w:hAnsi="Times New Roman" w:eastAsia="Songti SC"/>
          <w:color w:val="000000"/>
        </w:rPr>
        <w:t>后才构造评价语义键。此分数仅用于候选召回与裁剪，不是完整对象正确率。跨度头不输入金标答案，在OOF时与生成器使用相同持出隔离。</w:t>
      </w:r>
    </w:p>
    <w:p>
      <w:r>
        <w:rPr>
          <w:rFonts w:ascii="Times New Roman" w:hAnsi="Times New Roman" w:eastAsia="Songti SC"/>
          <w:color w:val="000000"/>
        </w:rPr>
        <w:t>参考有限扩展对受保护跨度及跨度头前</w:t>
      </w:r>
      <m:oMath>
        <m:sSub>
          <m:e>
            <m:r>
              <m:t xml:space="preserve">N</m:t>
            </m:r>
          </m:e>
          <m:sub>
            <m:r>
              <m:t xml:space="preserve">h</m:t>
            </m:r>
            <m:r>
              <m:t xml:space="preserve">e</m:t>
            </m:r>
            <m:r>
              <m:t xml:space="preserve">a</m:t>
            </m:r>
            <m:r>
              <m:t xml:space="preserve">d</m:t>
            </m:r>
          </m:sub>
        </m:sSub>
      </m:oMath>
      <w:r>
        <w:rPr>
          <w:rFonts w:ascii="Times New Roman" w:hAnsi="Times New Roman" w:eastAsia="Songti SC"/>
          <w:color w:val="000000"/>
        </w:rPr>
        <w:t>个输出只执行一次：起止位置分别在</w:t>
      </w:r>
      <m:oMath>
        <m:r>
          <m:rPr>
            <m:sty m:val="p"/>
          </m:rPr>
          <m:t xml:space="preserve">{</m:t>
        </m:r>
        <m:r>
          <m:t xml:space="preserve">-</m:t>
        </m:r>
        <m:r>
          <m:t xml:space="preserve">1</m:t>
        </m:r>
        <m:r>
          <m:t xml:space="preserve">,</m:t>
        </m:r>
        <m:r>
          <m:t xml:space="preserve">0</m:t>
        </m:r>
        <m:r>
          <m:t xml:space="preserve">,</m:t>
        </m:r>
        <m:r>
          <m:t xml:space="preserve">1</m:t>
        </m:r>
        <m:r>
          <m:rPr>
            <m:sty m:val="p"/>
          </m:rPr>
          <m:t xml:space="preserve">}</m:t>
        </m:r>
      </m:oMath>
      <w:r>
        <w:rPr>
          <w:rFonts w:ascii="Times New Roman" w:hAnsi="Times New Roman" w:eastAsia="Songti SC"/>
          <w:color w:val="000000"/>
        </w:rPr>
        <w:t>内扰动；按位置排序，对相邻且不重叠的基础跨度加入合并区间；对基础跨度每个内部评价token边界加入左右切分区间。所有新跨度均通过坐标和最大长度检查，不递归使用新跨度继续扩展。去重后的补充跨度重新由同一边界头评分，按分数降序、坐标升序保留前</w:t>
      </w:r>
      <m:oMath>
        <m:sSub>
          <m:e>
            <m:r>
              <m:t xml:space="preserve">N</m:t>
            </m:r>
          </m:e>
          <m:sub>
            <m:r>
              <m:t xml:space="preserve">s</m:t>
            </m:r>
            <m:r>
              <m:t xml:space="preserve">u</m:t>
            </m:r>
            <m:r>
              <m:t xml:space="preserve">p</m:t>
            </m:r>
            <m:r>
              <m:t xml:space="preserve">p</m:t>
            </m:r>
          </m:sub>
        </m:sSub>
      </m:oMath>
      <w:r>
        <w:rPr>
          <w:rFonts w:ascii="Times New Roman" w:hAnsi="Times New Roman" w:eastAsia="Songti SC"/>
          <w:color w:val="000000"/>
        </w:rPr>
        <w:t>个；多来源并存，不只保留获胜来源。受保护长跨度不受补充长度上限裁掉。</w:t>
      </w:r>
    </w:p>
    <w:p>
      <w:r>
        <w:rPr>
          <w:rFonts w:ascii="Times New Roman" w:hAnsi="Times New Roman" w:eastAsia="Songti SC"/>
          <w:color w:val="000000"/>
        </w:rPr>
        <w:t>对</w:t>
      </w:r>
      <m:oMath>
        <m:r>
          <m:t xml:space="preserve">u</m:t>
        </m:r>
        <m:r>
          <m:t xml:space="preserve">∈</m:t>
        </m:r>
        <m:r>
          <m:t xml:space="preserve">U</m:t>
        </m:r>
      </m:oMath>
      <w:r>
        <w:rPr>
          <w:rFonts w:ascii="Times New Roman" w:hAnsi="Times New Roman" w:eastAsia="Songti SC"/>
          <w:color w:val="000000"/>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NULL表示不选择该跨度。同一跨度至多一个类型，不允许重叠的语料按两两交叠判定冲突，不用传递连通块替代两两兼容。组件键由文档哈希、坐标版本、起止位置及类型组成；类型或边界变化生成新对象。原始字符、评价token与模型子词保持独立映射，显示ID不参与评分键。</w:t>
      </w:r>
    </w:p>
    <w:p>
      <w:pPr>
        <w:pStyle w:val="Heading3"/>
      </w:pPr>
      <w:r>
        <w:t>4.2.4 完整关系候选与无边状态</w:t>
      </w:r>
      <w:bookmarkStart w:id="69" w:name="v5_69"/>
      <w:bookmarkEnd w:id="69"/>
    </w:p>
    <w:p>
      <w:r>
        <w:rPr>
          <w:rFonts w:ascii="Times New Roman" w:hAnsi="Times New Roman" w:eastAsia="Songti SC"/>
          <w:color w:val="000000"/>
        </w:rPr>
        <w:t>关系候选池</w:t>
      </w:r>
      <m:oMath>
        <m:r>
          <m:t xml:space="preserve">P</m:t>
        </m:r>
      </m:oMath>
      <w:r>
        <w:rPr>
          <w:rFonts w:ascii="Times New Roman" w:hAnsi="Times New Roman" w:eastAsia="Songti SC"/>
          <w:color w:val="000000"/>
        </w:rPr>
        <w:t>以完整端点槽位为单位构建。AAEC枚举可共存组件的有向对；CDCP枚举可共存、最多三个源成员的有序源集合与目标。除端点互斥等必然冲突外，不按整个候选宇宙中间是否存在其他跨度预删源组合，因为中间跨度可能最终不被选中。初始图与成功解析候选图的合法完整关系槽位受保护，已有长超边完整保留；补充槽位的元数上限仅约束新增组合。</w:t>
      </w:r>
    </w:p>
    <w:p>
      <w:r>
        <w:rPr>
          <w:rFonts w:ascii="Times New Roman" w:hAnsi="Times New Roman" w:eastAsia="Songti SC"/>
          <w:color w:val="000000"/>
        </w:rPr>
        <w:t>一个槽位包含协议允许的全部关系标签，原生超边的完整源集合只算一个端点组合。槽位优先分为固定对象评分的标签最大值；按该分数降序及规范化槽位键升序保留前</w:t>
      </w:r>
      <m:oMath>
        <m:sSub>
          <m:e>
            <m:r>
              <m:t xml:space="preserve">N</m:t>
            </m:r>
          </m:e>
          <m:sub>
            <m:r>
              <m:t xml:space="preserve">s</m:t>
            </m:r>
            <m:r>
              <m:t xml:space="preserve">l</m:t>
            </m:r>
            <m:r>
              <m:t xml:space="preserve">o</m:t>
            </m:r>
            <m:r>
              <m:t xml:space="preserve">t</m:t>
            </m:r>
          </m:sub>
        </m:sSub>
      </m:oMath>
      <w:r>
        <w:rPr>
          <w:rFonts w:ascii="Times New Roman" w:hAnsi="Times New Roman" w:eastAsia="Songti SC"/>
          <w:color w:val="000000"/>
        </w:rPr>
        <w:t>个补充槽位，全部标签一起保留，NONE由不选正关系表示。用于排序的对象分在裁剪前按固定评分器求出，评分成本计入总成本；超出评分资源的预检上限则返回明确失败，不靠测试金标截断候选。</w:t>
      </w:r>
    </w:p>
    <w:p>
      <w:r>
        <w:rPr>
          <w:rFonts w:ascii="Times New Roman" w:hAnsi="Times New Roman" w:eastAsia="Songti SC"/>
          <w:color w:val="000000"/>
        </w:rPr>
        <w:t>关系池包含当前没有边的槽位及两个方向，因此具备增边和反向的表达接口。初始对象保护、来源数量、去重合并、补充裁剪与未进入队列分别记录。候选池及其分数在一次搜索前冻结，状态变化只重新检查合法性与枚举固定对象，不增添池外跨度或金标。参考上限见附录A.4；候选存在、动作可枚举、动作进入队列和实际执行是四个不同事件。</w:t>
      </w:r>
    </w:p>
    <w:p>
      <w:pPr>
        <w:pStyle w:val="Heading2"/>
      </w:pPr>
      <w:r>
        <w:t>4.3 组件集合替换与受影响关系重建</w:t>
      </w:r>
      <w:bookmarkStart w:id="70" w:name="v5_70"/>
      <w:bookmarkEnd w:id="70"/>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1" w:name="v5_71"/>
      <w:bookmarkEnd w:id="71"/>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。本章的</w:t>
      </w:r>
      <m:oMath>
        <m:sSub>
          <m:e>
            <m:r>
              <m:t xml:space="preserve">D</m:t>
            </m:r>
          </m:e>
          <m:sub>
            <m:r>
              <m:t xml:space="preserve">0</m:t>
            </m:r>
          </m:sub>
        </m:sSub>
      </m:oMath>
      <w:r>
        <w:rPr>
          <w:rFonts w:ascii="Times New Roman" w:hAnsi="Times New Roman" w:eastAsia="Songti SC"/>
          <w:color w:val="000000"/>
        </w:rPr>
        <w:t>和</w:t>
      </w:r>
      <m:oMath>
        <m:r>
          <m:t xml:space="preserve">D</m:t>
        </m:r>
      </m:oMath>
      <w:r>
        <w:rPr>
          <w:rFonts w:ascii="Times New Roman" w:hAnsi="Times New Roman" w:eastAsia="Songti SC"/>
          <w:color w:val="000000"/>
        </w:rPr>
        <w:t>均为待删除组件的集合，输入文档始终记为</w:t>
      </w:r>
      <m:oMath>
        <m:r>
          <m:t xml:space="preserve">x</m:t>
        </m:r>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2" w:name="v5_72"/>
      <w:bookmarkEnd w:id="72"/>
    </w:p>
    <w:p>
      <w:r>
        <w:rPr>
          <w:rFonts w:ascii="Times New Roman" w:hAnsi="Times New Roman" w:eastAsia="Songti SC"/>
          <w:color w:val="000000"/>
        </w:rPr>
        <w:t>“依赖闭合”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令变化对象集合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包含删除的旧组件与加入的新组件，不同于第三章允许改写文字的组件集合。</w:t>
      </w:r>
      <m:oMath>
        <m:sSub>
          <m:e>
            <m:r>
              <m:t xml:space="preserve">P</m:t>
            </m:r>
          </m:e>
          <m:sub>
            <m:r>
              <m:t xml:space="preserve">A</m:t>
            </m:r>
          </m:sub>
        </m:sSub>
      </m:oMath>
      <w:r>
        <w:rPr>
          <w:rFonts w:ascii="Times New Roman" w:hAnsi="Times New Roman" w:eastAsia="Songti SC"/>
          <w:color w:val="000000"/>
        </w:rPr>
        <w:t xml:space="preserve"> 包含候选池 </w:t>
      </w:r>
      <m:oMath>
        <m:r>
          <m:t xml:space="preserve">P</m:t>
        </m:r>
      </m:oMath>
      <w:r>
        <w:rPr>
          <w:rFonts w:ascii="Times New Roman" w:hAnsi="Times New Roman" w:eastAsia="Songti SC"/>
          <w:color w:val="000000"/>
        </w:rPr>
        <w:t xml:space="preserve"> 中接触变化对象集合 </w:t>
      </w:r>
      <m:oMath>
        <m:r>
          <m:t xml:space="preserve">A</m:t>
        </m:r>
      </m:oMath>
      <w:r>
        <w:rPr>
          <w:rFonts w:ascii="Times New Roman" w:hAnsi="Times New Roman" w:eastAsia="Songti SC"/>
          <w:color w:val="000000"/>
        </w:rPr>
        <w:t xml:space="preserve"> 任一对象的全部关系，同时覆盖入边、出边、原有正关系和原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时，其全部合法标签候选一同进入；反向修改同时包含两个方向，避免仅在已有方向中重选标签。</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。事务外关系保持固定，但全局约束在整图上检查。本版固定采用最小合法化扩域：将组件变化后失效的已选事务外关系所在完整槽位加入</w:t>
      </w:r>
      <m:oMath>
        <m:sSub>
          <m:e>
            <m:r>
              <m:t xml:space="preserve">S</m:t>
            </m:r>
          </m:e>
          <m:sub>
            <m:r>
              <m:t xml:space="preserve">R</m:t>
            </m:r>
          </m:sub>
        </m:sSub>
      </m:oMath>
      <w:r>
        <w:rPr>
          <w:rFonts w:ascii="Times New Roman" w:hAnsi="Times New Roman" w:eastAsia="Songti SC"/>
          <w:color w:val="000000"/>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r>
        <w:rPr>
          <w:rFonts w:ascii="Times New Roman" w:hAnsi="Times New Roman" w:eastAsia="Songti SC"/>
          <w:color w:val="000000"/>
        </w:rPr>
        <w:t>CDCP的源连续性还依赖哪些中间组件被选中，因此需要区分“旧关系失效”和“未选槽位变得合法”。例如，当前组件按位置排列为</w:t>
      </w:r>
      <m:oMath>
        <m:r>
          <m:t xml:space="preserve">a</m:t>
        </m:r>
        <m:r>
          <m:t xml:space="preserve">,</m:t>
        </m:r>
        <m:r>
          <m:t xml:space="preserve">b</m:t>
        </m:r>
        <m:r>
          <m:t xml:space="preserve">,</m:t>
        </m:r>
        <m:r>
          <m:t xml:space="preserve">c</m:t>
        </m:r>
        <m:r>
          <m:t xml:space="preserve">,</m:t>
        </m:r>
        <m:r>
          <m:t xml:space="preserve">t</m:t>
        </m:r>
      </m:oMath>
      <w:r>
        <w:rPr>
          <w:rFonts w:ascii="Times New Roman" w:hAnsi="Times New Roman" w:eastAsia="Songti SC"/>
          <w:color w:val="000000"/>
        </w:rPr>
        <w:t>，固定候选池已包含</w:t>
      </w:r>
      <m:oMath>
        <m:r>
          <m:t xml:space="preserve">h</m:t>
        </m:r>
        <m:r>
          <m:t xml:space="preserve">=</m:t>
        </m:r>
        <m:r>
          <m:t xml:space="preserve">(</m:t>
        </m:r>
        <m:r>
          <m:rPr>
            <m:sty m:val="p"/>
          </m:rPr>
          <m:t xml:space="preserve">{</m:t>
        </m:r>
        <m:r>
          <m:t xml:space="preserve">a</m:t>
        </m:r>
        <m:r>
          <m:t xml:space="preserve">,</m:t>
        </m:r>
        <m:r>
          <m:t xml:space="preserve">c</m:t>
        </m:r>
        <m:r>
          <m:rPr>
            <m:sty m:val="p"/>
          </m:rPr>
          <m:t xml:space="preserve">}</m:t>
        </m:r>
        <m:r>
          <m:t xml:space="preserve">,</m:t>
        </m:r>
        <m:r>
          <m:t xml:space="preserve">t</m:t>
        </m:r>
        <m:r>
          <m:t xml:space="preserve">,</m:t>
        </m:r>
        <m:r>
          <m:rPr>
            <m:sty m:val="p"/>
          </m:rPr>
          <m:t xml:space="preserve">Reason</m:t>
        </m:r>
        <m:r>
          <m:t xml:space="preserve">)</m:t>
        </m:r>
      </m:oMath>
      <w:r>
        <w:rPr>
          <w:rFonts w:ascii="Times New Roman" w:hAnsi="Times New Roman" w:eastAsia="Songti SC"/>
          <w:color w:val="000000"/>
        </w:rPr>
        <w:t>。由于</w:t>
      </w:r>
      <m:oMath>
        <m:r>
          <m:t xml:space="preserve">b</m:t>
        </m:r>
      </m:oMath>
      <w:r>
        <w:rPr>
          <w:rFonts w:ascii="Times New Roman" w:hAnsi="Times New Roman" w:eastAsia="Songti SC"/>
          <w:color w:val="000000"/>
        </w:rPr>
        <w:t>位于两个源成员之间，</w:t>
      </w:r>
      <m:oMath>
        <m:r>
          <m:t xml:space="preserve">h</m:t>
        </m:r>
      </m:oMath>
      <w:r>
        <w:rPr>
          <w:rFonts w:ascii="Times New Roman" w:hAnsi="Times New Roman" w:eastAsia="Songti SC"/>
          <w:color w:val="000000"/>
        </w:rPr>
        <w:t>当前非法且未被选中。若删除</w:t>
      </w:r>
      <m:oMath>
        <m:r>
          <m:t xml:space="preserve">b</m:t>
        </m:r>
      </m:oMath>
      <w:r>
        <w:rPr>
          <w:rFonts w:ascii="Times New Roman" w:hAnsi="Times New Roman" w:eastAsia="Songti SC"/>
          <w:color w:val="000000"/>
        </w:rPr>
        <w:t>的事务获准提交，</w:t>
      </w:r>
      <m:oMath>
        <m:r>
          <m:t xml:space="preserve">h</m:t>
        </m:r>
      </m:oMath>
      <w:r>
        <w:rPr>
          <w:rFonts w:ascii="Times New Roman" w:hAnsi="Times New Roman" w:eastAsia="Songti SC"/>
          <w:color w:val="000000"/>
        </w:rPr>
        <w:t>便满足源连续性，但其端点</w:t>
      </w:r>
      <m:oMath>
        <m:r>
          <m:t xml:space="preserve">a</m:t>
        </m:r>
        <m:r>
          <m:t xml:space="preserve">,</m:t>
        </m:r>
        <m:r>
          <m:t xml:space="preserve">c</m:t>
        </m:r>
        <m:r>
          <m:t xml:space="preserve">,</m:t>
        </m:r>
        <m:r>
          <m:t xml:space="preserve">t</m:t>
        </m:r>
      </m:oMath>
      <w:r>
        <w:rPr>
          <w:rFonts w:ascii="Times New Roman" w:hAnsi="Times New Roman" w:eastAsia="Songti SC"/>
          <w:color w:val="000000"/>
        </w:rPr>
        <w:t>均未变化，故</w:t>
      </w:r>
      <m:oMath>
        <m:r>
          <m:t xml:space="preserve">h</m:t>
        </m:r>
      </m:oMath>
      <w:r>
        <w:rPr>
          <w:rFonts w:ascii="Times New Roman" w:hAnsi="Times New Roman" w:eastAsia="Songti SC"/>
          <w:color w:val="000000"/>
        </w:rPr>
        <w:t>不属于该事务的</w:t>
      </w:r>
      <m:oMath>
        <m:sSub>
          <m:e>
            <m:r>
              <m:t xml:space="preserve">P</m:t>
            </m:r>
          </m:e>
          <m:sub>
            <m:r>
              <m:t xml:space="preserve">A</m:t>
            </m:r>
          </m:sub>
        </m:sSub>
      </m:oMath>
      <w:r>
        <w:rPr>
          <w:rFonts w:ascii="Times New Roman" w:hAnsi="Times New Roman" w:eastAsia="Songti SC"/>
          <w:color w:val="000000"/>
        </w:rPr>
        <w:t>；若该事务的</w:t>
      </w:r>
      <m:oMath>
        <m:sSub>
          <m:e>
            <m:r>
              <m:t xml:space="preserve">S</m:t>
            </m:r>
          </m:e>
          <m:sub>
            <m:r>
              <m:t xml:space="preserve">R</m:t>
            </m:r>
          </m:sub>
        </m:sSub>
      </m:oMath>
      <w:r>
        <w:rPr>
          <w:rFonts w:ascii="Times New Roman" w:hAnsi="Times New Roman" w:eastAsia="Songti SC"/>
          <w:color w:val="000000"/>
        </w:rPr>
        <w:t>也未包含它，</w:t>
      </w:r>
      <m:oMath>
        <m:r>
          <m:t xml:space="preserve">h</m:t>
        </m:r>
      </m:oMath>
      <w:r>
        <w:rPr>
          <w:rFonts w:ascii="Times New Roman" w:hAnsi="Times New Roman" w:eastAsia="Songti SC"/>
          <w:color w:val="000000"/>
        </w:rPr>
        <w:t>仍保持未选状态。为保留整图合法性而扩域，并不自动触发对这类新合法槽位的枚举。</w:t>
      </w:r>
    </w:p>
    <w:p>
      <w:r>
        <w:rPr>
          <w:rFonts w:ascii="Times New Roman" w:hAnsi="Times New Roman" w:eastAsia="Songti SC"/>
          <w:color w:val="000000"/>
        </w:rPr>
        <w:t>在上述新状态中，若保持</w:t>
      </w:r>
      <m:oMath>
        <m:r>
          <m:t xml:space="preserve">h</m:t>
        </m:r>
      </m:oMath>
      <w:r>
        <w:rPr>
          <w:rFonts w:ascii="Times New Roman" w:hAnsi="Times New Roman" w:eastAsia="Songti SC"/>
          <w:color w:val="000000"/>
        </w:rPr>
        <w:t>的端点不变，后续提议仍需将</w:t>
      </w:r>
      <m:oMath>
        <m:r>
          <m:t xml:space="preserve">h</m:t>
        </m:r>
      </m:oMath>
      <w:r>
        <w:rPr>
          <w:rFonts w:ascii="Times New Roman" w:hAnsi="Times New Roman" w:eastAsia="Songti SC"/>
          <w:color w:val="000000"/>
        </w:rPr>
        <w:t>所在槽位纳入</w:t>
      </w:r>
      <m:oMath>
        <m:sSub>
          <m:e>
            <m:r>
              <m:t xml:space="preserve">S</m:t>
            </m:r>
          </m:e>
          <m:sub>
            <m:r>
              <m:t xml:space="preserve">R</m:t>
            </m:r>
          </m:sub>
        </m:sSub>
      </m:oMath>
      <w:r>
        <w:rPr>
          <w:rFonts w:ascii="Times New Roman" w:hAnsi="Times New Roman" w:eastAsia="Songti SC"/>
          <w:color w:val="000000"/>
        </w:rPr>
        <w:t>，实际进入并执行于队列，且通过合法性、效用门与剩余预算检查，才可能恢复</w:t>
      </w:r>
      <m:oMath>
        <m:r>
          <m:t xml:space="preserve">h</m:t>
        </m:r>
      </m:oMath>
      <w:r>
        <w:rPr>
          <w:rFonts w:ascii="Times New Roman" w:hAnsi="Times New Roman" w:eastAsia="Songti SC"/>
          <w:color w:val="000000"/>
        </w:rPr>
        <w:t>。若删除</w:t>
      </w:r>
      <m:oMath>
        <m:r>
          <m:t xml:space="preserve">b</m:t>
        </m:r>
      </m:oMath>
      <w:r>
        <w:rPr>
          <w:rFonts w:ascii="Times New Roman" w:hAnsi="Times New Roman" w:eastAsia="Songti SC"/>
          <w:color w:val="000000"/>
        </w:rPr>
        <w:t>未被接受、候选池不含</w:t>
      </w:r>
      <m:oMath>
        <m:r>
          <m:t xml:space="preserve">h</m:t>
        </m:r>
      </m:oMath>
      <w:r>
        <w:rPr>
          <w:rFonts w:ascii="Times New Roman" w:hAnsi="Times New Roman" w:eastAsia="Songti SC"/>
          <w:color w:val="000000"/>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3" w:name="v5_73"/>
      <w:bookmarkEnd w:id="73"/>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4" w:name="v5_74"/>
      <w:bookmarkEnd w:id="74"/>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4.4.2 训练外候选与概率校准</w:t>
      </w:r>
      <w:bookmarkStart w:id="75" w:name="v5_75"/>
      <w:bookmarkEnd w:id="75"/>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模型只在规定训练数据上重训，测试集不参与上述过程。</w:t>
      </w:r>
    </w:p>
    <w:p>
      <w:r>
        <w:rPr>
          <w:rFonts w:ascii="Times New Roman" w:hAnsi="Times New Roman" w:eastAsia="Songti SC"/>
          <w:color w:val="000000"/>
        </w:rPr>
        <w:t>初始配置采用训练内三折OOF，折划分与开发集用途按2.6节记录。OOF生成器的训练规模小于最终生成器，候选分布可能发生变化，因此校准部分还需检查最终生成器产生的候选。候选级校准并不直接保证被搜索选中的动作可靠；4.6.4和4.6.5节进一步区分有益、中性和有害修改，检验选择后偏差与多轮误改。</w:t>
      </w:r>
    </w:p>
    <w:p>
      <w:pPr>
        <w:pStyle w:val="Heading3"/>
      </w:pPr>
      <w:r>
        <w:t>4.4.3 固定计数效用</w:t>
      </w:r>
      <w:bookmarkStart w:id="76" w:name="v5_76"/>
      <w:bookmarkEnd w:id="76"/>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7" w:name="v5_77"/>
      <w:bookmarkEnd w:id="77"/>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3"/>
      </w:pPr>
      <w:r>
        <w:t>4.4.5 联合修正的教学算例</w:t>
      </w:r>
      <w:bookmarkStart w:id="78" w:name="v5_78"/>
      <w:bookmarkEnd w:id="78"/>
    </w:p>
    <w:p>
      <w:r>
        <w:rPr>
          <w:rFonts w:ascii="Times New Roman" w:hAnsi="Times New Roman" w:eastAsia="Songti SC"/>
          <w:color w:val="000000"/>
        </w:rPr>
        <w:t>以下用人工设定的二元图与分数说明一次完整决策，不对应AAEC或CDCP的观测样本，也不用于评价方法效果。设当前预测图含三个组件：</w:t>
      </w:r>
      <m:oMath>
        <m:sSub>
          <m:e>
            <m:r>
              <m:t xml:space="preserve">c</m:t>
            </m:r>
          </m:e>
          <m:sub>
            <m:r>
              <m:t xml:space="preserve">1</m:t>
            </m:r>
          </m:sub>
        </m:sSub>
      </m:oMath>
      <w:r>
        <w:rPr>
          <w:rFonts w:ascii="Times New Roman" w:hAnsi="Times New Roman" w:eastAsia="Songti SC"/>
          <w:color w:val="000000"/>
        </w:rPr>
        <w:t>为Claim，</w:t>
      </w:r>
      <m:oMath>
        <m:sSubSup>
          <m:e>
            <m:r>
              <m:t xml:space="preserve">c</m:t>
            </m:r>
          </m:e>
          <m:sub>
            <m:r>
              <m:t xml:space="preserve">2</m:t>
            </m:r>
          </m:sub>
          <m:sup>
            <m:r>
              <m:t xml:space="preserve">o</m:t>
            </m:r>
          </m:sup>
        </m:sSubSup>
      </m:oMath>
      <w:r>
        <w:rPr>
          <w:rFonts w:ascii="Times New Roman" w:hAnsi="Times New Roman" w:eastAsia="Songti SC"/>
          <w:color w:val="000000"/>
        </w:rPr>
        <w:t>和</w:t>
      </w:r>
      <m:oMath>
        <m:sSub>
          <m:e>
            <m:r>
              <m:t xml:space="preserve">c</m:t>
            </m:r>
          </m:e>
          <m:sub>
            <m:r>
              <m:t xml:space="preserve">3</m:t>
            </m:r>
          </m:sub>
        </m:sSub>
      </m:oMath>
      <w:r>
        <w:rPr>
          <w:rFonts w:ascii="Times New Roman" w:hAnsi="Times New Roman" w:eastAsia="Songti SC"/>
          <w:color w:val="000000"/>
        </w:rPr>
        <w:t>为Premise。当前图选中两条Support关系，分别为</w:t>
      </w:r>
      <m:oMath>
        <m:sSubSup>
          <m:e>
            <m:r>
              <m:t xml:space="preserve">r</m:t>
            </m:r>
          </m:e>
          <m:sub>
            <m:r>
              <m:t xml:space="preserve">1</m:t>
            </m:r>
          </m:sub>
          <m:sup>
            <m:r>
              <m:t xml:space="preserve">o</m:t>
            </m:r>
          </m:sup>
        </m:sSubSup>
        <m:r>
          <m:t xml:space="preserve">=</m:t>
        </m:r>
        <m:r>
          <m:t xml:space="preserve">(</m:t>
        </m:r>
        <m:sSubSup>
          <m:e>
            <m:r>
              <m:t xml:space="preserve">c</m:t>
            </m:r>
          </m:e>
          <m:sub>
            <m:r>
              <m:t xml:space="preserve">2</m:t>
            </m:r>
          </m:sub>
          <m:sup>
            <m:r>
              <m:t xml:space="preserve">o</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o</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o</m:t>
            </m:r>
          </m:sup>
        </m:sSubSup>
        <m:r>
          <m:t xml:space="preserve">,</m:t>
        </m:r>
        <m:r>
          <m:rPr>
            <m:sty m:val="p"/>
          </m:rPr>
          <m:t xml:space="preserve">Support</m:t>
        </m:r>
        <m:r>
          <m:t xml:space="preserve">)</m:t>
        </m:r>
      </m:oMath>
      <w:r>
        <w:rPr>
          <w:rFonts w:ascii="Times New Roman" w:hAnsi="Times New Roman" w:eastAsia="Songti SC"/>
          <w:color w:val="000000"/>
        </w:rPr>
        <w:t>。候选池另含</w:t>
      </w:r>
      <m:oMath>
        <m:sSubSup>
          <m:e>
            <m:r>
              <m:t xml:space="preserve">c</m:t>
            </m:r>
          </m:e>
          <m:sub>
            <m:r>
              <m:t xml:space="preserve">2</m:t>
            </m:r>
          </m:sub>
          <m:sup>
            <m:r>
              <m:t xml:space="preserve">a</m:t>
            </m:r>
          </m:sup>
        </m:sSubSup>
      </m:oMath>
      <w:r>
        <w:rPr>
          <w:rFonts w:ascii="Times New Roman" w:hAnsi="Times New Roman" w:eastAsia="Songti SC"/>
          <w:color w:val="000000"/>
        </w:rPr>
        <w:t>与</w:t>
      </w:r>
      <m:oMath>
        <m:sSubSup>
          <m:e>
            <m:r>
              <m:t xml:space="preserve">c</m:t>
            </m:r>
          </m:e>
          <m:sub>
            <m:r>
              <m:t xml:space="preserve">2</m:t>
            </m:r>
          </m:sub>
          <m:sup>
            <m:r>
              <m:t xml:space="preserve">b</m:t>
            </m:r>
          </m:sup>
        </m:sSubSup>
      </m:oMath>
      <w:r>
        <w:rPr>
          <w:rFonts w:ascii="Times New Roman" w:hAnsi="Times New Roman" w:eastAsia="Songti SC"/>
          <w:color w:val="000000"/>
        </w:rPr>
        <w:t>，二者均为</w:t>
      </w:r>
      <m:oMath>
        <m:sSubSup>
          <m:e>
            <m:r>
              <m:t xml:space="preserve">c</m:t>
            </m:r>
          </m:e>
          <m:sub>
            <m:r>
              <m:t xml:space="preserve">2</m:t>
            </m:r>
          </m:sub>
          <m:sup>
            <m:r>
              <m:t xml:space="preserve">o</m:t>
            </m:r>
          </m:sup>
        </m:sSubSup>
      </m:oMath>
      <w:r>
        <w:rPr>
          <w:rFonts w:ascii="Times New Roman" w:hAnsi="Times New Roman" w:eastAsia="Songti SC"/>
          <w:color w:val="000000"/>
        </w:rPr>
        <w:t>的不同边界版本，与</w:t>
      </w:r>
      <m:oMath>
        <m:sSubSup>
          <m:e>
            <m:r>
              <m:t xml:space="preserve">c</m:t>
            </m:r>
          </m:e>
          <m:sub>
            <m:r>
              <m:t xml:space="preserve">2</m:t>
            </m:r>
          </m:sub>
          <m:sup>
            <m:r>
              <m:t xml:space="preserve">o</m:t>
            </m:r>
          </m:sup>
        </m:sSubSup>
      </m:oMath>
      <w:r>
        <w:rPr>
          <w:rFonts w:ascii="Times New Roman" w:hAnsi="Times New Roman" w:eastAsia="Songti SC"/>
          <w:color w:val="000000"/>
        </w:rPr>
        <w:t>相冲突，但不与</w:t>
      </w:r>
      <m:oMath>
        <m:sSub>
          <m:e>
            <m:r>
              <m:t xml:space="preserve">c</m:t>
            </m:r>
          </m:e>
          <m:sub>
            <m:r>
              <m:t xml:space="preserve">1</m:t>
            </m:r>
          </m:sub>
        </m:sSub>
        <m:r>
          <m:t xml:space="preserve">,</m:t>
        </m:r>
        <m:sSub>
          <m:e>
            <m:r>
              <m:t xml:space="preserve">c</m:t>
            </m:r>
          </m:e>
          <m:sub>
            <m:r>
              <m:t xml:space="preserve">3</m:t>
            </m:r>
          </m:sub>
        </m:sSub>
      </m:oMath>
      <w:r>
        <w:rPr>
          <w:rFonts w:ascii="Times New Roman" w:hAnsi="Times New Roman" w:eastAsia="Songti SC"/>
          <w:color w:val="000000"/>
        </w:rPr>
        <w:t>重叠。三个版本两两不能同时选中；当前图没有其他关系接触</w:t>
      </w:r>
      <m:oMath>
        <m:sSubSup>
          <m:e>
            <m:r>
              <m:t xml:space="preserve">c</m:t>
            </m:r>
          </m:e>
          <m:sub>
            <m:r>
              <m:t xml:space="preserve">2</m:t>
            </m:r>
          </m:sub>
          <m:sup>
            <m:r>
              <m:t xml:space="preserve">o</m:t>
            </m:r>
          </m:sup>
        </m:sSubSup>
      </m:oMath>
      <w:r>
        <w:rPr>
          <w:rFonts w:ascii="Times New Roman" w:hAnsi="Times New Roman" w:eastAsia="Songti SC"/>
          <w:color w:val="000000"/>
        </w:rPr>
        <w:t>。</w:t>
      </w:r>
    </w:p>
    <w:p>
      <w:r>
        <w:rPr>
          <w:rFonts w:ascii="Times New Roman" w:hAnsi="Times New Roman" w:eastAsia="Songti SC"/>
          <w:color w:val="000000"/>
        </w:rPr>
        <w:t>（1）固定评分与预算。设</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κ</m:t>
            </m:r>
          </m:e>
          <m:sub>
            <m:r>
              <m:t xml:space="preserve">R</m:t>
            </m:r>
          </m:sub>
        </m:sSub>
        <m:r>
          <m:t xml:space="preserve">=</m:t>
        </m:r>
        <m:r>
          <m:t xml:space="preserve">0</m:t>
        </m:r>
        <m:r>
          <m:t xml:space="preserve">.</m:t>
        </m:r>
        <m:r>
          <m:t xml:space="preserve">2</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w:t>
      </w:r>
      <m:oMath>
        <m:r>
          <m:t xml:space="preserve">δ</m:t>
        </m:r>
        <m:r>
          <m:t xml:space="preserve">=</m:t>
        </m:r>
        <m:r>
          <m:t xml:space="preserve">0</m:t>
        </m:r>
        <m:r>
          <m:t xml:space="preserve">.</m:t>
        </m:r>
        <m:r>
          <m:t xml:space="preserve">0</m:t>
        </m:r>
        <m:r>
          <m:t xml:space="preserve">2</m:t>
        </m:r>
      </m:oMath>
      <w:r>
        <w:rPr>
          <w:rFonts w:ascii="Times New Roman" w:hAnsi="Times New Roman" w:eastAsia="Songti SC"/>
          <w:color w:val="000000"/>
        </w:rPr>
        <w:t>，剩余组件和关系编辑预算分别至少为2和4。三个边界版本的组件分数为</w:t>
      </w:r>
      <m:oMath>
        <m:sSub>
          <m:e>
            <m:r>
              <m:t xml:space="preserve">q</m:t>
            </m:r>
          </m:e>
          <m:sub>
            <m:r>
              <m:t xml:space="preserve">C</m:t>
            </m:r>
          </m:sub>
        </m:sSub>
        <m:r>
          <m:t xml:space="preserve">(</m:t>
        </m:r>
        <m:sSubSup>
          <m:e>
            <m:r>
              <m:t xml:space="preserve">c</m:t>
            </m:r>
          </m:e>
          <m:sub>
            <m:r>
              <m:t xml:space="preserve">2</m:t>
            </m:r>
          </m:sub>
          <m:sup>
            <m:r>
              <m:t xml:space="preserve">o</m:t>
            </m:r>
          </m:sup>
        </m:sSubSup>
        <m:r>
          <m:t xml:space="preserve">)</m:t>
        </m:r>
        <m:r>
          <m:t xml:space="preserve">=</m:t>
        </m:r>
        <m:r>
          <m:t xml:space="preserve">0</m:t>
        </m:r>
        <m:r>
          <m:t xml:space="preserve">.</m:t>
        </m:r>
        <m:r>
          <m:t xml:space="preserve">2</m:t>
        </m:r>
        <m:r>
          <m:t xml:space="preserve">0</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a</m:t>
            </m:r>
          </m:sup>
        </m:sSubSup>
        <m:r>
          <m:t xml:space="preserve">)</m:t>
        </m:r>
        <m:r>
          <m:t xml:space="preserve">=</m:t>
        </m:r>
        <m:r>
          <m:t xml:space="preserve">0</m:t>
        </m:r>
        <m:r>
          <m:t xml:space="preserve">.</m:t>
        </m:r>
        <m:r>
          <m:t xml:space="preserve">4</m:t>
        </m:r>
        <m:r>
          <m:t xml:space="preserve">5</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b</m:t>
            </m:r>
          </m:sup>
        </m:sSubSup>
        <m:r>
          <m:t xml:space="preserve">)</m:t>
        </m:r>
        <m:r>
          <m:t xml:space="preserve">=</m:t>
        </m:r>
        <m:r>
          <m:t xml:space="preserve">0</m:t>
        </m:r>
        <m:r>
          <m:t xml:space="preserve">.</m:t>
        </m:r>
        <m:r>
          <m:t xml:space="preserve">3</m:t>
        </m:r>
        <m:r>
          <m:t xml:space="preserve">5</m:t>
        </m:r>
      </m:oMath>
      <w:r>
        <w:rPr>
          <w:rFonts w:ascii="Times New Roman" w:hAnsi="Times New Roman" w:eastAsia="Songti SC"/>
          <w:color w:val="000000"/>
        </w:rPr>
        <w:t>；旧关系分数为</w:t>
      </w:r>
      <m:oMath>
        <m:sSub>
          <m:e>
            <m:r>
              <m:t xml:space="preserve">q</m:t>
            </m:r>
          </m:e>
          <m:sub>
            <m:r>
              <m:t xml:space="preserve">R</m:t>
            </m:r>
          </m:sub>
        </m:sSub>
        <m:r>
          <m:t xml:space="preserve">(</m:t>
        </m:r>
        <m:sSubSup>
          <m:e>
            <m:r>
              <m:t xml:space="preserve">r</m:t>
            </m:r>
          </m:e>
          <m:sub>
            <m:r>
              <m:t xml:space="preserve">1</m:t>
            </m:r>
          </m:sub>
          <m:sup>
            <m:r>
              <m:t xml:space="preserve">o</m:t>
            </m:r>
          </m:sup>
        </m:sSubSup>
        <m:r>
          <m:t xml:space="preserve">)</m:t>
        </m:r>
        <m:r>
          <m:t xml:space="preserve">=</m:t>
        </m:r>
        <m:r>
          <m:t xml:space="preserve">0</m:t>
        </m:r>
        <m:r>
          <m:t xml:space="preserve">.</m:t>
        </m:r>
        <m:r>
          <m:t xml:space="preserve">1</m:t>
        </m:r>
        <m:r>
          <m:t xml:space="preserve">8</m:t>
        </m:r>
      </m:oMath>
      <w:r>
        <w:rPr>
          <w:rFonts w:ascii="Times New Roman" w:hAnsi="Times New Roman" w:eastAsia="Songti SC"/>
          <w:color w:val="000000"/>
        </w:rPr>
        <w:t>、</w:t>
      </w:r>
      <m:oMath>
        <m:sSub>
          <m:e>
            <m:r>
              <m:t xml:space="preserve">q</m:t>
            </m:r>
          </m:e>
          <m:sub>
            <m:r>
              <m:t xml:space="preserve">R</m:t>
            </m:r>
          </m:sub>
        </m:sSub>
        <m:r>
          <m:t xml:space="preserve">(</m:t>
        </m:r>
        <m:sSubSup>
          <m:e>
            <m:r>
              <m:t xml:space="preserve">r</m:t>
            </m:r>
          </m:e>
          <m:sub>
            <m:r>
              <m:t xml:space="preserve">2</m:t>
            </m:r>
          </m:sub>
          <m:sup>
            <m:r>
              <m:t xml:space="preserve">o</m:t>
            </m:r>
          </m:sup>
        </m:sSubSup>
        <m:r>
          <m:t xml:space="preserve">)</m:t>
        </m:r>
        <m:r>
          <m:t xml:space="preserve">=</m:t>
        </m:r>
        <m:r>
          <m:t xml:space="preserve">0</m:t>
        </m:r>
        <m:r>
          <m:t xml:space="preserve">.</m:t>
        </m:r>
        <m:r>
          <m:t xml:space="preserve">1</m:t>
        </m:r>
        <m:r>
          <m:t xml:space="preserve">6</m:t>
        </m:r>
      </m:oMath>
      <w:r>
        <w:rPr>
          <w:rFonts w:ascii="Times New Roman" w:hAnsi="Times New Roman" w:eastAsia="Songti SC"/>
          <w:color w:val="000000"/>
        </w:rPr>
        <w:t>。因此，旧组件的效用贡献为</w:t>
      </w:r>
      <m:oMath>
        <m:r>
          <m:t xml:space="preserve">2</m:t>
        </m:r>
        <m:r>
          <m:t xml:space="preserve">×</m:t>
        </m:r>
        <m:r>
          <m:t xml:space="preserve">0</m:t>
        </m:r>
        <m:r>
          <m:t xml:space="preserve">.</m:t>
        </m:r>
        <m:r>
          <m:t xml:space="preserve">2</m:t>
        </m:r>
        <m:r>
          <m:t xml:space="preserve">0</m:t>
        </m:r>
        <m:r>
          <m:t xml:space="preserve">-</m:t>
        </m:r>
        <m:r>
          <m:t xml:space="preserve">0</m:t>
        </m:r>
        <m:r>
          <m:t xml:space="preserve">.</m:t>
        </m:r>
        <m:r>
          <m:t xml:space="preserve">4</m:t>
        </m:r>
        <m:r>
          <m:t xml:space="preserve">=</m:t>
        </m:r>
        <m:r>
          <m:t xml:space="preserve">0</m:t>
        </m:r>
      </m:oMath>
      <w:r>
        <w:rPr>
          <w:rFonts w:ascii="Times New Roman" w:hAnsi="Times New Roman" w:eastAsia="Songti SC"/>
          <w:color w:val="000000"/>
        </w:rPr>
        <w:t>，两条旧关系的合计贡献为</w:t>
      </w:r>
      <m:oMath>
        <m:r>
          <m:t xml:space="preserve">(</m:t>
        </m:r>
        <m:r>
          <m:t xml:space="preserve">2</m:t>
        </m:r>
        <m:r>
          <m:t xml:space="preserve">×</m:t>
        </m:r>
        <m:r>
          <m:t xml:space="preserve">0</m:t>
        </m:r>
        <m:r>
          <m:t xml:space="preserve">.</m:t>
        </m:r>
        <m:r>
          <m:t xml:space="preserve">1</m:t>
        </m:r>
        <m:r>
          <m:t xml:space="preserve">8</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1</m:t>
        </m:r>
        <m:r>
          <m:t xml:space="preserve">6</m:t>
        </m:r>
        <m:r>
          <m:t xml:space="preserve">-</m:t>
        </m:r>
        <m:r>
          <m:t xml:space="preserve">0</m:t>
        </m:r>
        <m:r>
          <m:t xml:space="preserve">.</m:t>
        </m:r>
        <m:r>
          <m:t xml:space="preserve">2</m:t>
        </m:r>
        <m:r>
          <m:t xml:space="preserve">)</m:t>
        </m:r>
        <m:r>
          <m:t xml:space="preserve">=</m:t>
        </m:r>
        <m:r>
          <m:t xml:space="preserve">0</m:t>
        </m:r>
        <m:r>
          <m:t xml:space="preserve">.</m:t>
        </m:r>
        <m:r>
          <m:t xml:space="preserve">2</m:t>
        </m:r>
        <m:r>
          <m:t xml:space="preserve">8</m:t>
        </m:r>
      </m:oMath>
      <w:r>
        <w:rPr>
          <w:rFonts w:ascii="Times New Roman" w:hAnsi="Times New Roman" w:eastAsia="Songti SC"/>
          <w:color w:val="000000"/>
        </w:rPr>
        <w:t>。未变化的组件和关系在求差时相消。</w:t>
      </w:r>
    </w:p>
    <w:p>
      <w:r>
        <w:rPr>
          <w:rFonts w:ascii="Times New Roman" w:hAnsi="Times New Roman" w:eastAsia="Songti SC"/>
          <w:color w:val="000000"/>
        </w:rPr>
        <w:t>（2）构造替换与闭合域。先考虑</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a</m:t>
            </m:r>
          </m:sup>
        </m:sSubSup>
        <m:r>
          <m:rPr>
            <m:sty m:val="p"/>
          </m:rPr>
          <m:t xml:space="preserve">}</m:t>
        </m:r>
      </m:oMath>
      <w:r>
        <w:rPr>
          <w:rFonts w:ascii="Times New Roman" w:hAnsi="Times New Roman" w:eastAsia="Songti SC"/>
          <w:color w:val="000000"/>
        </w:rPr>
        <w:t>，则</w:t>
      </w:r>
      <m:oMath>
        <m:r>
          <m:t xml:space="preserve">C</m:t>
        </m:r>
        <m:r>
          <m:t xml:space="preserve">′</m:t>
        </m:r>
        <m:r>
          <m:t xml:space="preserve">=</m:t>
        </m:r>
        <m:r>
          <m:rPr>
            <m:sty m:val="p"/>
          </m:rPr>
          <m:t xml:space="preserve">{</m:t>
        </m:r>
        <m:sSub>
          <m:e>
            <m:r>
              <m:t xml:space="preserve">c</m:t>
            </m:r>
          </m:e>
          <m:sub>
            <m:r>
              <m:t xml:space="preserve">1</m:t>
            </m:r>
          </m:sub>
        </m:sSub>
        <m:r>
          <m:t xml:space="preserve">,</m:t>
        </m:r>
        <m:sSubSup>
          <m:e>
            <m:r>
              <m:t xml:space="preserve">c</m:t>
            </m:r>
          </m:e>
          <m:sub>
            <m:r>
              <m:t xml:space="preserve">2</m:t>
            </m:r>
          </m:sub>
          <m:sup>
            <m:r>
              <m:t xml:space="preserve">a</m:t>
            </m:r>
          </m:sup>
        </m:sSubSup>
        <m:r>
          <m:t xml:space="preserve">,</m:t>
        </m:r>
        <m:sSub>
          <m:e>
            <m:r>
              <m:t xml:space="preserve">c</m:t>
            </m:r>
          </m:e>
          <m:sub>
            <m:r>
              <m:t xml:space="preserve">3</m:t>
            </m:r>
          </m:sub>
        </m:sSub>
        <m:r>
          <m:rPr>
            <m:sty m:val="p"/>
          </m:rPr>
          <m:t xml:space="preserve">}</m:t>
        </m:r>
      </m:oMath>
      <w:r>
        <w:rPr>
          <w:rFonts w:ascii="Times New Roman" w:hAnsi="Times New Roman" w:eastAsia="Songti SC"/>
          <w:color w:val="000000"/>
        </w:rPr>
        <w:t>，</w:t>
      </w:r>
      <m:oMath>
        <m:sSub>
          <m:e>
            <m:r>
              <m:t xml:space="preserve">d</m:t>
            </m:r>
          </m:e>
          <m:sub>
            <m:r>
              <m:t xml:space="preserve">C</m:t>
            </m:r>
          </m:sub>
        </m:sSub>
        <m:r>
          <m:t xml:space="preserve">=</m:t>
        </m:r>
        <m:r>
          <m:t xml:space="preserve">2</m:t>
        </m:r>
        <m:r>
          <m:t xml:space="preserve">≤</m:t>
        </m:r>
        <m:r>
          <m:t xml:space="preserve">3</m:t>
        </m:r>
      </m:oMath>
      <w:r>
        <w:rPr>
          <w:rFonts w:ascii="Times New Roman" w:hAnsi="Times New Roman" w:eastAsia="Songti SC"/>
          <w:color w:val="000000"/>
        </w:rPr>
        <w:t>。删除</w:t>
      </w:r>
      <m:oMath>
        <m:sSubSup>
          <m:e>
            <m:r>
              <m:t xml:space="preserve">c</m:t>
            </m:r>
          </m:e>
          <m:sub>
            <m:r>
              <m:t xml:space="preserve">2</m:t>
            </m:r>
          </m:sub>
          <m:sup>
            <m:r>
              <m:t xml:space="preserve">o</m:t>
            </m:r>
          </m:sup>
        </m:sSubSup>
      </m:oMath>
      <w:r>
        <w:rPr>
          <w:rFonts w:ascii="Times New Roman" w:hAnsi="Times New Roman" w:eastAsia="Songti SC"/>
          <w:color w:val="000000"/>
        </w:rPr>
        <w:t>后，</w:t>
      </w:r>
      <m:oMath>
        <m:sSubSup>
          <m:e>
            <m:r>
              <m:t xml:space="preserve">r</m:t>
            </m:r>
          </m:e>
          <m:sub>
            <m:r>
              <m:t xml:space="preserve">1</m:t>
            </m:r>
          </m:sub>
          <m:sup>
            <m:r>
              <m:t xml:space="preserve">o</m:t>
            </m:r>
          </m:sup>
        </m:sSubSup>
      </m:oMath>
      <w:r>
        <w:rPr>
          <w:rFonts w:ascii="Times New Roman" w:hAnsi="Times New Roman" w:eastAsia="Songti SC"/>
          <w:color w:val="000000"/>
        </w:rPr>
        <w:t>和</w:t>
      </w:r>
      <m:oMath>
        <m:sSubSup>
          <m:e>
            <m:r>
              <m:t xml:space="preserve">r</m:t>
            </m:r>
          </m:e>
          <m:sub>
            <m:r>
              <m:t xml:space="preserve">2</m:t>
            </m:r>
          </m:sub>
          <m:sup>
            <m:r>
              <m:t xml:space="preserve">o</m:t>
            </m:r>
          </m:sup>
        </m:sSubSup>
      </m:oMath>
      <w:r>
        <w:rPr>
          <w:rFonts w:ascii="Times New Roman" w:hAnsi="Times New Roman" w:eastAsia="Songti SC"/>
          <w:color w:val="000000"/>
        </w:rPr>
        <w:t>均失效，即使新的显示编号仍为“组件2”，也不能继承任何一条旧边。闭合域纳入这两条旧关系，以及新端点参与的全部候选槽位和合法标签，包括原来为NONE的组合；事务外对象保持不变。</w:t>
      </w:r>
    </w:p>
    <w:p>
      <w:r>
        <w:rPr>
          <w:rFonts w:ascii="Times New Roman" w:hAnsi="Times New Roman" w:eastAsia="Songti SC"/>
          <w:color w:val="000000"/>
        </w:rPr>
        <w:t>（3）补全并接受候选a。设</w:t>
      </w:r>
      <m:oMath>
        <m:sSubSup>
          <m:e>
            <m:r>
              <m:t xml:space="preserve">r</m:t>
            </m:r>
          </m:e>
          <m:sub>
            <m:r>
              <m:t xml:space="preserve">1</m:t>
            </m:r>
          </m:sub>
          <m:sup>
            <m:r>
              <m:t xml:space="preserve">a</m:t>
            </m:r>
          </m:sup>
        </m:sSubSup>
        <m:r>
          <m:t xml:space="preserve">=</m:t>
        </m:r>
        <m:r>
          <m:t xml:space="preserve">(</m:t>
        </m:r>
        <m:sSubSup>
          <m:e>
            <m:r>
              <m:t xml:space="preserve">c</m:t>
            </m:r>
          </m:e>
          <m:sub>
            <m:r>
              <m:t xml:space="preserve">2</m:t>
            </m:r>
          </m:sub>
          <m:sup>
            <m:r>
              <m:t xml:space="preserve">a</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a</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a</m:t>
            </m:r>
          </m:sup>
        </m:sSubSup>
        <m:r>
          <m:t xml:space="preserve">,</m:t>
        </m:r>
        <m:r>
          <m:rPr>
            <m:sty m:val="p"/>
          </m:rPr>
          <m:t xml:space="preserve">Support</m:t>
        </m:r>
        <m:r>
          <m:t xml:space="preserve">)</m:t>
        </m:r>
      </m:oMath>
      <w:r>
        <w:rPr>
          <w:rFonts w:ascii="Times New Roman" w:hAnsi="Times New Roman" w:eastAsia="Songti SC"/>
          <w:color w:val="000000"/>
        </w:rPr>
        <w:t>的固定分数分别为0.40和0.35，其余新端点候选的分数均小于0.10。后者效用为负，取NONE优于加入这些关系。在本例无环且每个源至多一条出边的约束下，选择</w:t>
      </w:r>
      <m:oMath>
        <m:sSubSup>
          <m:e>
            <m:r>
              <m:t xml:space="preserve">r</m:t>
            </m:r>
          </m:e>
          <m:sub>
            <m:r>
              <m:t xml:space="preserve">1</m:t>
            </m:r>
          </m:sub>
          <m:sup>
            <m:r>
              <m:t xml:space="preserve">a</m:t>
            </m:r>
          </m:sup>
        </m:sSubSup>
        <m:r>
          <m:t xml:space="preserve">,</m:t>
        </m:r>
        <m:sSubSup>
          <m:e>
            <m:r>
              <m:t xml:space="preserve">r</m:t>
            </m:r>
          </m:e>
          <m:sub>
            <m:r>
              <m:t xml:space="preserve">2</m:t>
            </m:r>
          </m:sub>
          <m:sup>
            <m:r>
              <m:t xml:space="preserve">a</m:t>
            </m:r>
          </m:sup>
        </m:sSubSup>
      </m:oMath>
      <w:r>
        <w:rPr>
          <w:rFonts w:ascii="Times New Roman" w:hAnsi="Times New Roman" w:eastAsia="Songti SC"/>
          <w:color w:val="000000"/>
        </w:rPr>
        <w:t>合法，其关系贡献为</w:t>
      </w:r>
      <m:oMath>
        <m:r>
          <m:t xml:space="preserve">(</m:t>
        </m:r>
        <m:r>
          <m:t xml:space="preserve">2</m:t>
        </m:r>
        <m:r>
          <m:t xml:space="preserve">×</m:t>
        </m:r>
        <m:r>
          <m:t xml:space="preserve">0</m:t>
        </m:r>
        <m:r>
          <m:t xml:space="preserve">.</m:t>
        </m:r>
        <m:r>
          <m:t xml:space="preserve">4</m:t>
        </m:r>
        <m:r>
          <m:t xml:space="preserve">0</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3</m:t>
        </m:r>
        <m:r>
          <m:t xml:space="preserve">5</m:t>
        </m:r>
        <m:r>
          <m:t xml:space="preserve">-</m:t>
        </m:r>
        <m:r>
          <m:t xml:space="preserve">0</m:t>
        </m:r>
        <m:r>
          <m:t xml:space="preserve">.</m:t>
        </m:r>
        <m:r>
          <m:t xml:space="preserve">2</m:t>
        </m:r>
        <m:r>
          <m:t xml:space="preserve">)</m:t>
        </m:r>
        <m:r>
          <m:t xml:space="preserve">=</m:t>
        </m:r>
        <m:r>
          <m:t xml:space="preserve">1</m:t>
        </m:r>
        <m:r>
          <m:t xml:space="preserve">.</m:t>
        </m:r>
        <m:r>
          <m:t xml:space="preserve">1</m:t>
        </m:r>
        <m:r>
          <m:t xml:space="preserve">0</m:t>
        </m:r>
      </m:oMath>
      <w:r>
        <w:rPr>
          <w:rFonts w:ascii="Times New Roman" w:hAnsi="Times New Roman" w:eastAsia="Songti SC"/>
          <w:color w:val="000000"/>
        </w:rPr>
        <w:t>。由此得到</w:t>
      </w:r>
      <m:oMath>
        <m:r>
          <m:t xml:space="preserve">Δ</m:t>
        </m:r>
        <m:sSub>
          <m:e>
            <m:r>
              <m:t xml:space="preserve">Φ</m:t>
            </m:r>
          </m:e>
          <m:sub>
            <m:r>
              <m:t xml:space="preserve">C</m:t>
            </m:r>
          </m:sub>
        </m:sSub>
        <m:r>
          <m:t xml:space="preserve">=</m:t>
        </m:r>
        <m:r>
          <m:t xml:space="preserve">0</m:t>
        </m:r>
        <m:r>
          <m:t xml:space="preserve">.</m:t>
        </m:r>
        <m:r>
          <m:t xml:space="preserve">5</m:t>
        </m:r>
        <m:r>
          <m:t xml:space="preserve">0</m:t>
        </m:r>
      </m:oMath>
      <w:r>
        <w:rPr>
          <w:rFonts w:ascii="Times New Roman" w:hAnsi="Times New Roman" w:eastAsia="Songti SC"/>
          <w:color w:val="000000"/>
        </w:rPr>
        <w:t>、</w:t>
      </w:r>
      <m:oMath>
        <m:r>
          <m:t xml:space="preserve">Δ</m:t>
        </m:r>
        <m:sSub>
          <m:e>
            <m:r>
              <m:t xml:space="preserve">Φ</m:t>
            </m:r>
          </m:e>
          <m:sub>
            <m:r>
              <m:t xml:space="preserve">R</m:t>
            </m:r>
          </m:sub>
        </m:sSub>
        <m:r>
          <m:t xml:space="preserve">=</m:t>
        </m:r>
        <m:r>
          <m:t xml:space="preserve">1</m:t>
        </m:r>
        <m:r>
          <m:t xml:space="preserve">.</m:t>
        </m:r>
        <m:r>
          <m:t xml:space="preserve">1</m:t>
        </m:r>
        <m:r>
          <m:t xml:space="preserve">0</m:t>
        </m:r>
        <m:r>
          <m:t xml:space="preserve">-</m:t>
        </m:r>
        <m:r>
          <m:t xml:space="preserve">0</m:t>
        </m:r>
        <m:r>
          <m:t xml:space="preserve">.</m:t>
        </m:r>
        <m:r>
          <m:t xml:space="preserve">2</m:t>
        </m:r>
        <m:r>
          <m:t xml:space="preserve">8</m:t>
        </m:r>
        <m:r>
          <m:t xml:space="preserve">=</m:t>
        </m:r>
        <m:r>
          <m:t xml:space="preserve">0</m:t>
        </m:r>
        <m:r>
          <m:t xml:space="preserve">.</m:t>
        </m:r>
        <m:r>
          <m:t xml:space="preserve">8</m:t>
        </m:r>
        <m:r>
          <m:t xml:space="preserve">2</m:t>
        </m:r>
      </m:oMath>
      <w:r>
        <w:rPr>
          <w:rFonts w:ascii="Times New Roman" w:hAnsi="Times New Roman" w:eastAsia="Songti SC"/>
          <w:color w:val="000000"/>
        </w:rPr>
        <w:t>，总增益为1.32，大于0.02。删除两条旧边并加入两条新边使</w:t>
      </w:r>
      <m:oMath>
        <m:sSub>
          <m:e>
            <m:r>
              <m:t xml:space="preserve">d</m:t>
            </m:r>
          </m:e>
          <m:sub>
            <m:r>
              <m:t xml:space="preserve">R</m:t>
            </m:r>
          </m:sub>
        </m:sSub>
        <m:r>
          <m:t xml:space="preserve">=</m:t>
        </m:r>
        <m:r>
          <m:t xml:space="preserve">4</m:t>
        </m:r>
      </m:oMath>
      <w:r>
        <w:rPr>
          <w:rFonts w:ascii="Times New Roman" w:hAnsi="Times New Roman" w:eastAsia="Songti SC"/>
          <w:color w:val="000000"/>
        </w:rPr>
        <w:t>。全部门限与预算通过后，才原子提交新组件及两条新关系。</w:t>
      </w:r>
    </w:p>
    <w:p>
      <w:r>
        <w:rPr>
          <w:rFonts w:ascii="Times New Roman" w:hAnsi="Times New Roman" w:eastAsia="Songti SC"/>
          <w:color w:val="000000"/>
        </w:rPr>
        <w:t>（4）从同一旧图检查候选b。令</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b</m:t>
            </m:r>
          </m:sup>
        </m:sSubSup>
        <m:r>
          <m:rPr>
            <m:sty m:val="p"/>
          </m:rPr>
          <m:t xml:space="preserve">}</m:t>
        </m:r>
      </m:oMath>
      <w:r>
        <w:rPr>
          <w:rFonts w:ascii="Times New Roman" w:hAnsi="Times New Roman" w:eastAsia="Songti SC"/>
          <w:color w:val="000000"/>
        </w:rPr>
        <w:t>，组件效用增加0.30。对应的两条Support候选分数改为0.11和0.05，其余新端点候选仍小于0.10。暂不施加关系非下降门时，最高分补全只保留分数0.11的那条边，另一槽位取NONE，关系贡献仅为</w:t>
      </w:r>
      <m:oMath>
        <m:r>
          <m:t xml:space="preserve">2</m:t>
        </m:r>
        <m:r>
          <m:t xml:space="preserve">×</m:t>
        </m:r>
        <m:r>
          <m:t xml:space="preserve">0</m:t>
        </m:r>
        <m:r>
          <m:t xml:space="preserve">.</m:t>
        </m:r>
        <m:r>
          <m:t xml:space="preserve">1</m:t>
        </m:r>
        <m:r>
          <m:t xml:space="preserve">1</m:t>
        </m:r>
        <m:r>
          <m:t xml:space="preserve">-</m:t>
        </m:r>
        <m:r>
          <m:t xml:space="preserve">0</m:t>
        </m:r>
        <m:r>
          <m:t xml:space="preserve">.</m:t>
        </m:r>
        <m:r>
          <m:t xml:space="preserve">2</m:t>
        </m:r>
        <m:r>
          <m:t xml:space="preserve">=</m:t>
        </m:r>
        <m:r>
          <m:t xml:space="preserve">0</m:t>
        </m:r>
        <m:r>
          <m:t xml:space="preserve">.</m:t>
        </m:r>
        <m:r>
          <m:t xml:space="preserve">0</m:t>
        </m:r>
        <m:r>
          <m:t xml:space="preserve">2</m:t>
        </m:r>
      </m:oMath>
      <w:r>
        <w:rPr>
          <w:rFonts w:ascii="Times New Roman" w:hAnsi="Times New Roman" w:eastAsia="Songti SC"/>
          <w:color w:val="000000"/>
        </w:rPr>
        <w:t>。即使采用这一补全上界，仍有</w:t>
      </w:r>
      <m:oMath>
        <m:r>
          <m:t xml:space="preserve">Δ</m:t>
        </m:r>
        <m:sSub>
          <m:e>
            <m:r>
              <m:t xml:space="preserve">Φ</m:t>
            </m:r>
          </m:e>
          <m:sub>
            <m:r>
              <m:t xml:space="preserve">R</m:t>
            </m:r>
          </m:sub>
        </m:sSub>
        <m:r>
          <m:t xml:space="preserve">=</m:t>
        </m:r>
        <m:r>
          <m:t xml:space="preserve">0</m:t>
        </m:r>
        <m:r>
          <m:t xml:space="preserve">.</m:t>
        </m:r>
        <m:r>
          <m:t xml:space="preserve">0</m:t>
        </m:r>
        <m:r>
          <m:t xml:space="preserve">2</m:t>
        </m:r>
        <m:r>
          <m:t xml:space="preserve">-</m:t>
        </m:r>
        <m:r>
          <m:t xml:space="preserve">0</m:t>
        </m:r>
        <m:r>
          <m:t xml:space="preserve">.</m:t>
        </m:r>
        <m:r>
          <m:t xml:space="preserve">2</m:t>
        </m:r>
        <m:r>
          <m:t xml:space="preserve">8</m:t>
        </m:r>
        <m:r>
          <m:t xml:space="preserve">=</m:t>
        </m:r>
        <m:r>
          <m:t xml:space="preserve">-</m:t>
        </m:r>
        <m:r>
          <m:t xml:space="preserve">0</m:t>
        </m:r>
        <m:r>
          <m:t xml:space="preserve">.</m:t>
        </m:r>
        <m:r>
          <m:t xml:space="preserve">2</m:t>
        </m:r>
        <m:r>
          <m:t xml:space="preserve">6</m:t>
        </m:r>
      </m:oMath>
      <w:r>
        <w:rPr>
          <w:rFonts w:ascii="Times New Roman" w:hAnsi="Times New Roman" w:eastAsia="Songti SC"/>
          <w:color w:val="000000"/>
        </w:rPr>
        <w:t>。该状态的</w:t>
      </w:r>
      <m:oMath>
        <m:sSub>
          <m:e>
            <m:r>
              <m:t xml:space="preserve">d</m:t>
            </m:r>
          </m:e>
          <m:sub>
            <m:r>
              <m:t xml:space="preserve">C</m:t>
            </m:r>
          </m:sub>
        </m:sSub>
        <m:r>
          <m:t xml:space="preserve">=</m:t>
        </m:r>
        <m:r>
          <m:t xml:space="preserve">2</m:t>
        </m:r>
      </m:oMath>
      <w:r>
        <w:rPr>
          <w:rFonts w:ascii="Times New Roman" w:hAnsi="Times New Roman" w:eastAsia="Songti SC"/>
          <w:color w:val="000000"/>
        </w:rPr>
        <w:t>、</w:t>
      </w:r>
      <m:oMath>
        <m:sSub>
          <m:e>
            <m:r>
              <m:t xml:space="preserve">d</m:t>
            </m:r>
          </m:e>
          <m:sub>
            <m:r>
              <m:t xml:space="preserve">R</m:t>
            </m:r>
          </m:sub>
        </m:sSub>
        <m:r>
          <m:t xml:space="preserve">=</m:t>
        </m:r>
        <m:r>
          <m:t xml:space="preserve">3</m:t>
        </m:r>
      </m:oMath>
      <w:r>
        <w:rPr>
          <w:rFonts w:ascii="Times New Roman" w:hAnsi="Times New Roman" w:eastAsia="Songti SC"/>
          <w:color w:val="000000"/>
        </w:rPr>
        <w:t>，总增益0.04也超过0.02，但关系分项下降。故实际包含分项门的ILP没有合格补全，整个提议被拒绝；当前图仍保留旧组件和两条旧边，不留下半完成状态。这里的无门限计算只用于解释不可接受的原因，不是算法先提交再回滚的执行顺序。</w:t>
      </w:r>
    </w:p>
    <w:p>
      <w:r>
        <w:rPr>
          <w:rFonts w:ascii="Times New Roman" w:hAnsi="Times New Roman" w:eastAsia="Songti SC"/>
          <w:color w:val="000000"/>
        </w:rPr>
        <w:t>两次比较使用同一旧图、候选池、评分和预算，候选b不是在接受a之后继续评分。该算例展示了组件获益、失效关系及新关系重建如何共同决定提交；4.5.4节的集合可达性反例则回答另一个问题，即成组替换何时能够越过单对象动作的限制。</w:t>
      </w:r>
    </w:p>
    <w:p>
      <w:pPr>
        <w:pStyle w:val="Heading2"/>
      </w:pPr>
      <w:r>
        <w:t>4.5 求解算法及性质</w:t>
      </w:r>
      <w:bookmarkStart w:id="79" w:name="v5_79"/>
      <w:bookmarkEnd w:id="79"/>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80" w:name="v5_80"/>
      <w:bookmarkEnd w:id="80"/>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w:t>
      </w:r>
    </w:p>
    <w:p>
      <w:pPr>
        <w:pStyle w:val="Heading3"/>
      </w:pPr>
      <w:r>
        <w:t>4.5.2 有界执行、原子提交与回退</w:t>
      </w:r>
      <w:bookmarkStart w:id="81" w:name="v5_81"/>
      <w:bookmarkEnd w:id="81"/>
    </w:p>
    <w:p>
      <w:r>
        <w:rPr>
          <w:rFonts w:ascii="Times New Roman" w:hAnsi="Times New Roman" w:eastAsia="Songti SC"/>
          <w:color w:val="000000"/>
        </w:rPr>
        <w:t>提议分为纯关系、插入、删除、替换、拆分和合并六类。纯关系枚举当前端点存在且合法的全部槽位，包含未选槽位；反向时两个方向共同进入</w:t>
      </w:r>
      <m:oMath>
        <m:sSub>
          <m:e>
            <m:r>
              <m:t xml:space="preserve">S</m:t>
            </m:r>
          </m:e>
          <m:sub>
            <m:r>
              <m:t xml:space="preserve">R</m:t>
            </m:r>
          </m:sub>
        </m:sSub>
      </m:oMath>
      <w:r>
        <w:rPr>
          <w:rFonts w:ascii="Times New Roman" w:hAnsi="Times New Roman" w:eastAsia="Songti SC"/>
          <w:color w:val="000000"/>
        </w:rPr>
        <w:t>。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再按实际</w:t>
      </w:r>
      <m:oMath>
        <m:r>
          <m:t xml:space="preserve">(</m:t>
        </m:r>
        <m:r>
          <m:t xml:space="preserve">|</m:t>
        </m:r>
        <m:r>
          <m:t xml:space="preserve">D</m:t>
        </m:r>
        <m:r>
          <m:t xml:space="preserve">|</m:t>
        </m:r>
        <m:r>
          <m:t xml:space="preserve">,</m:t>
        </m:r>
        <m:r>
          <m:t xml:space="preserve">|</m:t>
        </m:r>
        <m:r>
          <m:t xml:space="preserve">B</m:t>
        </m:r>
        <m:r>
          <m:t xml:space="preserve">|</m:t>
        </m:r>
        <m:r>
          <m:t xml:space="preserve">)</m:t>
        </m:r>
      </m:oMath>
      <w:r>
        <w:rPr>
          <w:rFonts w:ascii="Times New Roman" w:hAnsi="Times New Roman" w:eastAsia="Songti SC"/>
          <w:color w:val="000000"/>
        </w:rPr>
        <w:t>分类与检查三对象上限；不符合五种声明形态的提议不进入主邻域。</w:t>
      </w:r>
    </w:p>
    <w:p>
      <w:r>
        <w:rPr>
          <w:rFonts w:ascii="Times New Roman" w:hAnsi="Times New Roman" w:eastAsia="Songti SC"/>
          <w:color w:val="000000"/>
        </w:rPr>
        <w:t>每类内部按固定组件效用差降序、对象编辑数升序和规范化提议键升序排序；纯关系类第一项改用该槽位在忽略整图耦合约束时的关系效用增量。此量只用于排序，不作为接受判断。六类按上述顺序轮转，每次从非空类取一个，参考批长为6。提议键由状态哈希、排序后的</w:t>
      </w:r>
      <m:oMath>
        <m:r>
          <m:t xml:space="preserve">D</m:t>
        </m:r>
        <m:r>
          <m:t xml:space="preserve">,</m:t>
        </m:r>
        <m:r>
          <m:t xml:space="preserve">B</m:t>
        </m:r>
      </m:oMath>
      <w:r>
        <w:rPr>
          <w:rFonts w:ascii="Times New Roman" w:hAnsi="Times New Roman" w:eastAsia="Songti SC"/>
          <w:color w:val="000000"/>
        </w:rPr>
        <w:t>和完整槽位集合组成，重复提议只评估一次；拒绝缓存也包含状态身份。组件改变后可在新状态重新枚举旧状态非法的槽位，但不能扩张冻结候选宇宙。</w:t>
      </w:r>
    </w:p>
    <w:p>
      <w:r>
        <w:rPr>
          <w:rFonts w:ascii="Times New Roman" w:hAnsi="Times New Roman" w:eastAsia="Songti SC"/>
          <w:color w:val="000000"/>
        </w:rPr>
        <w:t>每轮最多尝试32项、接受3次，最多4轮；全程最多128次提议、12次接受、组件累计编辑24和关系累计编辑96。批长独立于每轮额度。同一状态的批次游标持续向后推进：本批无合格项时保留no-op，继续未检查批次，直到本轮额度耗尽或声明队列检查完毕；提交后按新状态重建队列。若当前状态的声明队列已检查完毕且无合格项则停止，不能称所有可能修改均已检查。具体秒数、调用和token限制须由运行清单冻结，未绑定的模型运行不启动。</w:t>
      </w:r>
    </w:p>
    <w:p>
      <w:pPr>
        <w:pStyle w:val="AlgorithmCaption"/>
      </w:pPr>
      <w:r>
        <w:rPr>
          <w:rFonts w:ascii="Times New Roman" w:hAnsi="Times New Roman" w:eastAsia="Songti SC"/>
          <w:color w:val="000000"/>
          <w:sz w:val="21"/>
        </w:rPr>
        <w:t>算法4-1 多候选驱动的依赖闭合修正</w:t>
      </w:r>
      <w:bookmarkStart w:id="158" w:name="v5_158"/>
      <w:bookmarkEnd w:id="158"/>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输入：原文、生成候选、冻结配置和有限资源清单。</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输出：最后完整合法图或明确初始化失败，以及轨迹。</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初始化预算；执行MCR选择及共用合法化，计入全部成本</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初始化失败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明确失败状态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冻结候选、对象分与效用系数；G ← G0</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b/>
          <w:color w:val="000000"/>
          <w:sz w:val="21"/>
        </w:rPr>
        <w:t>for</w:t>
      </w:r>
      <w:r>
        <w:rPr>
          <w:rFonts w:ascii="Times New Roman" w:hAnsi="Times New Roman" w:eastAsia="Songti SC"/>
          <w:color w:val="000000"/>
          <w:sz w:val="21"/>
        </w:rPr>
        <w:t xml:space="preserve"> 每一轮，在轮数及全程预算内 </w:t>
      </w:r>
      <w:r>
        <w:rPr>
          <w:rFonts w:ascii="Times New Roman" w:hAnsi="Times New Roman" w:eastAsia="Songti SC"/>
          <w:b/>
          <w:color w:val="000000"/>
          <w:sz w:val="21"/>
        </w:rPr>
        <w:t>do</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color w:val="000000"/>
          <w:sz w:val="21"/>
        </w:rPr>
        <w:t>重置本轮尝试、接受计数；建立当前状态队列及游标</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08</w:t>
        <w:tab/>
      </w:r>
      <w:r>
        <w:rPr>
          <w:rFonts w:ascii="Times New Roman" w:hAnsi="Times New Roman" w:eastAsia="Songti SC"/>
          <w:b/>
          <w:color w:val="000000"/>
          <w:sz w:val="21"/>
        </w:rPr>
        <w:t>while</w:t>
      </w:r>
      <w:r>
        <w:rPr>
          <w:rFonts w:ascii="Times New Roman" w:hAnsi="Times New Roman" w:eastAsia="Songti SC"/>
          <w:color w:val="000000"/>
          <w:sz w:val="21"/>
        </w:rPr>
        <w:t xml:space="preserve"> 本轮及全程额度允许 </w:t>
      </w:r>
      <w:r>
        <w:rPr>
          <w:rFonts w:ascii="Times New Roman" w:hAnsi="Times New Roman" w:eastAsia="Songti SC"/>
          <w:b/>
          <w:color w:val="000000"/>
          <w:sz w:val="21"/>
        </w:rPr>
        <w:t>do</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取下一批Q；Gnoop ← G；合格集合H ← ∅</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for</w:t>
      </w:r>
      <w:r>
        <w:rPr>
          <w:rFonts w:ascii="Times New Roman" w:hAnsi="Times New Roman" w:eastAsia="Songti SC"/>
          <w:color w:val="000000"/>
          <w:sz w:val="21"/>
        </w:rPr>
        <w:t xml:space="preserve"> Q中每个未评估提议，在实际额度内 </w:t>
      </w:r>
      <w:r>
        <w:rPr>
          <w:rFonts w:ascii="Times New Roman" w:hAnsi="Times New Roman" w:eastAsia="Songti SC"/>
          <w:b/>
          <w:color w:val="000000"/>
          <w:sz w:val="21"/>
        </w:rPr>
        <w:t>do</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调用算法4-2；登记尝试、失败及实际资源开销</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color w:val="000000"/>
          <w:sz w:val="21"/>
        </w:rPr>
        <w:t>将通过复核的完整状态加入H</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for</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b/>
          <w:color w:val="000000"/>
          <w:sz w:val="21"/>
        </w:rPr>
        <w:t>if</w:t>
      </w:r>
      <w:r>
        <w:rPr>
          <w:rFonts w:ascii="Times New Roman" w:hAnsi="Times New Roman" w:eastAsia="Songti SC"/>
          <w:color w:val="000000"/>
          <w:sz w:val="21"/>
        </w:rPr>
        <w:t xml:space="preserve"> H非空 </w:t>
      </w:r>
      <w:r>
        <w:rPr>
          <w:rFonts w:ascii="Times New Roman" w:hAnsi="Times New Roman" w:eastAsia="Songti SC"/>
          <w:b/>
          <w:color w:val="000000"/>
          <w:sz w:val="21"/>
        </w:rPr>
        <w:t>then</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15</w:t>
        <w:tab/>
      </w:r>
      <w:r>
        <w:rPr>
          <w:rFonts w:ascii="Times New Roman" w:hAnsi="Times New Roman" w:eastAsia="Songti SC"/>
          <w:color w:val="000000"/>
          <w:sz w:val="21"/>
        </w:rPr>
        <w:t>按总效用、较少编辑、语义键择优；额度不足则保留原图并停止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原子提交；失败则完整恢复Gnoop并停止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17</w:t>
        <w:tab/>
      </w:r>
      <w:r>
        <w:rPr>
          <w:rFonts w:ascii="Times New Roman" w:hAnsi="Times New Roman" w:eastAsia="Songti SC"/>
          <w:color w:val="000000"/>
          <w:sz w:val="21"/>
        </w:rPr>
        <w:t>更新累计编辑与接受数；按新状态重建队列</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18</w:t>
        <w:tab/>
      </w:r>
      <w:r>
        <w:rPr>
          <w:rFonts w:ascii="Times New Roman" w:hAnsi="Times New Roman" w:eastAsia="Songti SC"/>
          <w:b/>
          <w:color w:val="000000"/>
          <w:sz w:val="21"/>
        </w:rPr>
        <w:t>else</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保留Gnoop；已遍历声明队列则停止，否则继续下一批</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20</w:t>
        <w:tab/>
      </w:r>
      <w:r>
        <w:rPr>
          <w:rFonts w:ascii="Times New Roman" w:hAnsi="Times New Roman" w:eastAsia="Songti SC"/>
          <w:b/>
          <w:color w:val="000000"/>
          <w:sz w:val="21"/>
        </w:rPr>
        <w:t>end if</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21</w:t>
        <w:tab/>
      </w:r>
      <w:r>
        <w:rPr>
          <w:rFonts w:ascii="Times New Roman" w:hAnsi="Times New Roman" w:eastAsia="Songti SC"/>
          <w:b/>
          <w:color w:val="000000"/>
          <w:sz w:val="21"/>
        </w:rPr>
        <w:t>end while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22</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23</w:t>
        <w:tab/>
      </w:r>
      <w:r>
        <w:rPr>
          <w:rFonts w:ascii="Times New Roman" w:hAnsi="Times New Roman" w:eastAsia="Songti SC"/>
          <w:b/>
          <w:color w:val="000000"/>
          <w:sz w:val="21"/>
        </w:rPr>
        <w:t>return</w:t>
      </w:r>
      <w:r>
        <w:rPr>
          <w:rFonts w:ascii="Times New Roman" w:hAnsi="Times New Roman" w:eastAsia="Songti SC"/>
          <w:color w:val="000000"/>
          <w:sz w:val="21"/>
        </w:rPr>
        <w:t xml:space="preserve"> G及实际停止原因；中断只返回最后完整合法状态</w:t>
      </w:r>
    </w:p>
    <w:p>
      <w:pPr>
        <w:pStyle w:val="AlgorithmCaption"/>
      </w:pPr>
      <w:r>
        <w:rPr>
          <w:rFonts w:ascii="Times New Roman" w:hAnsi="Times New Roman" w:eastAsia="Songti SC"/>
          <w:color w:val="000000"/>
          <w:sz w:val="21"/>
        </w:rPr>
        <w:t>算法4-2 单提议的闭合评估</w:t>
      </w:r>
      <w:bookmarkStart w:id="159" w:name="v5_159"/>
      <w:bookmarkEnd w:id="159"/>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输入：当前合法图G、提议、冻结候选分和剩余预算。</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输出：经复核的完整候选状态，或拒绝状态。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复制G；抵消相同对象；完成冲突闭合</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内部冲突、动作形态或组件成本不合规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拒绝，原图不变</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构造端点依赖域；最小扩域处理失效的已选外部槽位</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color w:val="000000"/>
          <w:sz w:val="21"/>
        </w:rPr>
        <w:t>固定域外关系，将整图约束、效用门及剩余编辑预算加入ILP</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07</w:t>
        <w:tab/>
      </w:r>
      <w:r>
        <w:rPr>
          <w:rFonts w:ascii="Times New Roman" w:hAnsi="Times New Roman" w:eastAsia="Songti SC"/>
          <w:color w:val="000000"/>
          <w:sz w:val="21"/>
        </w:rPr>
        <w:t>求解并登记状态；超时有incumbent时保留非最优身份</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08</w:t>
        <w:tab/>
      </w:r>
      <w:r>
        <w:rPr>
          <w:rFonts w:ascii="Times New Roman" w:hAnsi="Times New Roman" w:eastAsia="Songti SC"/>
          <w:b/>
          <w:color w:val="000000"/>
          <w:sz w:val="21"/>
        </w:rPr>
        <w:t>if</w:t>
      </w:r>
      <w:r>
        <w:rPr>
          <w:rFonts w:ascii="Times New Roman" w:hAnsi="Times New Roman" w:eastAsia="Songti SC"/>
          <w:color w:val="000000"/>
          <w:sz w:val="21"/>
        </w:rPr>
        <w:t xml:space="preserve"> 无可行解或评分失败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09</w:t>
        <w:tab/>
      </w:r>
      <w:r>
        <w:rPr>
          <w:rFonts w:ascii="Times New Roman" w:hAnsi="Times New Roman" w:eastAsia="Songti SC"/>
          <w:b/>
          <w:color w:val="000000"/>
          <w:sz w:val="21"/>
        </w:rPr>
        <w:t>return</w:t>
      </w:r>
      <w:r>
        <w:rPr>
          <w:rFonts w:ascii="Times New Roman" w:hAnsi="Times New Roman" w:eastAsia="Songti SC"/>
          <w:color w:val="000000"/>
          <w:sz w:val="21"/>
        </w:rPr>
        <w:t xml:space="preserve"> 区分原因的拒绝状态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10</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11</w:t>
        <w:tab/>
      </w:r>
      <w:r>
        <w:rPr>
          <w:rFonts w:ascii="Times New Roman" w:hAnsi="Times New Roman" w:eastAsia="Songti SC"/>
          <w:color w:val="000000"/>
          <w:sz w:val="21"/>
        </w:rPr>
        <w:t>复核整图合法、完整删增成本、两个分项门及严格总增益</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12</w:t>
        <w:tab/>
      </w:r>
      <w:r>
        <w:rPr>
          <w:rFonts w:ascii="Times New Roman" w:hAnsi="Times New Roman" w:eastAsia="Songti SC"/>
          <w:b/>
          <w:color w:val="000000"/>
          <w:sz w:val="21"/>
        </w:rPr>
        <w:t>return</w:t>
      </w:r>
      <w:r>
        <w:rPr>
          <w:rFonts w:ascii="Times New Roman" w:hAnsi="Times New Roman" w:eastAsia="Songti SC"/>
          <w:color w:val="000000"/>
          <w:sz w:val="21"/>
        </w:rPr>
        <w:t xml:space="preserve"> 复核通过的完整状态；否则丢弃副本并返回拒绝</w:t>
      </w:r>
    </w:p>
    <w:p>
      <w:pPr>
        <w:keepNext/>
        <w:spacing w:line="240" w:lineRule="auto" w:before="80" w:after="60"/>
        <w:ind w:firstLine="0"/>
        <w:jc w:val="center"/>
      </w:pPr>
      <w:r>
        <w:drawing>
          <wp:inline xmlns:a="http://schemas.openxmlformats.org/drawingml/2006/main" xmlns:pic="http://schemas.openxmlformats.org/drawingml/2006/picture">
            <wp:extent cx="5652770" cy="4851326"/>
            <wp:docPr id="7" name="bounded_execution.png" descr="候选生成至有界事务接受的执行流程。机制示意，非实测案例。"/>
            <wp:cNvGraphicFramePr>
              <a:graphicFrameLocks noChangeAspect="1"/>
            </wp:cNvGraphicFramePr>
            <a:graphic>
              <a:graphicData uri="http://schemas.openxmlformats.org/drawingml/2006/picture">
                <pic:pic>
                  <pic:nvPicPr>
                    <pic:cNvPr id="0" name="bounded_execution.png"/>
                    <pic:cNvPicPr/>
                  </pic:nvPicPr>
                  <pic:blipFill>
                    <a:blip r:embed="rId94"/>
                    <a:stretch>
                      <a:fillRect/>
                    </a:stretch>
                  </pic:blipFill>
                  <pic:spPr>
                    <a:xfrm>
                      <a:off x="0" y="0"/>
                      <a:ext cx="5652770" cy="4851326"/>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60" w:name="v5_160"/>
      <w:bookmarkEnd w:id="160"/>
    </w:p>
    <w:p>
      <w:r>
        <w:rPr>
          <w:rFonts w:ascii="Times New Roman" w:hAnsi="Times New Roman" w:eastAsia="Songti SC"/>
          <w:color w:val="000000"/>
        </w:rPr>
        <w:t>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pPr>
      <w:r>
        <w:t>4.5.3 固定评分下的精确差值</w:t>
      </w:r>
      <w:bookmarkStart w:id="82" w:name="v5_82"/>
      <w:bookmarkEnd w:id="82"/>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pStyle w:val="Heading3"/>
      </w:pPr>
      <w:r>
        <w:t>4.5.4 集合事务的可达性</w:t>
      </w:r>
      <w:bookmarkStart w:id="83" w:name="v5_83"/>
      <w:bookmarkEnd w:id="83"/>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 xml:space="preserve">构造两个互不重叠的旧组件 </w:t>
      </w:r>
      <m:oMath>
        <m:r>
          <m:t xml:space="preserve">a</m:t>
        </m:r>
        <m:r>
          <m:t xml:space="preserve">,</m:t>
        </m:r>
        <m:r>
          <m:t xml:space="preserve">b</m:t>
        </m:r>
      </m:oMath>
      <w:r>
        <w:rPr>
          <w:rFonts w:ascii="Times New Roman" w:hAnsi="Times New Roman" w:eastAsia="Songti SC"/>
          <w:color w:val="000000"/>
        </w:rPr>
        <w:t xml:space="preserve">，新跨度 </w:t>
      </w:r>
      <m:oMath>
        <m:r>
          <m:t xml:space="preserve">c</m:t>
        </m:r>
      </m:oMath>
      <w:r>
        <w:rPr>
          <w:rFonts w:ascii="Times New Roman" w:hAnsi="Times New Roman" w:eastAsia="Songti SC"/>
          <w:color w:val="000000"/>
        </w:rPr>
        <w:t xml:space="preserve"> 同时覆盖二者。取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rPr>
        <w:t xml:space="preserve"> 的效用为 </w:t>
      </w:r>
      <m:oMath>
        <m:r>
          <m:t xml:space="preserve">0</m:t>
        </m:r>
        <m:r>
          <m:t xml:space="preserve">.</m:t>
        </m:r>
        <m:r>
          <m:t xml:space="preserve">4</m:t>
        </m:r>
      </m:oMath>
      <w:r>
        <w:rPr>
          <w:rFonts w:ascii="Times New Roman" w:hAnsi="Times New Roman" w:eastAsia="Songti SC"/>
          <w:color w:val="000000"/>
        </w:rPr>
        <w:t xml:space="preserve">：单独删除任一组件降分，直接插入 </w:t>
      </w:r>
      <m:oMath>
        <m:r>
          <m:t xml:space="preserve">c</m:t>
        </m:r>
      </m:oMath>
      <w:r>
        <w:rPr>
          <w:rFonts w:ascii="Times New Roman" w:hAnsi="Times New Roman" w:eastAsia="Songti SC"/>
          <w:color w:val="000000"/>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rPr>
        <w:t xml:space="preserve"> 则合法且增分 </w:t>
      </w:r>
      <m:oMath>
        <m:r>
          <m:t xml:space="preserve">0</m:t>
        </m:r>
        <m:r>
          <m:t xml:space="preserve">.</m:t>
        </m:r>
        <m:r>
          <m:t xml:space="preserve">4</m:t>
        </m:r>
      </m:oMath>
      <w:r>
        <w:rPr>
          <w:rFonts w:ascii="Times New Roman" w:hAnsi="Times New Roman" w:eastAsia="Songti SC"/>
          <w:color w:val="000000"/>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rPr>
        <w:t xml:space="preserve"> 并保持关系不变，即满足全部效用门。若一对一提议通过冲突闭合同时删除两个旧组件，它事实上已扩展为上述集合事务，不再属于受限的单对象动作。</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4" w:name="v5_84"/>
      <w:bookmarkEnd w:id="84"/>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5" w:name="v5_85"/>
      <w:bookmarkEnd w:id="85"/>
    </w:p>
    <w:p>
      <w:r>
        <w:rPr>
          <w:rFonts w:ascii="Times New Roman" w:hAnsi="Times New Roman" w:eastAsia="Songti SC"/>
          <w:color w:val="000000"/>
        </w:rPr>
        <w:t>本章区分语料效果比较和构造机制验证。前者固定T1检查点，以I0为初始选择，尚缺完整运行；后者使用人工对象、固定分值及有限枚举，报告已经执行的决策差异与可达性边界。构造输入不来自AAEC或CDCP，其结果不得充当这两个数据集的性能或效率成绩。</w:t>
      </w:r>
    </w:p>
    <w:p>
      <w:pPr>
        <w:pStyle w:val="Heading3"/>
      </w:pPr>
      <w:r>
        <w:t>4.6.1 推理协议与方法对照</w:t>
      </w:r>
      <w:bookmarkStart w:id="86" w:name="v5_86"/>
      <w:bookmarkEnd w:id="86"/>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执行4.3.2节的最小合法化扩域并重新计费，失败则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推理侧设置整系统比较与机制受控比较两类对照。整系统比较共享生成检查点、初始完整候选和共用合法化规则，保留MCR-only、BR-O、BR-C及BR-J各自的候选补充、评分与修正机制，用于判断完整方案的效果及成本。受控比较则除被检验因素外，固定候选宇宙、对象评分、动作或搜索顺序及相应资源口径，分别检验评分、决策顺序与事务范围的作用。表4-1定义各版本的操作接口，表4-2列出归因条件。</w:t>
      </w:r>
    </w:p>
    <w:p>
      <w:pPr>
        <w:pStyle w:val="TableCaption"/>
      </w:pPr>
      <w:r>
        <w:rPr>
          <w:rFonts w:ascii="Times New Roman" w:hAnsi="Times New Roman" w:eastAsia="Songti SC"/>
          <w:color w:val="000000"/>
          <w:sz w:val="21"/>
        </w:rPr>
        <w:t>表4-1 推理方法的修改对象与决策接口</w:t>
      </w:r>
      <w:bookmarkStart w:id="161" w:name="v5_161"/>
      <w:bookmarkEnd w:id="16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采用BR-J的对象评分与效用，仅修改关系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再重建关系，以检验分步决策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限制单次组件改动范围</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在同一评分下检验受限动作的可达性</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重建受影响关系后整体接受或回退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在共同效用与整图约束下联合选边</w:t>
            </w:r>
          </w:p>
        </w:tc>
      </w:tr>
    </w:tbl>
    <w:p>
      <w:pPr>
        <w:spacing w:after="0" w:line="240" w:lineRule="auto"/>
      </w:pPr>
    </w:p>
    <w:p>
      <w:r>
        <w:rPr>
          <w:rFonts w:ascii="Times New Roman" w:hAnsi="Times New Roman" w:eastAsia="Songti SC"/>
          <w:color w:val="000000"/>
        </w:rPr>
        <w:t>BR-C与RelationOnly均固定组件，但前者保留前期覆盖目标，后者采用新对象评分，因而分别承担原版系统对照与动作限制对照。</w:t>
      </w:r>
    </w:p>
    <w:p>
      <w:r>
        <w:rPr>
          <w:rFonts w:ascii="Times New Roman" w:hAnsi="Times New Roman" w:eastAsia="Songti SC"/>
          <w:color w:val="000000"/>
        </w:rPr>
        <w:t>本版顺序对照命名为“组件优先的分步决策”。第一阶段在同候选、同评分下，以组件效用严格增加超过</w:t>
      </w:r>
      <m:oMath>
        <m:sSub>
          <m:e>
            <m:r>
              <m:t xml:space="preserve">δ</m:t>
            </m:r>
          </m:e>
          <m:sub>
            <m:r>
              <m:t xml:space="preserve">C</m:t>
            </m:r>
          </m:sub>
        </m:sSub>
        <m:r>
          <m:t xml:space="preserve">=</m:t>
        </m:r>
        <m:r>
          <m:t xml:space="preserve">δ</m:t>
        </m:r>
      </m:oMath>
      <w:r>
        <w:rPr>
          <w:rFonts w:ascii="Times New Roman" w:hAnsi="Times New Roman" w:eastAsia="Songti SC"/>
          <w:color w:val="000000"/>
        </w:rPr>
        <w:t>选择组件修改，删除因端点或源连续性变化而失效的全部旧关系，复核整图合法与预算后立即提交。第一阶段不要求关系效用或总效用非下降，损失的关系仍按实际删除计费。第二阶段在合法中间图上，使用同一关系候选域及剩余预算，以关系效用严格增加超过</w:t>
      </w:r>
      <m:oMath>
        <m:sSub>
          <m:e>
            <m:r>
              <m:t xml:space="preserve">δ</m:t>
            </m:r>
          </m:e>
          <m:sub>
            <m:r>
              <m:t xml:space="preserve">R</m:t>
            </m:r>
          </m:sub>
        </m:sSub>
        <m:r>
          <m:t xml:space="preserve">=</m:t>
        </m:r>
        <m:r>
          <m:t xml:space="preserve">δ</m:t>
        </m:r>
      </m:oMath>
      <w:r>
        <w:rPr>
          <w:rFonts w:ascii="Times New Roman" w:hAnsi="Times New Roman" w:eastAsia="Songti SC"/>
          <w:color w:val="000000"/>
        </w:rPr>
        <w:t>选择补全；无合格解、超时无解或额度耗尽时保留第一阶段状态。纯关系提议直接走第二阶段。各阶段内仍整批择优，不以第一个可接受动作替代比较。</w:t>
      </w:r>
    </w:p>
    <w:p>
      <w:r>
        <w:rPr>
          <w:rFonts w:ascii="Times New Roman" w:hAnsi="Times New Roman" w:eastAsia="Songti SC"/>
          <w:color w:val="000000"/>
        </w:rPr>
        <w:t>组件预筛后整体提交并在失败时撤销第一阶段，是另一种联合提交变体，不是本节顺序基线。单对象对照只允许冲突闭合后的</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，禁止</w:t>
      </w:r>
      <m:oMath>
        <m:r>
          <m:t xml:space="preserve">1</m:t>
        </m:r>
        <m:r>
          <m:t xml:space="preserve">→</m:t>
        </m:r>
        <m:r>
          <m:t xml:space="preserve">2</m:t>
        </m:r>
      </m:oMath>
      <w:r>
        <w:rPr>
          <w:rFonts w:ascii="Times New Roman" w:hAnsi="Times New Roman" w:eastAsia="Songti SC"/>
          <w:color w:val="000000"/>
        </w:rPr>
        <w:t>、</w:t>
      </w:r>
      <m:oMath>
        <m:r>
          <m:t xml:space="preserve">2</m:t>
        </m:r>
        <m:r>
          <m:t xml:space="preserve">→</m:t>
        </m:r>
        <m:r>
          <m:t xml:space="preserve">1</m:t>
        </m:r>
      </m:oMath>
      <w:r>
        <w:rPr>
          <w:rFonts w:ascii="Times New Roman" w:hAnsi="Times New Roman" w:eastAsia="Songti SC"/>
          <w:color w:val="000000"/>
        </w:rPr>
        <w:t>，仍完整重建依赖关系。名义插入导致多对象删除时按实际形态限制。轨迹分叉后的队列不必相同，固定的是候选、对象分、规则和资源；另用同图同提议配对诊断区分信息使用方式。</w:t>
      </w:r>
    </w:p>
    <w:p>
      <w:r>
        <w:rPr>
          <w:rFonts w:ascii="Times New Roman" w:hAnsi="Times New Roman" w:eastAsia="Songti SC"/>
          <w:color w:val="000000"/>
        </w:rPr>
        <w:t>顺序修正检验先提交组件再重建关系的决策顺序；单对象动作检验集合替换的可达性；两者均不能代替完整BR-J。附录E保留前期BR-O及其原评价协议下的结果，不提供BR-C或BR-J的独立实验成绩。</w:t>
      </w:r>
    </w:p>
    <w:p>
      <w:pPr>
        <w:pStyle w:val="TableCaption"/>
      </w:pPr>
      <w:r>
        <w:rPr>
          <w:rFonts w:ascii="Times New Roman" w:hAnsi="Times New Roman" w:eastAsia="Songti SC"/>
          <w:color w:val="000000"/>
          <w:sz w:val="21"/>
        </w:rPr>
        <w:t>表4-2 推理侧对照及归因</w:t>
      </w:r>
      <w:bookmarkStart w:id="162" w:name="v5_162"/>
      <w:bookmarkEnd w:id="16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同一生成检查点、初始候选与共用合法化</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完整系统效果及前期工作递进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候选补充、评分、失败尝试与求解成本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收益是否主要来自删除错误关系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顺序修正与BR-J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同一候选宇宙、评分及动作预算</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是否需要联合判断后再提交</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分步拒绝或提交造成的不可达与误改</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同一候选、事务集合、搜索顺序与资源口径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旧均分、固定计数效用及其他明确目标的差异</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RelationOnly、单对象动作与BR-J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固定候选、评分及资源口径，分别限制修改范围</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组件可变性、集合替换与闭合范围的作用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编辑数量、事务大小及可达范围</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同一候选与效用，采用包含局部终态的可行域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有限预算下局部修正的价值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等预算通用重写或重生成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相同token或调用资源</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专门修正机制的成本效益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解析失败、幻觉跨度及全部成本</w:t>
            </w:r>
          </w:p>
        </w:tc>
      </w:tr>
    </w:tbl>
    <w:p>
      <w:pPr>
        <w:spacing w:after="0" w:line="240" w:lineRule="auto"/>
      </w:pPr>
    </w:p>
    <w:p>
      <w:r>
        <w:rPr>
          <w:rFonts w:ascii="Times New Roman" w:hAnsi="Times New Roman" w:eastAsia="Songti SC"/>
          <w:color w:val="000000"/>
        </w:rPr>
        <w:t>全局ILP是同时选择全部组件与关系的强对照。其主配置固定相同候选、评分和合法性规则，要求组件与关系效用分别不低于初始图，并将两类对象的最终净编辑量分别限制在局部累计编辑预算内。局部方法的分项非下降和累计预算保证其终态满足这些约束；反向关系不成立，因此该全局可行域包含局部可达终态，二者并非同域。充分求解的全局效用构成相应局部解的上界；比较须同时报告等时间预算下的可行解、求解间隙及充分求解结果。上述包含关系只涵盖BR-J终态；顺序方法允许关系效用下降，其终态不一定满足初始分项下界。顺序方法若与全局方法比较，另设不加分项下界的版本。不加分项门或采用其他净预算的版本分别命名。</w:t>
      </w:r>
    </w:p>
    <w:p>
      <w:r>
        <w:rPr>
          <w:rFonts w:ascii="Times New Roman" w:hAnsi="Times New Roman" w:eastAsia="Songti SC"/>
          <w:color w:val="000000"/>
        </w:rPr>
        <w:t>局部事务的价值通过有限算力下的修正质量、过程可审计性与成本衡量。即使局部结果的真实F1高于全局解，也只能结合代理目标偏差解释，不能据此声称其效用超越相同目标的全局最优。后续数值仅来自明确列出的构造输入与执行程序，其用途限定为验证决策和计数，不据此推断语料性能、风险频率或实际效率。</w:t>
      </w:r>
    </w:p>
    <w:p>
      <w:pPr>
        <w:pStyle w:val="Heading3"/>
      </w:pPr>
      <w:r>
        <w:t>4.6.2 分步与联合决策的构造验证</w:t>
      </w:r>
      <w:bookmarkStart w:id="87" w:name="v5_87"/>
      <w:bookmarkEnd w:id="87"/>
    </w:p>
    <w:p>
      <w:r>
        <w:rPr>
          <w:rFonts w:ascii="Times New Roman" w:hAnsi="Times New Roman" w:eastAsia="Songti SC"/>
          <w:color w:val="000000"/>
        </w:rPr>
        <w:t>为核查真实两阶段提交，本节固定同一旧组件、一个边界替代组件及各自的一条关系。对象分数是人工输入，令</w:t>
      </w:r>
      <m:oMath>
        <m:sSub>
          <m:e>
            <m:r>
              <m:t xml:space="preserve">κ</m:t>
            </m:r>
          </m:e>
          <m:sub>
            <m:r>
              <m:t xml:space="preserve">C</m:t>
            </m:r>
          </m:sub>
        </m:sSub>
        <m:r>
          <m:t xml:space="preserve">=</m:t>
        </m:r>
        <m:sSub>
          <m:e>
            <m:r>
              <m:t xml:space="preserve">κ</m:t>
            </m:r>
          </m:e>
          <m:sub>
            <m:r>
              <m:t xml:space="preserve">R</m:t>
            </m:r>
          </m:sub>
        </m:sSub>
        <m:r>
          <m:t xml:space="preserve">=</m:t>
        </m:r>
        <m:r>
          <m:t xml:space="preserve">1</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。旧、新组件的</w:t>
      </w:r>
      <m:oMath>
        <m:r>
          <m:t xml:space="preserve">q</m:t>
        </m:r>
      </m:oMath>
      <w:r>
        <w:rPr>
          <w:rFonts w:ascii="Times New Roman" w:hAnsi="Times New Roman" w:eastAsia="Songti SC"/>
          <w:color w:val="000000"/>
        </w:rPr>
        <w:t>分别为0.60、0.90，效用为0.20、0.80；旧、新关系的</w:t>
      </w:r>
      <m:oMath>
        <m:r>
          <m:t xml:space="preserve">q</m:t>
        </m:r>
      </m:oMath>
      <w:r>
        <w:rPr>
          <w:rFonts w:ascii="Times New Roman" w:hAnsi="Times New Roman" w:eastAsia="Songti SC"/>
          <w:color w:val="000000"/>
        </w:rPr>
        <w:t>分别为0.95、0.60，效用为0.90、0.20。门限为0.01，预算容许组件删除与加入各1、关系删除与加入各1。</w:t>
      </w:r>
    </w:p>
    <w:p>
      <w:pPr>
        <w:pStyle w:val="TableCaption"/>
      </w:pPr>
      <w:r>
        <w:rPr>
          <w:rFonts w:ascii="Times New Roman" w:hAnsi="Times New Roman" w:eastAsia="Songti SC"/>
          <w:color w:val="000000"/>
          <w:sz w:val="21"/>
        </w:rPr>
        <w:t>表4-3 同一构造提议的真实分步与联合判断</w:t>
      </w:r>
      <w:bookmarkStart w:id="163" w:name="v5_163"/>
      <w:bookmarkEnd w:id="16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阶段或方法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组件效用</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关系效用</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总效用</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实际决策</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共同初始状态</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0.90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旧组件与旧关系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顺序第一阶段</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组件增益0.60，删除失效旧边并提交</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顺序第二阶段成功</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关系增益0.20，再次提交</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顺序第二阶段无解</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保留第一阶段合法中间图</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BR-J候选终态</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关系差−0.70，总差−0.10，拒绝</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BR-J返回状态</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0.90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完整保留初始图</w:t>
            </w:r>
          </w:p>
        </w:tc>
      </w:tr>
    </w:tbl>
    <w:p>
      <w:pPr>
        <w:spacing w:after="0" w:line="240" w:lineRule="auto"/>
      </w:pPr>
    </w:p>
    <w:p>
      <w:r>
        <w:rPr>
          <w:rFonts w:ascii="Times New Roman" w:hAnsi="Times New Roman" w:eastAsia="Songti SC"/>
          <w:color w:val="000000"/>
        </w:rPr>
        <w:t>参考程序复算了上述条件和分支。顺序成功路径累计组件编辑2、关系编辑2；第二阶段失败时已删旧关系的成本1仍保留。本例说明组件阶段提交后可能无法补偿关系损失，联合门能拒绝这一特定提议。它不证明联合方法普遍更好：若真实正确对象恰是低代理分的新关系，联合门也可能拒绝真实有益修正。分步方法的两个提交不能与联合方法的一个提交直接比较“有益比例”，实际方法比较以文档净TP、FP、FN为共同单位。</w:t>
      </w:r>
    </w:p>
    <w:p>
      <w:pPr>
        <w:pStyle w:val="Heading3"/>
      </w:pPr>
      <w:r>
        <w:t>4.6.3 候选覆盖与松弛Oracle</w:t>
      </w:r>
      <w:bookmarkStart w:id="88" w:name="v5_88"/>
      <w:bookmarkEnd w:id="88"/>
    </w:p>
    <w:p>
      <w:r>
        <w:rPr>
          <w:rFonts w:ascii="Times New Roman" w:hAnsi="Times New Roman" w:eastAsia="Songti SC"/>
          <w:color w:val="000000"/>
        </w:rPr>
        <w:t>覆盖与可达性分别定义。严格组件覆盖以金标完整组件数为分母；全部端点覆盖要求金标关系所有完整端点均存在；完整关系覆盖还要求其源集合、方向和标签被枚举。它们均不表示能够同时进入合法图，也不表示进入实际队列。</w:t>
      </w:r>
    </w:p>
    <w:p>
      <w:r>
        <w:rPr>
          <w:rFonts w:ascii="Times New Roman" w:hAnsi="Times New Roman" w:eastAsia="Songti SC"/>
          <w:color w:val="000000"/>
        </w:rPr>
        <w:t>令</w:t>
      </w:r>
      <m:oMath>
        <m:sSub>
          <m:e>
            <m:r>
              <m:t xml:space="preserve">ℋ</m:t>
            </m:r>
          </m:e>
          <m:sub>
            <m:r>
              <m:t xml:space="preserve">1</m:t>
            </m:r>
          </m:sub>
        </m:sSub>
      </m:oMath>
      <w:r>
        <w:rPr>
          <w:rFonts w:ascii="Times New Roman" w:hAnsi="Times New Roman" w:eastAsia="Songti SC"/>
          <w:color w:val="000000"/>
        </w:rPr>
        <w:t>为初始图及一次允许事务的合法终态，</w:t>
      </w:r>
      <m:oMath>
        <m:sSub>
          <m:e>
            <m:r>
              <m:t xml:space="preserve">ℋ</m:t>
            </m:r>
          </m:e>
          <m:sub>
            <m:r>
              <m:t xml:space="preserve">L</m:t>
            </m:r>
          </m:sub>
        </m:sSub>
      </m:oMath>
      <w:r>
        <w:rPr>
          <w:rFonts w:ascii="Times New Roman" w:hAnsi="Times New Roman" w:eastAsia="Songti SC"/>
          <w:color w:val="000000"/>
        </w:rPr>
        <w:t>为最多</w:t>
      </w:r>
      <m:oMath>
        <m:r>
          <m:t xml:space="preserve">L</m:t>
        </m:r>
      </m:oMath>
      <w:r>
        <w:rPr>
          <w:rFonts w:ascii="Times New Roman" w:hAnsi="Times New Roman" w:eastAsia="Songti SC"/>
          <w:color w:val="000000"/>
        </w:rPr>
        <w:t>次事务、每一步合法且满足累计组件和关系预算的终态，</w:t>
      </w:r>
      <m:oMath>
        <m:sSub>
          <m:e>
            <m:r>
              <m:t xml:space="preserve">ℋ</m:t>
            </m:r>
          </m:e>
          <m:sub>
            <m:r>
              <m:t xml:space="preserve">n</m:t>
            </m:r>
            <m:r>
              <m:t xml:space="preserve">e</m:t>
            </m:r>
            <m:r>
              <m:t xml:space="preserve">t</m:t>
            </m:r>
          </m:sub>
        </m:sSub>
      </m:oMath>
      <w:r>
        <w:rPr>
          <w:rFonts w:ascii="Times New Roman" w:hAnsi="Times New Roman" w:eastAsia="Songti SC"/>
          <w:color w:val="000000"/>
        </w:rPr>
        <w:t>为相同候选宇宙、整图合法性及相同数值最终净编辑预算下的图。三者解除预测效用门、实际队列截断和运行时限；前两者保留每事务动作形态，</w:t>
      </w:r>
      <m:oMath>
        <m:sSub>
          <m:e>
            <m:r>
              <m:t xml:space="preserve">ℋ</m:t>
            </m:r>
          </m:e>
          <m:sub>
            <m:r>
              <m:t xml:space="preserve">L</m:t>
            </m:r>
          </m:sub>
        </m:sSub>
      </m:oMath>
      <w:r>
        <w:rPr>
          <w:rFonts w:ascii="Times New Roman" w:hAnsi="Times New Roman" w:eastAsia="Songti SC"/>
          <w:color w:val="000000"/>
        </w:rPr>
        <w:t>保留中间状态和累计成本。主诊断</w:t>
      </w:r>
      <m:oMath>
        <m:r>
          <m:t xml:space="preserve">L</m:t>
        </m:r>
      </m:oMath>
      <w:r>
        <w:rPr>
          <w:rFonts w:ascii="Times New Roman" w:hAnsi="Times New Roman" w:eastAsia="Songti SC"/>
          <w:color w:val="000000"/>
        </w:rPr>
        <w:t>对应全程接受上限，不等于轮数。no-op可表示，且在单步预算不大于全程预算时，有</w:t>
      </w:r>
      <m:oMath>
        <m:sSub>
          <m:e>
            <m:r>
              <m:t xml:space="preserve">ℋ</m:t>
            </m:r>
          </m:e>
          <m:sub>
            <m:r>
              <m:t xml:space="preserve">1</m:t>
            </m:r>
          </m:sub>
        </m:sSub>
        <m:r>
          <m:t xml:space="preserve">⊆</m:t>
        </m:r>
        <m:sSub>
          <m:e>
            <m:r>
              <m:t xml:space="preserve">ℋ</m:t>
            </m:r>
          </m:e>
          <m:sub>
            <m:r>
              <m:t xml:space="preserve">L</m:t>
            </m:r>
          </m:sub>
        </m:sSub>
        <m:r>
          <m:t xml:space="preserve">⊆</m:t>
        </m:r>
        <m:sSub>
          <m:e>
            <m:r>
              <m:t xml:space="preserve">ℋ</m:t>
            </m:r>
          </m:e>
          <m:sub>
            <m:r>
              <m:t xml:space="preserve">n</m:t>
            </m:r>
            <m:r>
              <m:t xml:space="preserve">e</m:t>
            </m:r>
            <m:r>
              <m:t xml:space="preserve">t</m:t>
            </m:r>
          </m:sub>
        </m:sSub>
      </m:oMath>
      <w:r>
        <w:rPr>
          <w:rFonts w:ascii="Times New Roman" w:hAnsi="Times New Roman" w:eastAsia="Songti SC"/>
          <w:color w:val="000000"/>
        </w:rPr>
        <w:t>；后一个包含关系来自集合对称差的三角不等式。</w:t>
      </w:r>
    </w:p>
    <w:p>
      <w:r>
        <w:rPr>
          <w:rFonts w:ascii="Times New Roman" w:hAnsi="Times New Roman" w:eastAsia="Songti SC"/>
          <w:color w:val="000000"/>
        </w:rPr>
        <w:t>Oracle目标为整个评价集合的严格关系micro-F1，即</w:t>
      </w:r>
      <m:oMath>
        <m:r>
          <m:t xml:space="preserve">2</m:t>
        </m:r>
        <m:sSub>
          <m:e>
            <m:r>
              <m:t xml:space="preserve">∑</m:t>
            </m:r>
          </m:e>
          <m:sub>
            <m:r>
              <m:t xml:space="preserve">d</m:t>
            </m:r>
          </m:sub>
        </m:sSub>
        <m:r>
          <m:t xml:space="preserve">T</m:t>
        </m:r>
        <m:sSub>
          <m:e>
            <m:r>
              <m:t xml:space="preserve">P</m:t>
            </m:r>
          </m:e>
          <m:sub>
            <m:r>
              <m:t xml:space="preserve">d</m:t>
            </m:r>
          </m:sub>
        </m:sSub>
        <m:r>
          <m:t xml:space="preserve">/</m:t>
        </m:r>
        <m:r>
          <m:t xml:space="preserve">(</m:t>
        </m:r>
        <m:sSub>
          <m:e>
            <m:r>
              <m:t xml:space="preserve">∑</m:t>
            </m:r>
          </m:e>
          <m:sub>
            <m:r>
              <m:t xml:space="preserve">d</m:t>
            </m:r>
          </m:sub>
        </m:sSub>
        <m:r>
          <m:t xml:space="preserve">|</m:t>
        </m:r>
        <m:sSub>
          <m:e>
            <m:r>
              <m:t xml:space="preserve">R</m:t>
            </m:r>
          </m:e>
          <m:sub>
            <m:r>
              <m:t xml:space="preserve">d</m:t>
            </m:r>
          </m:sub>
        </m:sSub>
        <m:r>
          <m:t xml:space="preserve">|</m:t>
        </m:r>
        <m:r>
          <m:t xml:space="preserve">+</m:t>
        </m:r>
        <m:sSub>
          <m:e>
            <m:r>
              <m:t xml:space="preserve">∑</m:t>
            </m:r>
          </m:e>
          <m:sub>
            <m:r>
              <m:t xml:space="preserve">d</m:t>
            </m:r>
          </m:sub>
        </m:sSub>
        <m:r>
          <m:t xml:space="preserve">|</m:t>
        </m:r>
        <m:sSub>
          <m:e>
            <m:r>
              <m:t xml:space="preserve">Y</m:t>
            </m:r>
          </m:e>
          <m:sub>
            <m:r>
              <m:t xml:space="preserve">d</m:t>
            </m:r>
          </m:sub>
        </m:sSub>
        <m:r>
          <m:t xml:space="preserve">|</m:t>
        </m:r>
        <m:r>
          <m:t xml:space="preserve">)</m:t>
        </m:r>
      </m:oMath>
      <w:r>
        <w:rPr>
          <w:rFonts w:ascii="Times New Roman" w:hAnsi="Times New Roman" w:eastAsia="Songti SC"/>
          <w:color w:val="000000"/>
        </w:rPr>
        <w:t>，不能分别最大化文档F1再平均。有限小问题可枚举每篇文档的可行终态，按总预测数保留最大总TP，再从汇总计数选择最优值；该动态规划在完整枚举前提下精确，不适用于未枚举的语料状态。求解不完整时，找到的可行值只给出最大化问题的下界，有效上界和最优性状态另列。金标仅作离线诊断，不进入测试输出选择或预算调节。</w:t>
      </w:r>
    </w:p>
    <w:p>
      <w:r>
        <w:rPr>
          <w:rFonts w:ascii="Times New Roman" w:hAnsi="Times New Roman" w:eastAsia="Songti SC"/>
          <w:color w:val="000000"/>
        </w:rPr>
        <w:t>表4-4报告一个四组件、三个候选关系的小图穷举。组件位置顺序为</w:t>
      </w:r>
      <m:oMath>
        <m:r>
          <m:t xml:space="preserve">a</m:t>
        </m:r>
        <m:r>
          <m:t xml:space="preserve">,</m:t>
        </m:r>
        <m:r>
          <m:t xml:space="preserve">b</m:t>
        </m:r>
        <m:r>
          <m:t xml:space="preserve">,</m:t>
        </m:r>
        <m:r>
          <m:t xml:space="preserve">c</m:t>
        </m:r>
        <m:r>
          <m:t xml:space="preserve">,</m:t>
        </m:r>
        <m:r>
          <m:t xml:space="preserve">t</m:t>
        </m:r>
      </m:oMath>
      <w:r>
        <w:rPr>
          <w:rFonts w:ascii="Times New Roman" w:hAnsi="Times New Roman" w:eastAsia="Songti SC"/>
          <w:color w:val="000000"/>
        </w:rPr>
        <w:t>，关系池含</w:t>
      </w:r>
      <m:oMath>
        <m:r>
          <m:t xml:space="preserve">a</m:t>
        </m:r>
        <m:r>
          <m:t xml:space="preserve">→</m:t>
        </m:r>
        <m:r>
          <m:t xml:space="preserve">t</m:t>
        </m:r>
      </m:oMath>
      <w:r>
        <w:rPr>
          <w:rFonts w:ascii="Times New Roman" w:hAnsi="Times New Roman" w:eastAsia="Songti SC"/>
          <w:color w:val="000000"/>
        </w:rPr>
        <w:t>、</w:t>
      </w:r>
      <m:oMath>
        <m:r>
          <m:t xml:space="preserve">c</m:t>
        </m:r>
        <m:r>
          <m:t xml:space="preserve">→</m:t>
        </m:r>
        <m:r>
          <m:t xml:space="preserve">t</m:t>
        </m:r>
      </m:oMath>
      <w:r>
        <w:rPr>
          <w:rFonts w:ascii="Times New Roman" w:hAnsi="Times New Roman" w:eastAsia="Songti SC"/>
          <w:color w:val="000000"/>
        </w:rPr>
        <w:t>及</w:t>
      </w:r>
      <m:oMath>
        <m:r>
          <m:t xml:space="preserve">h</m:t>
        </m:r>
        <m:r>
          <m:t xml:space="preserve">=</m:t>
        </m:r>
        <m:r>
          <m:t xml:space="preserve">(</m:t>
        </m:r>
        <m:r>
          <m:rPr>
            <m:sty m:val="p"/>
          </m:rPr>
          <m:t xml:space="preserve">{</m:t>
        </m:r>
        <m:r>
          <m:t xml:space="preserve">a</m:t>
        </m:r>
        <m:r>
          <m:t xml:space="preserve">,</m:t>
        </m:r>
        <m:r>
          <m:t xml:space="preserve">c</m:t>
        </m:r>
        <m:r>
          <m:rPr>
            <m:sty m:val="p"/>
          </m:rPr>
          <m:t xml:space="preserve">}</m:t>
        </m:r>
        <m:r>
          <m:t xml:space="preserve">,</m:t>
        </m:r>
        <m:r>
          <m:t xml:space="preserve">t</m:t>
        </m:r>
        <m:r>
          <m:t xml:space="preserve">,</m:t>
        </m:r>
        <m:r>
          <m:rPr>
            <m:sty m:val="p"/>
          </m:rPr>
          <m:t xml:space="preserve">Reason</m:t>
        </m:r>
        <m:r>
          <m:t xml:space="preserve">)</m:t>
        </m:r>
      </m:oMath>
      <w:r>
        <w:rPr>
          <w:rFonts w:ascii="Times New Roman" w:hAnsi="Times New Roman" w:eastAsia="Songti SC"/>
          <w:color w:val="000000"/>
        </w:rPr>
        <w:t>；初始图选全部组件及</w:t>
      </w:r>
      <m:oMath>
        <m:r>
          <m:t xml:space="preserve">a</m:t>
        </m:r>
        <m:r>
          <m:t xml:space="preserve">→</m:t>
        </m:r>
        <m:r>
          <m:t xml:space="preserve">t</m:t>
        </m:r>
      </m:oMath>
      <w:r>
        <w:rPr>
          <w:rFonts w:ascii="Times New Roman" w:hAnsi="Times New Roman" w:eastAsia="Songti SC"/>
          <w:color w:val="000000"/>
        </w:rPr>
        <w:t>，金标关系为</w:t>
      </w:r>
      <m:oMath>
        <m:r>
          <m:t xml:space="preserve">a</m:t>
        </m:r>
        <m:r>
          <m:t xml:space="preserve">→</m:t>
        </m:r>
        <m:r>
          <m:t xml:space="preserve">t</m:t>
        </m:r>
      </m:oMath>
      <w:r>
        <w:rPr>
          <w:rFonts w:ascii="Times New Roman" w:hAnsi="Times New Roman" w:eastAsia="Songti SC"/>
          <w:color w:val="000000"/>
        </w:rPr>
        <w:t>和</w:t>
      </w:r>
      <m:oMath>
        <m:r>
          <m:t xml:space="preserve">h</m:t>
        </m:r>
      </m:oMath>
      <w:r>
        <w:rPr>
          <w:rFonts w:ascii="Times New Roman" w:hAnsi="Times New Roman" w:eastAsia="Songti SC"/>
          <w:color w:val="000000"/>
        </w:rPr>
        <w:t>，金标组件为</w:t>
      </w:r>
      <m:oMath>
        <m:r>
          <m:t xml:space="preserve">a</m:t>
        </m:r>
        <m:r>
          <m:t xml:space="preserve">,</m:t>
        </m:r>
        <m:r>
          <m:t xml:space="preserve">c</m:t>
        </m:r>
        <m:r>
          <m:t xml:space="preserve">,</m:t>
        </m:r>
        <m:r>
          <m:t xml:space="preserve">t</m:t>
        </m:r>
      </m:oMath>
      <w:r>
        <w:rPr>
          <w:rFonts w:ascii="Times New Roman" w:hAnsi="Times New Roman" w:eastAsia="Songti SC"/>
          <w:color w:val="000000"/>
        </w:rPr>
        <w:t>。初始状态中</w:t>
      </w:r>
      <m:oMath>
        <m:r>
          <m:t xml:space="preserve">b</m:t>
        </m:r>
      </m:oMath>
      <w:r>
        <w:rPr>
          <w:rFonts w:ascii="Times New Roman" w:hAnsi="Times New Roman" w:eastAsia="Songti SC"/>
          <w:color w:val="000000"/>
        </w:rPr>
        <w:t>破坏</w:t>
      </w:r>
      <m:oMath>
        <m:r>
          <m:t xml:space="preserve">h</m:t>
        </m:r>
      </m:oMath>
      <w:r>
        <w:rPr>
          <w:rFonts w:ascii="Times New Roman" w:hAnsi="Times New Roman" w:eastAsia="Songti SC"/>
          <w:color w:val="000000"/>
        </w:rPr>
        <w:t>的源连续性。参考构造允许的组件形态同4.3.1，纯关系事务在此三槽位宇宙中每次处理一个完整槽位，组件与关系累计预算各3，多步上限3。组件提议不预带额外</w:t>
      </w:r>
      <m:oMath>
        <m:sSub>
          <m:e>
            <m:r>
              <m:t xml:space="preserve">S</m:t>
            </m:r>
          </m:e>
          <m:sub>
            <m:r>
              <m:t xml:space="preserve">R</m:t>
            </m:r>
          </m:sub>
        </m:sSub>
      </m:oMath>
      <w:r>
        <w:rPr>
          <w:rFonts w:ascii="Times New Roman" w:hAnsi="Times New Roman" w:eastAsia="Songti SC"/>
          <w:color w:val="000000"/>
        </w:rPr>
        <w:t>，仅最小合法化扩域；这是该构造的明确邻域，非所有可能的大邻域。</w:t>
      </w:r>
    </w:p>
    <w:p>
      <w:pPr>
        <w:pStyle w:val="TableCaption"/>
      </w:pPr>
      <w:r>
        <w:rPr>
          <w:rFonts w:ascii="Times New Roman" w:hAnsi="Times New Roman" w:eastAsia="Songti SC"/>
          <w:color w:val="000000"/>
          <w:sz w:val="21"/>
        </w:rPr>
        <w:t>表4-4 四组件构造空间的精确枚举结果</w:t>
      </w:r>
      <w:bookmarkStart w:id="164" w:name="v5_164"/>
      <w:bookmarkEnd w:id="16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对象或可行集合</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状态数</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最优严格关系F1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求解身份</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初始图</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66.67</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直接计数，TP=1、FP=0、FN=1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单事务邻域松弛集合</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66.67</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完整枚举，包含no-op</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最多三事务邻域松弛集合</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合法中间状态及累计预算</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全局净预算松弛集合</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净预算约束下完整枚举</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不加编辑预算的全部合法图</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仅用于核查完整状态空间</w:t>
            </w:r>
          </w:p>
        </w:tc>
      </w:tr>
    </w:tbl>
    <w:p>
      <w:pPr>
        <w:spacing w:after="0" w:line="240" w:lineRule="auto"/>
      </w:pPr>
    </w:p>
    <w:p>
      <w:r>
        <w:rPr>
          <w:rFonts w:ascii="Times New Roman" w:hAnsi="Times New Roman" w:eastAsia="Songti SC"/>
          <w:color w:val="000000"/>
        </w:rPr>
        <w:t>本例候选组件、全部端点和完整关系覆盖均为100%，但一次事务的最优F1仍为66.67。原因是删除</w:t>
      </w:r>
      <m:oMath>
        <m:r>
          <m:t xml:space="preserve">b</m:t>
        </m:r>
      </m:oMath>
      <w:r>
        <w:rPr>
          <w:rFonts w:ascii="Times New Roman" w:hAnsi="Times New Roman" w:eastAsia="Songti SC"/>
          <w:color w:val="000000"/>
        </w:rPr>
        <w:t>不接触</w:t>
      </w:r>
      <m:oMath>
        <m:r>
          <m:t xml:space="preserve">h</m:t>
        </m:r>
      </m:oMath>
      <w:r>
        <w:rPr>
          <w:rFonts w:ascii="Times New Roman" w:hAnsi="Times New Roman" w:eastAsia="Songti SC"/>
          <w:color w:val="000000"/>
        </w:rPr>
        <w:t>端点，</w:t>
      </w:r>
      <m:oMath>
        <m:r>
          <m:t xml:space="preserve">h</m:t>
        </m:r>
      </m:oMath>
      <w:r>
        <w:rPr>
          <w:rFonts w:ascii="Times New Roman" w:hAnsi="Times New Roman" w:eastAsia="Songti SC"/>
          <w:color w:val="000000"/>
        </w:rPr>
        <w:t>在该事务中保持未选；随后纯关系事务才能加入它。多步与全局集合在本例相等不证明通常相等。另一个两步轨迹删除</w:t>
      </w:r>
      <m:oMath>
        <m:r>
          <m:t xml:space="preserve">b</m:t>
        </m:r>
      </m:oMath>
      <w:r>
        <w:rPr>
          <w:rFonts w:ascii="Times New Roman" w:hAnsi="Times New Roman" w:eastAsia="Songti SC"/>
          <w:color w:val="000000"/>
        </w:rPr>
        <w:t>后重新插入，组件累计成本2、净成本0，说明不能用净变化代替实际编辑账本。两项结论均来自程序枚举与计数，不是对CDCP测试集的恢复率估计。</w:t>
      </w:r>
    </w:p>
    <w:p>
      <w:r>
        <w:rPr>
          <w:rFonts w:ascii="Times New Roman" w:hAnsi="Times New Roman" w:eastAsia="Songti SC"/>
          <w:color w:val="000000"/>
        </w:rPr>
        <w:t>逐文档最优也不保证语料micro最优。附录D.5给出两个文档的计数反例：逐文档选择得到micro-F1为0.3953，联合计数选择为1.8165。它只反驳错误的优化替代，不描述实际语料难度。金标Oracle与4.6.1使用预测效用的全局ILP，目标、门限和用途均不同。</w:t>
      </w:r>
    </w:p>
    <w:p>
      <w:pPr>
        <w:pStyle w:val="Heading3"/>
      </w:pPr>
      <w:r>
        <w:t>4.6.4 完整对象评分及接受后可靠性</w:t>
      </w:r>
      <w:bookmarkStart w:id="89" w:name="v5_89"/>
      <w:bookmarkEnd w:id="89"/>
    </w:p>
    <w:p>
      <w:r>
        <w:rPr>
          <w:rFonts w:ascii="Times New Roman" w:hAnsi="Times New Roman" w:eastAsia="Songti SC"/>
          <w:color w:val="000000"/>
        </w:rPr>
        <w:t>本版构造分数由输入设定，不来自学习或校准，因此不报告AUROC、Brier或校准改善。正式评分验证在固定提案集合上，以完整对象严格匹配为标签，按文档分组，保留来源、自然错误与构造扰动身份；单一类别时AUROC记为不适用。概率校准讨论置信度与经验正确率的对应[45]，不能直接推出搜索后的误改风险。</w:t>
      </w:r>
    </w:p>
    <w:p>
      <w:pPr>
        <w:pStyle w:val="TableCaption"/>
      </w:pPr>
      <w:r>
        <w:rPr>
          <w:rFonts w:ascii="Times New Roman" w:hAnsi="Times New Roman" w:eastAsia="Songti SC"/>
          <w:color w:val="000000"/>
          <w:sz w:val="21"/>
        </w:rPr>
        <w:t>表4-5 评分验证的两个对象层次</w:t>
      </w:r>
      <w:bookmarkStart w:id="165" w:name="v5_165"/>
      <w:bookmarkEnd w:id="16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评估层次</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固定输入与统计单位</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可支持的结论边界</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候选完整对象</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固定提案、概率、精确标签；文档分组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候选分布上的区分与校准，不等于接受后可靠</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实际接受的修改</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真实轨迹、效用差、净TP/FP/FN</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搜索选择后的有益、中性、有害修改</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构造分数与规则检查</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人工q值与确定接受门</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条件分支正确，不能估计真实校准或误改率</w:t>
            </w:r>
          </w:p>
        </w:tc>
      </w:tr>
    </w:tbl>
    <w:p>
      <w:pPr>
        <w:spacing w:after="0" w:line="240" w:lineRule="auto"/>
      </w:pPr>
    </w:p>
    <w:p>
      <w:r>
        <w:rPr>
          <w:rFonts w:ascii="Times New Roman" w:hAnsi="Times New Roman" w:eastAsia="Songti SC"/>
          <w:color w:val="000000"/>
        </w:rPr>
        <w:t>关系评分器的正例必须匹配全部端点、类型、方向与标签，负例保留错误跨度、错误类型及错误源集合。OOF生成器和跨度头共同隔离持出折，校准集保持自然候选分布，策略选择另用开发子集。最终模型与OOF候选的分布差异需要单独检验；参数不共享不意味着误差独立。</w:t>
      </w:r>
    </w:p>
    <w:p>
      <w:pPr>
        <w:pStyle w:val="Heading3"/>
      </w:pPr>
      <w:r>
        <w:t>4.6.5 风险、资源与求解状态</w:t>
      </w:r>
      <w:bookmarkStart w:id="90" w:name="v5_90"/>
      <w:bookmarkEnd w:id="90"/>
    </w:p>
    <w:p>
      <w:r>
        <w:rPr>
          <w:rFonts w:ascii="Times New Roman" w:hAnsi="Times New Roman" w:eastAsia="Songti SC"/>
          <w:color w:val="000000"/>
        </w:rPr>
        <w:t>有益、中性与有害修改按真实TP、FP、FN和指标变化计算，代理效用上涨只描述接受规则。表4-3展示的是代理总效用下降路径，不据此虚构真实错误接受率。对所有方法，实际文档级净计数、原正确对象保留率、误加与误删构成共同报告单位；BR-J可另报事务级统计，不能强行给全局ILP套同一事务单位。</w:t>
      </w:r>
    </w:p>
    <w:p>
      <w:pPr>
        <w:pStyle w:val="TableCaption"/>
      </w:pPr>
      <w:r>
        <w:rPr>
          <w:rFonts w:ascii="Times New Roman" w:hAnsi="Times New Roman" w:eastAsia="Songti SC"/>
          <w:color w:val="000000"/>
          <w:sz w:val="21"/>
        </w:rPr>
        <w:t>表4-6 当前可核验的风险与成本边界</w:t>
      </w:r>
      <w:bookmarkStart w:id="166" w:name="v5_166"/>
      <w:bookmarkEnd w:id="16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已得到的构造证据</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尚不能得出的结论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顺序提交的关系损失</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表4-3总效用1.10降至1.00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真实语料上顺序基线更差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新合法槽位未触达</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表4-4一次事务无法加入h</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多轮一定能恢复所有新合法边</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累计与净预算差异</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删除再插入累计2、净0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相同净预算代表相同操作成本</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局部与全局成本</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本版仅作小图穷举</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局部更快、更省token或性价比更高</w:t>
            </w:r>
          </w:p>
        </w:tc>
      </w:tr>
    </w:tbl>
    <w:p>
      <w:pPr>
        <w:spacing w:after="0" w:line="240" w:lineRule="auto"/>
      </w:pPr>
    </w:p>
    <w:p>
      <w:r>
        <w:rPr>
          <w:rFonts w:ascii="Times New Roman" w:hAnsi="Times New Roman" w:eastAsia="Songti SC"/>
          <w:color w:val="000000"/>
        </w:rPr>
        <w:t>正式成本包含候选构造、全对象评分、所有求解调用及失败处理，按每文档总时限比较局部与全局，同时记录单次时限、线程、硬件和缓存。冷启动与缓存复用分列，充分求解和等资源结果分列。没有GPU、求解器及端到端运行数据，当前不换算真实秒数或费用，也不绘制性能预算曲线。</w:t>
      </w:r>
    </w:p>
    <w:p>
      <w:pPr>
        <w:pStyle w:val="Heading3"/>
      </w:pPr>
      <w:r>
        <w:t>4.6.6 案例身份与解释范围</w:t>
      </w:r>
      <w:bookmarkStart w:id="91" w:name="v5_91"/>
      <w:bookmarkEnd w:id="91"/>
    </w:p>
    <w:p>
      <w:r>
        <w:rPr>
          <w:rFonts w:ascii="Times New Roman" w:hAnsi="Times New Roman" w:eastAsia="Songti SC"/>
          <w:color w:val="000000"/>
        </w:rPr>
        <w:t>本章已展示两个完整输入可重建的构造案例：同分数下的顺序与联合分歧，以及CDCP式源连续性导致的非接触槽位恢复。二者均不冒充AAEC或CDCP原始文档，且均包含限制而不只展示有利情景。真实案例仍需同一文档的原文、金标、初始图、顺序结果、联合结果与真实轨迹，按预先确定的失败类别抽样；没有观测的类别如实记为未观察到。</w:t>
      </w:r>
    </w:p>
    <w:p>
      <w:pPr>
        <w:pStyle w:val="Heading2"/>
      </w:pPr>
      <w:r>
        <w:t>4.7 本章小结</w:t>
      </w:r>
      <w:bookmarkStart w:id="92" w:name="v5_92"/>
      <w:bookmarkEnd w:id="92"/>
    </w:p>
    <w:p>
      <w:r>
        <w:rPr>
          <w:rFonts w:ascii="Times New Roman" w:hAnsi="Times New Roman" w:eastAsia="Songti SC"/>
          <w:color w:val="000000"/>
        </w:rPr>
        <w:t>本章落实候选、槽位、动作、调度、最小合法化扩域、分步基线和Oracle定义。已执行的构造验证说明整体决策与分步提交可产生不同结果，并核实了候选覆盖不等于单事务可达、累计预算不等于净预算等边界。对RQ2，集合事务具备所声明的表达接口；真实恢复增量、误改频率和局部搜索的成本价值尚未获得语料实验支持。</w:t>
      </w:r>
    </w:p>
    <w:p>
      <w:pPr>
        <w:pStyle w:val="Heading1"/>
      </w:pPr>
      <w:r>
        <w:t>第五章 两阶段框架的综合分析</w:t>
      </w:r>
      <w:bookmarkStart w:id="93" w:name="v5_93"/>
      <w:bookmarkEnd w:id="93"/>
    </w:p>
    <w:p>
      <w:r>
        <w:rPr>
          <w:rFonts w:ascii="Times New Roman" w:hAnsi="Times New Roman" w:eastAsia="Songti SC"/>
          <w:color w:val="000000"/>
        </w:rPr>
        <w:t>本章将两项研究放入同一证据框架。已有构造验证回答接口是否明确、某些结构边界是否成立；训练与推理的任务收益需要同批真实运行。当前不存在可用于计算新增两阶段增量的四格语料结果，因此本章分析已建立的接口联系和证据缺口，不给出预期性能排序。</w:t>
      </w:r>
    </w:p>
    <w:p>
      <w:pPr>
        <w:pStyle w:val="Heading2"/>
      </w:pPr>
      <w:r>
        <w:t>5.1 两阶段组合及可比条件</w:t>
      </w:r>
      <w:bookmarkStart w:id="94" w:name="v5_94"/>
      <w:bookmarkEnd w:id="94"/>
    </w:p>
    <w:p>
      <w:r>
        <w:rPr>
          <w:rFonts w:ascii="Times New Roman" w:hAnsi="Times New Roman" w:eastAsia="Songti SC"/>
          <w:color w:val="000000"/>
        </w:rPr>
        <w:t>四格为T0＋I0、T1＋I0、T0＋I1、T1＋I1，其中I1为BR-J。同一训练检查点的I0和I1共享初始图和候选缓存身份；不同训练检查点各自生成候选，候选变化是训练效果的一部分。评分器使用预先声明的共同OOF训练与校准协议；若分别重训评分器，实验身份必须注明包含评分适配，不能仅归于生成器改变。</w:t>
      </w:r>
    </w:p>
    <w:p>
      <w:r>
        <w:rPr>
          <w:rFonts w:ascii="Times New Roman" w:hAnsi="Times New Roman" w:eastAsia="Songti SC"/>
          <w:color w:val="000000"/>
        </w:rPr>
        <w:t>第三章T1主行与第五章T1＋I0、第四章I0与BR-J主行和第五章对应四格，引用相同运行索引，不分别挑选最优种子。训练消融固定I0，推理消融固定T1，避免将全部消融作无必要的笛卡尔积。统计口径统一采用2.6节。</w:t>
      </w:r>
    </w:p>
    <w:p>
      <w:pPr>
        <w:pStyle w:val="Heading2"/>
      </w:pPr>
      <w:r>
        <w:t>5.2 当前证据与两阶段归因</w:t>
      </w:r>
      <w:bookmarkStart w:id="95" w:name="v5_95"/>
      <w:bookmarkEnd w:id="95"/>
    </w:p>
    <w:p>
      <w:pPr>
        <w:pStyle w:val="Heading3"/>
      </w:pPr>
      <w:r>
        <w:t>5.2.1 四格结果的身份约束</w:t>
      </w:r>
      <w:bookmarkStart w:id="96" w:name="v5_96"/>
      <w:bookmarkEnd w:id="96"/>
    </w:p>
    <w:p>
      <w:r>
        <w:rPr>
          <w:rFonts w:ascii="Times New Roman" w:hAnsi="Times New Roman" w:eastAsia="Songti SC"/>
          <w:color w:val="000000"/>
        </w:rPr>
        <w:t>表5-1记录四格所需材料及当前状态。“未运行”表示没有可接入的正式新增模型证据，不是零分，也不代表方法无效。附录E的旧系统成绩不能改名填入此表。</w:t>
      </w:r>
    </w:p>
    <w:p>
      <w:pPr>
        <w:pStyle w:val="TableCaption"/>
      </w:pPr>
      <w:r>
        <w:rPr>
          <w:rFonts w:ascii="Times New Roman" w:hAnsi="Times New Roman" w:eastAsia="Songti SC"/>
          <w:color w:val="000000"/>
          <w:sz w:val="21"/>
        </w:rPr>
        <w:t>表5-1 四格比较的运行对应关系</w:t>
      </w:r>
      <w:bookmarkStart w:id="167" w:name="v5_167"/>
      <w:bookmarkEnd w:id="16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组合</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对应主文结果</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复用条件</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当前状态</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第三章基础训练行</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冻结T0检查点及初始预测</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未形成正式新增运行</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第三章T1与第四章I0</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同T1检查点、种子与预测</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未形成正式新增运行</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T0检查点上的BR-J</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与T0＋I0共用起点和候选</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未形成正式新增运行</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第四章BR-J主行</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复用同一份修正与评价结果</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未形成正式新增运行</w:t>
            </w:r>
          </w:p>
        </w:tc>
      </w:tr>
    </w:tbl>
    <w:p>
      <w:pPr>
        <w:spacing w:after="0" w:line="240" w:lineRule="auto"/>
      </w:pPr>
    </w:p>
    <w:p>
      <w:r>
        <w:rPr>
          <w:rFonts w:ascii="Times New Roman" w:hAnsi="Times New Roman" w:eastAsia="Songti SC"/>
          <w:color w:val="000000"/>
        </w:rPr>
        <w:t>令</w:t>
      </w:r>
      <m:oMath>
        <m:sSub>
          <m:e>
            <m:r>
              <m:t xml:space="preserve">F</m:t>
            </m:r>
          </m:e>
          <m:sub>
            <m:r>
              <m:t xml:space="preserve">t</m:t>
            </m:r>
            <m:r>
              <m:t xml:space="preserve">i</m:t>
            </m:r>
          </m:sub>
        </m:sSub>
      </m:oMath>
      <w:r>
        <w:rPr>
          <w:rFonts w:ascii="Times New Roman" w:hAnsi="Times New Roman" w:eastAsia="Songti SC"/>
          <w:color w:val="000000"/>
        </w:rPr>
        <w:t>表示同一指标、同一语料上四格的结果，交互差定义为</w:t>
      </w:r>
      <m:oMath>
        <m:r>
          <m:t xml:space="preserve">I</m:t>
        </m:r>
        <m:r>
          <m:t xml:space="preserve">=</m:t>
        </m:r>
        <m:sSub>
          <m:e>
            <m:r>
              <m:t xml:space="preserve">F</m:t>
            </m:r>
          </m:e>
          <m:sub>
            <m:r>
              <m:t xml:space="preserve">1</m:t>
            </m:r>
            <m:r>
              <m:t xml:space="preserve">1</m:t>
            </m:r>
          </m:sub>
        </m:sSub>
        <m:r>
          <m:t xml:space="preserve">-</m:t>
        </m:r>
        <m:sSub>
          <m:e>
            <m:r>
              <m:t xml:space="preserve">F</m:t>
            </m:r>
          </m:e>
          <m:sub>
            <m:r>
              <m:t xml:space="preserve">1</m:t>
            </m:r>
            <m:r>
              <m:t xml:space="preserve">0</m:t>
            </m:r>
          </m:sub>
        </m:sSub>
        <m:r>
          <m:t xml:space="preserve">-</m:t>
        </m:r>
        <m:sSub>
          <m:e>
            <m:r>
              <m:t xml:space="preserve">F</m:t>
            </m:r>
          </m:e>
          <m:sub>
            <m:r>
              <m:t xml:space="preserve">0</m:t>
            </m:r>
            <m:r>
              <m:t xml:space="preserve">1</m:t>
            </m:r>
          </m:sub>
        </m:sSub>
        <m:r>
          <m:t xml:space="preserve">+</m:t>
        </m:r>
        <m:sSub>
          <m:e>
            <m:r>
              <m:t xml:space="preserve">F</m:t>
            </m:r>
          </m:e>
          <m:sub>
            <m:r>
              <m:t xml:space="preserve">0</m:t>
            </m:r>
            <m:r>
              <m:t xml:space="preserve">0</m:t>
            </m:r>
          </m:sub>
        </m:sSub>
      </m:oMath>
      <w:r>
        <w:rPr>
          <w:rFonts w:ascii="Times New Roman" w:hAnsi="Times New Roman" w:eastAsia="Songti SC"/>
          <w:color w:val="000000"/>
        </w:rPr>
        <w:t>。实际计算按同一配对单位完成，既报告推理在T0、T1上的差值，也报告训练在I0、I1上的差值。本版没有</w:t>
      </w:r>
      <m:oMath>
        <m:sSub>
          <m:e>
            <m:r>
              <m:t xml:space="preserve">F</m:t>
            </m:r>
          </m:e>
          <m:sub>
            <m:r>
              <m:t xml:space="preserve">t</m:t>
            </m:r>
            <m:r>
              <m:t xml:space="preserve">i</m:t>
            </m:r>
          </m:sub>
        </m:sSub>
      </m:oMath>
      <w:r>
        <w:rPr>
          <w:rFonts w:ascii="Times New Roman" w:hAnsi="Times New Roman" w:eastAsia="Songti SC"/>
          <w:color w:val="000000"/>
        </w:rPr>
        <w:t>的正式观测值，故不填写</w:t>
      </w:r>
      <m:oMath>
        <m:r>
          <m:t xml:space="preserve">I</m:t>
        </m:r>
      </m:oMath>
      <w:r>
        <w:rPr>
          <w:rFonts w:ascii="Times New Roman" w:hAnsi="Times New Roman" w:eastAsia="Songti SC"/>
          <w:color w:val="000000"/>
        </w:rPr>
        <w:t>，不作超加性或互补性结论。人工设定一个正交互数值并不能补足该证据。</w:t>
      </w:r>
    </w:p>
    <w:p>
      <w:pPr>
        <w:pStyle w:val="Heading3"/>
      </w:pPr>
      <w:r>
        <w:t>5.2.2 已观察的结构边界</w:t>
      </w:r>
      <w:bookmarkStart w:id="97" w:name="v5_97"/>
      <w:bookmarkEnd w:id="97"/>
    </w:p>
    <w:p>
      <w:r>
        <w:rPr>
          <w:rFonts w:ascii="Times New Roman" w:hAnsi="Times New Roman" w:eastAsia="Songti SC"/>
          <w:color w:val="000000"/>
        </w:rPr>
        <w:t>构造验证提供了两条可确定的接口联系。首先，第三章的坐标输运必须维护完整对象身份，否则第四章的候选去重、固定评分和严格关系计数失去共同单位。字符示例中只读组件移动一个位置，已经足以说明“文字不改”不等于“对象坐标不变”；真实token映射仍需实际分词器检验。</w:t>
      </w:r>
    </w:p>
    <w:p>
      <w:r>
        <w:rPr>
          <w:rFonts w:ascii="Times New Roman" w:hAnsi="Times New Roman" w:eastAsia="Songti SC"/>
          <w:color w:val="000000"/>
        </w:rPr>
        <w:t>其次，即使候选覆盖达到100%，特定事务仍可能无法到达金标结构。表4-4中删除中间组件后的非接触超边需要后续提议，说明覆盖、状态合法性与队列执行是不同限制。该结果支持分别保存候选缺失、槽位未枚举、动作未排入、预算未执行和评分拒绝的原因，不能把全部失败归为候选召回不足。</w:t>
      </w:r>
    </w:p>
    <w:p>
      <w:r>
        <w:rPr>
          <w:rFonts w:ascii="Times New Roman" w:hAnsi="Times New Roman" w:eastAsia="Songti SC"/>
          <w:color w:val="000000"/>
        </w:rPr>
        <w:t>上述联系解释了为什么两阶段应共享对象协议，同时保留各自证据。它们没有测量训练改进后自然错误如何变化，也没有测量恢复空间是否缩小，因此不支持两阶段在真实任务上独立有效或组合有效。</w:t>
      </w:r>
    </w:p>
    <w:p>
      <w:pPr>
        <w:pStyle w:val="Heading2"/>
      </w:pPr>
      <w:r>
        <w:t>5.3 成本与效果主张的边界</w:t>
      </w:r>
      <w:bookmarkStart w:id="98" w:name="v5_98"/>
      <w:bookmarkEnd w:id="98"/>
    </w:p>
    <w:p>
      <w:r>
        <w:rPr>
          <w:rFonts w:ascii="Times New Roman" w:hAnsi="Times New Roman" w:eastAsia="Songti SC"/>
          <w:color w:val="000000"/>
        </w:rPr>
        <w:t>增强生成、审核、训练和OOF构造属于一次性或按检查点发生的投入；候选生成、评分及事务求解属于逐文档成本。比较必须保留被拒绝样本、失败调用和超时求解，不能只计算成功操作。累计与净编辑反例证明操作次数不能从最终图差异反推，但编辑数本身也不是秒数、token或经济成本。</w:t>
      </w:r>
    </w:p>
    <w:p>
      <w:r>
        <w:rPr>
          <w:rFonts w:ascii="Times New Roman" w:hAnsi="Times New Roman" w:eastAsia="Songti SC"/>
          <w:color w:val="000000"/>
        </w:rPr>
        <w:t>当前构造程序没有运行LLM、实际校准器或局部与全局ILP，因此本版不声称专门修正比通用重生成更划算，不以CPU小图枚举时间代表系统时延。质量与成本的结论须同时给出完整计数、独立统计不确定性和实测资源；一方增加收益而另一方增加误改时，应表述为取舍，而非安全保证。</w:t>
      </w:r>
    </w:p>
    <w:p>
      <w:pPr>
        <w:pStyle w:val="Heading2"/>
      </w:pPr>
      <w:r>
        <w:t>5.4 跨语料适用范围</w:t>
      </w:r>
      <w:bookmarkStart w:id="99" w:name="v5_99"/>
      <w:bookmarkEnd w:id="99"/>
    </w:p>
    <w:p>
      <w:r>
        <w:rPr>
          <w:rFonts w:ascii="Times New Roman" w:hAnsi="Times New Roman" w:eastAsia="Songti SC"/>
          <w:color w:val="000000"/>
        </w:rPr>
        <w:t>AAEC与CDCP是域内主要验证对象。CDCP的原生超边包含完整源集合，二元展开后的Link-F1是另一轨道，不能与原生超边F1计算直接降幅。跨域粗粒度组件映射沿用附录E.8的历史说明，但新增方法尚无迁移结果；使用目标域标签校准时，也不能再称纯零样本迁移。</w:t>
      </w:r>
    </w:p>
    <w:p>
      <w:r>
        <w:rPr>
          <w:rFonts w:ascii="Times New Roman" w:hAnsi="Times New Roman" w:eastAsia="Songti SC"/>
          <w:color w:val="000000"/>
        </w:rPr>
        <w:t>本版没有据未执行的线索扰动、长超边分组或跨域实验给出稳健性结论。这些问题进入第六章局限与后续验证，其定义可以保留，数值和效果不预设。此前训练集内稀疏模型诊断的错误分布，与正式LLM自然错误不同，不能填补该缺口。</w:t>
      </w:r>
    </w:p>
    <w:p>
      <w:pPr>
        <w:pStyle w:val="Heading2"/>
      </w:pPr>
      <w:r>
        <w:t>5.5 本章小结</w:t>
      </w:r>
      <w:bookmarkStart w:id="100" w:name="v5_100"/>
      <w:bookmarkEnd w:id="100"/>
    </w:p>
    <w:p>
      <w:r>
        <w:rPr>
          <w:rFonts w:ascii="Times New Roman" w:hAnsi="Times New Roman" w:eastAsia="Songti SC"/>
          <w:color w:val="000000"/>
        </w:rPr>
        <w:t>两阶段已经共享完整对象、划分、评分身份及统计接口，构造验证揭示了坐标身份、候选覆盖、事务可达和累计成本之间的差别。四格新增语料运行尚未完成，当前不能认定互补性、独立收益或资源优势。方法层面的闭合和任务效果层面的闭合分别成立于不同证据，后者仍需真实模型预测与受控实验。</w:t>
      </w:r>
    </w:p>
    <w:p>
      <w:pPr>
        <w:pStyle w:val="Heading1"/>
      </w:pPr>
      <w:r>
        <w:t>第六章 总结与展望</w:t>
      </w:r>
      <w:bookmarkStart w:id="101" w:name="v5_101"/>
      <w:bookmarkEnd w:id="101"/>
    </w:p>
    <w:p>
      <w:pPr>
        <w:pStyle w:val="Heading2"/>
      </w:pPr>
      <w:r>
        <w:t>6.1 研究总结</w:t>
      </w:r>
      <w:bookmarkStart w:id="102" w:name="v5_102"/>
      <w:bookmarkEnd w:id="102"/>
    </w:p>
    <w:p>
      <w:r>
        <w:rPr>
          <w:rFonts w:ascii="Times New Roman" w:hAnsi="Times New Roman" w:eastAsia="Songti SC"/>
          <w:color w:val="000000"/>
        </w:rPr>
        <w:t>本文围绕组件与关系之间的依赖，形成训练监督保持与推理结构恢复两项互补方法。训练阶段改变指定组件的表达，并维护经过检查的监督；推理阶段保持原文不变，协调修改模型预测的组件及其关系。两项研究使用统一任务表示，但分别作用于学习过程和结构决策过程。</w:t>
      </w:r>
    </w:p>
    <w:p>
      <w:r>
        <w:rPr>
          <w:rFonts w:ascii="Times New Roman" w:hAnsi="Times New Roman" w:eastAsia="Songti SC"/>
          <w:color w:val="000000"/>
        </w:rPr>
        <w:t>第一项研究在前期结论组件专项建模基础上，定义关系影响域约束的增强与成对因素学习。影响域按端点关联确定，同时覆盖内部、跨边界组合及正关系、NONE状态。标注迁移建立新旧组件对应，组件与关系监督连接增强数据和共享生成表示。第三章据此将增强质量、中心选择与同数据学习目标分别纳入比较，使研究问题对应到可识别的实验条件。</w:t>
      </w:r>
    </w:p>
    <w:p>
      <w:r>
        <w:rPr>
          <w:rFonts w:ascii="Times New Roman" w:hAnsi="Times New Roman" w:eastAsia="Songti SC"/>
          <w:color w:val="000000"/>
        </w:rPr>
        <w:t>第二项研究在前期多候选重排序与有界修正基础上，以兼容组件集合替换及全部受影响关系重建构成依赖闭合事务。完整对象评分与计数效用提供接受依据，整图约束、分项非下降条件和编辑预算限定可提交的修改。局部差值分析及有限终止性质说明固定候选与目标下的算法行为，第四章通过覆盖、评分、动作对照及风险成本分析区分恢复能力的来源。</w:t>
      </w:r>
    </w:p>
    <w:p>
      <w:r>
        <w:rPr>
          <w:rFonts w:ascii="Times New Roman" w:hAnsi="Times New Roman" w:eastAsia="Songti SC"/>
          <w:color w:val="000000"/>
        </w:rPr>
        <w:t>本版在四项未定规约上选定可复现的参考设计，并以19项构造检查建立定义、执行和解释之间的对应。训练侧验证涉及中心、完整入源、坐标输运及权重；推理侧验证涉及顺序失败后的状态、非接触新合法槽位、Oracle集合和计数。四组件空间的一步关系Oracle为66.67，多步及全局为100.00，差异只说明该构造图中需要后续事务。第五章据此区分已经建立的方法边界与尚未建立的效果主张；两项方法在AAEC、CDCP上的独立增量及组合收益仍无新增实测结论。</w:t>
      </w:r>
    </w:p>
    <w:p>
      <w:pPr>
        <w:pStyle w:val="Heading2"/>
      </w:pPr>
      <w:r>
        <w:t>6.2 研究局限</w:t>
      </w:r>
      <w:bookmarkStart w:id="103" w:name="v5_103"/>
      <w:bookmarkEnd w:id="103"/>
    </w:p>
    <w:p>
      <w:r>
        <w:rPr>
          <w:rFonts w:ascii="Times New Roman" w:hAnsi="Times New Roman" w:eastAsia="Songti SC"/>
          <w:color w:val="000000"/>
        </w:rPr>
        <w:t>训练监督的可靠性受语义检查和样本选择共同影响。检查器与一致性目标可能偏向容易改写、关系显式的样本；有限影响域不能覆盖任意潜在语义变化，NONE也可能反映标注不完备。过强对齐还可能压制有价值的表达差异。因此，标签可靠性、表达多样性、接受覆盖与原始文本上的严格任务表现需要共同考察。</w:t>
      </w:r>
    </w:p>
    <w:p>
      <w:r>
        <w:rPr>
          <w:rFonts w:ascii="Times New Roman" w:hAnsi="Times New Roman" w:eastAsia="Songti SC"/>
          <w:color w:val="000000"/>
        </w:rPr>
        <w:t>推理修正受候选和评分共同限制。未进入候选宇宙的正确跨度或完整超边不可恢复，搜索反复选择高分对象可能放大评分偏差。组件与关系分项非下降条件也可能拒绝真实有益但代理分量下降的事务。有限集合规模与预算不能覆盖任意分割、合并或远距离结构变化，局部方法的成本价值仍需与全局ILP和等资源重生成比较。</w:t>
      </w:r>
    </w:p>
    <w:p>
      <w:r>
        <w:rPr>
          <w:rFonts w:ascii="Times New Roman" w:hAnsi="Times New Roman" w:eastAsia="Songti SC"/>
          <w:color w:val="000000"/>
        </w:rPr>
        <w:t>语料规模、标注体系及历史结果的协议差异限制比较范围。训练集内CPU诊断不代表完整LLM系统，粗粒度迁移不代表原生超边迁移。新增方法的主结果、独立消融、标签审计和真实案例仍需与实际运行绑定；这些缺口限定当前结论强度，不改变对负结果和失败运行的报告要求。</w:t>
      </w:r>
    </w:p>
    <w:p>
      <w:pPr>
        <w:pStyle w:val="Heading2"/>
      </w:pPr>
      <w:r>
        <w:t>6.3 后续研究方向</w:t>
      </w:r>
      <w:bookmarkStart w:id="104" w:name="v5_104"/>
      <w:bookmarkEnd w:id="104"/>
    </w:p>
    <w:p>
      <w:r>
        <w:rPr>
          <w:rFonts w:ascii="Times New Roman" w:hAnsi="Times New Roman" w:eastAsia="Songti SC"/>
          <w:color w:val="000000"/>
        </w:rPr>
        <w:t>候选空间与计算代价之间的关系值得进一步研究。扩大跨度和超边组合可能覆盖更多错误，也增加评分、约束求解及选择错误高分对象的风险。后续可在固定资源条件下比较不同候选组织方式，同时观察覆盖、恢复、误改和成本，确定哪些扩展真正改善最终结构。</w:t>
      </w:r>
    </w:p>
    <w:p>
      <w:r>
        <w:rPr>
          <w:rFonts w:ascii="Times New Roman" w:hAnsi="Times New Roman" w:eastAsia="Songti SC"/>
          <w:color w:val="000000"/>
        </w:rPr>
        <w:t>语义检查与评分可靠性是另一方向。增强标签漂移和推理错误接受都受到模型判断影响，但两者的输入与监督目标不同。可针对隐式关系、长超边以及否定、模态和指代现象开展分组研究，分析不同错误在检查、校准及事务决策中如何传播，并评估拒绝策略的适用条件。</w:t>
      </w:r>
    </w:p>
    <w:p>
      <w:pPr>
        <w:pStyle w:val="Heading1"/>
      </w:pPr>
      <w:r>
        <w:t>参考文献</w:t>
      </w:r>
      <w:bookmarkStart w:id="105" w:name="v5_105"/>
      <w:bookmarkEnd w:id="105"/>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pStyle w:val="Heading1"/>
      </w:pPr>
      <w:r>
        <w:t>附录A 数据处理与复现协议</w:t>
      </w:r>
      <w:bookmarkStart w:id="106" w:name="v5_106"/>
      <w:bookmarkEnd w:id="106"/>
    </w:p>
    <w:p>
      <w:pPr>
        <w:pStyle w:val="Heading2"/>
      </w:pPr>
      <w:r>
        <w:t>A.1 坐标与结构数据</w:t>
      </w:r>
      <w:bookmarkStart w:id="107" w:name="v5_107"/>
      <w:bookmarkEnd w:id="107"/>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08" w:name="v5_108"/>
      <w:bookmarkEnd w:id="108"/>
    </w:p>
    <w:p>
      <w:pPr>
        <w:spacing w:line="380" w:lineRule="exact"/>
      </w:pPr>
      <w:r>
        <w:rPr>
          <w:rFonts w:ascii="Times New Roman" w:hAnsi="Times New Roman" w:eastAsia="Songti SC"/>
          <w:color w:val="000000"/>
          <w:sz w:val="22"/>
        </w:rPr>
        <w:t>表A-1给出结果复核所需的关联字段。历史成绩与新增实验分别维护运行身份，缺少原始材料时保留“未绑定”状态，不以新的参考实现补充证明历史运行。</w:t>
      </w:r>
    </w:p>
    <w:p>
      <w:pPr>
        <w:pStyle w:val="TableCaption"/>
        <w:spacing w:line="380" w:lineRule="exact"/>
      </w:pPr>
      <w:r>
        <w:rPr>
          <w:rFonts w:ascii="Times New Roman" w:hAnsi="Times New Roman" w:eastAsia="Songti SC"/>
          <w:color w:val="000000"/>
          <w:sz w:val="21"/>
        </w:rPr>
        <w:t>表A-1 复现材料的关联字段</w:t>
      </w:r>
      <w:bookmarkStart w:id="168" w:name="v5_168"/>
      <w:bookmarkEnd w:id="16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09" w:name="v5_109"/>
      <w:bookmarkEnd w:id="109"/>
    </w:p>
    <w:p>
      <w:pPr>
        <w:spacing w:line="380" w:lineRule="exact"/>
      </w:pPr>
      <w:r>
        <w:rPr>
          <w:rFonts w:ascii="Times New Roman" w:hAnsi="Times New Roman" w:eastAsia="Songti SC"/>
          <w:color w:val="000000"/>
          <w:sz w:val="22"/>
        </w:rPr>
        <w:t>本文拟定的主实验范围为英文AAEC和CDCP，本版未完成新增方法的语料实验，也未验证中文或多语言能力。ORCHID面向中文辩论的目标无关立场检测和论辩对话摘要[28]，IAM整合多项论辩挖掘任务并使用英文资源[29]。二者可用于认识论辩任务的资源差异，但不直接替代从原文定位组件并预测关系的同协议测试。</w:t>
      </w:r>
    </w:p>
    <w:p>
      <w:pPr>
        <w:pStyle w:val="Heading2"/>
      </w:pPr>
      <w:r>
        <w:t>A.4 本版参考规约与配置身份</w:t>
      </w:r>
      <w:bookmarkStart w:id="110" w:name="v5_110"/>
      <w:bookmarkEnd w:id="110"/>
    </w:p>
    <w:p>
      <w:pPr>
        <w:spacing w:line="380" w:lineRule="exact"/>
      </w:pPr>
      <w:r>
        <w:rPr>
          <w:rFonts w:ascii="Times New Roman" w:hAnsi="Times New Roman" w:eastAsia="Songti SC"/>
          <w:color w:val="000000"/>
          <w:sz w:val="22"/>
        </w:rPr>
        <w:t>本版采用10月9日修改方案建议的单中心、受保护候选、真实顺序提交和松弛Oracle分支。其选择依据是可复现性与归因清楚，不是已测得的最优性能。配置文件为本地材料包中的reference_config.json，标记为方法参考配置；语料运行配置必须另行绑定，不能把本表参数宣传为开发集最优值。</w:t>
      </w:r>
    </w:p>
    <w:p>
      <w:pPr>
        <w:pStyle w:val="TableCaption"/>
        <w:spacing w:line="380" w:lineRule="exact"/>
      </w:pPr>
      <w:r>
        <w:rPr>
          <w:rFonts w:ascii="Times New Roman" w:hAnsi="Times New Roman" w:eastAsia="Songti SC"/>
          <w:color w:val="000000"/>
          <w:sz w:val="21"/>
        </w:rPr>
        <w:t>表A-2 本版参考配置</w:t>
      </w:r>
      <w:bookmarkStart w:id="169" w:name="v5_169"/>
      <w:bookmarkEnd w:id="16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中心与生成</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种子17；每文档1中心、4次尝试、最多2变体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全文哈希与组件键参与排序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中心匹配</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区域组件数、入关系数相同；字符长度差≤20%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随机中心允许结论角色，失败单列</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补充跨度</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头候选64；长度≤64评价token；最终补充64</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保护对象不受该上限裁剪</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规则扩展</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边界各±1；基础相邻合并；内部边界切分</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仅扩展一次，不递归</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补充关系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源成员≤3；补充完整槽位4096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受保护长超边保留，全部标签一起裁剪</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组件事务</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冲突闭合后总编辑≤3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允许五种声明形态，纯关系另列</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队列与额度</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六类轮转；批长6；每轮尝试32、接受3</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最多4轮，总尝试128、接受12</w:t>
            </w:r>
          </w:p>
        </w:tc>
      </w:tr>
    </w:tbl>
    <w:p>
      <w:pPr>
        <w:pStyle w:val="ContinuationCaption"/>
        <w:pageBreakBefore/>
      </w:pPr>
      <w:r>
        <w:t>表A-2（续）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累计编辑</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组件24；关系96</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分别累计，不使用最终净变化替代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参考接受门</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分项非降；总差&gt;0.01；数值容差10⁻⁹</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容差仅处理数值误差，不放宽严格总门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构造验证效用</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κC=κR=1，wC=wR=1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仅构造输入，正式代价需独立开发选择</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执行资源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上下文、预枚举及评分对象上限、调用、token、秒数</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依实际模型与设备冻结；缺失时不启动正式运行</w:t>
            </w:r>
          </w:p>
        </w:tc>
      </w:tr>
    </w:tbl>
    <w:p>
      <w:pPr>
        <w:spacing w:after="0" w:line="240" w:lineRule="auto"/>
      </w:pPr>
    </w:p>
    <w:p>
      <w:pPr>
        <w:spacing w:line="380" w:lineRule="exact"/>
      </w:pPr>
      <w:r>
        <w:rPr>
          <w:rFonts w:ascii="Times New Roman" w:hAnsi="Times New Roman" w:eastAsia="Songti SC"/>
          <w:color w:val="000000"/>
          <w:sz w:val="22"/>
        </w:rPr>
        <w:t>组件与关系对象分应以至少双精度缓存进行确定排序；非有限分数返回评分失败，不按零分继续。规范键使用UTF-8规范JSON，集合先排序；软件版本与序列化版本写入配置身份。预枚举上限用于阻止资源失控，超限返回候选构造失败而不是生成金标有利子集。上述资源失败保留该文档并按公共失败规则评价。</w:t>
      </w:r>
    </w:p>
    <w:p>
      <w:pPr>
        <w:pStyle w:val="Heading2"/>
      </w:pPr>
      <w:r>
        <w:t>A.5 结果登记与缺失处理</w:t>
      </w:r>
      <w:bookmarkStart w:id="111" w:name="v5_111"/>
      <w:bookmarkEnd w:id="111"/>
    </w:p>
    <w:p>
      <w:pPr>
        <w:spacing w:line="380" w:lineRule="exact"/>
      </w:pPr>
      <w:r>
        <w:rPr>
          <w:rFonts w:ascii="Times New Roman" w:hAnsi="Times New Roman" w:eastAsia="Songti SC"/>
          <w:color w:val="000000"/>
          <w:sz w:val="22"/>
        </w:rPr>
        <w:t>本版results_index.json只登记构造执行和其正文位置，语料实验状态为not_run。正式结果须包含数据与划分哈希、检查点哈希、配置哈希、种子、预测路径、逐文档TP/FP/FN和成本记录；跨章用run ID引用同一结果。禁止以人工填写F1代替预测，禁止从汇总概率指标反向生成假样本。构造实验明确标为CONSTRUCTED_EXECUTION_NOT_CORPUS_EXPERIMENT，不能进入AAEC或CDCP结果汇总。</w:t>
      </w:r>
    </w:p>
    <w:p>
      <w:pPr>
        <w:pStyle w:val="Heading1"/>
      </w:pPr>
      <w:r>
        <w:t>附录B 评分与事务执行记录</w:t>
      </w:r>
      <w:bookmarkStart w:id="112" w:name="v5_112"/>
      <w:bookmarkEnd w:id="112"/>
    </w:p>
    <w:p>
      <w:pPr>
        <w:pStyle w:val="Heading2"/>
      </w:pPr>
      <w:r>
        <w:t>B.1 数据与模型身份</w:t>
      </w:r>
      <w:bookmarkStart w:id="113" w:name="v5_113"/>
      <w:bookmarkEnd w:id="113"/>
    </w:p>
    <w:p>
      <w:pPr>
        <w:spacing w:line="380" w:lineRule="exact"/>
      </w:pPr>
      <w:r>
        <w:rPr>
          <w:rFonts w:ascii="Times New Roman" w:hAnsi="Times New Roman" w:eastAsia="Songti SC"/>
          <w:color w:val="000000"/>
          <w:sz w:val="22"/>
        </w:rPr>
        <w:t>运行级材料按表A-1关联至同一run ID，本附录只补充文档级评分与事务轨迹。每条轨迹通过源文档ID连接原文、坐标映射、候选缓存、评分缓存和评价配置；增强变体仍归属于唯一源文档，不重新划分数据。</w:t>
      </w:r>
    </w:p>
    <w:p>
      <w:pPr>
        <w:pStyle w:val="Heading2"/>
      </w:pPr>
      <w:r>
        <w:t>B.2 评分与接受轨迹</w:t>
      </w:r>
      <w:bookmarkStart w:id="114" w:name="v5_114"/>
      <w:bookmarkEnd w:id="114"/>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15" w:name="v5_115"/>
      <w:bookmarkEnd w:id="115"/>
    </w:p>
    <w:p>
      <w:pPr>
        <w:spacing w:line="380" w:lineRule="exact"/>
      </w:pPr>
      <w:r>
        <w:rPr>
          <w:rFonts w:ascii="Times New Roman" w:hAnsi="Times New Roman" w:eastAsia="Songti SC"/>
          <w:color w:val="000000"/>
          <w:sz w:val="22"/>
        </w:rPr>
        <w:t>BR-J执行语义遵循4.5.2节；顺序对照的第一阶段提交不可因第二阶段失败而撤销。本版将v4“当前批无合格事务即停止”细化为“独立批长下继续未检查批次，声明队列耗尽才停止”，避免批长6吞掉每轮32次尝试额度。此为明示的调度设计变更，不把未检查批次当作已经否定。每次尝试保留执行前的完整合法图、各类预算的期初余额、本次消耗和期末余额；提交、拒绝、中断、超时与回滚分别记录。组件与完整关系按实际删增对象计费，被拒绝尝试的求解和模型调用成本同样保留。</w:t>
      </w:r>
    </w:p>
    <w:p>
      <w:pPr>
        <w:pStyle w:val="Heading2"/>
      </w:pPr>
      <w:r>
        <w:t>B.4 实现一致性测试</w:t>
      </w:r>
      <w:bookmarkStart w:id="116" w:name="v5_116"/>
      <w:bookmarkEnd w:id="116"/>
    </w:p>
    <w:p>
      <w:pPr>
        <w:spacing w:line="380" w:lineRule="exact"/>
      </w:pPr>
      <w:r>
        <w:rPr>
          <w:rFonts w:ascii="Times New Roman" w:hAnsi="Times New Roman" w:eastAsia="Songti SC"/>
          <w:color w:val="000000"/>
          <w:sz w:val="22"/>
        </w:rPr>
        <w:t>实现测试覆盖坐标往返、原生超边匹配、同坐标不同类型、纯ID重排、非传递的两两候选冲突、组件插入引起的超边源连续性变化、原NONE因素新增、纯关系修改、拆分合并、分项接受条件、空增强与空因素域、预算耗尽及原子回退。对可枚举小图，以穷举比较ILP最优值和局部差分。构造测试用于检查实现是否遵循定义，正式任务收益由真实数据实验评价。</w:t>
      </w:r>
    </w:p>
    <w:p>
      <w:pPr>
        <w:pStyle w:val="Heading2"/>
      </w:pPr>
      <w:r>
        <w:t>B.5 真实案例的统一记录模板</w:t>
      </w:r>
      <w:bookmarkStart w:id="117" w:name="v5_117"/>
      <w:bookmarkEnd w:id="117"/>
    </w:p>
    <w:p>
      <w:pPr>
        <w:spacing w:line="380" w:lineRule="exact"/>
      </w:pPr>
      <w:r>
        <w:rPr>
          <w:rFonts w:ascii="Times New Roman" w:hAnsi="Times New Roman" w:eastAsia="Songti SC"/>
          <w:color w:val="000000"/>
          <w:sz w:val="22"/>
        </w:rPr>
        <w:t>成功恢复、错误接受、错误拒绝、候选不可达和预算耗尽使用相同字段，按预先固定的误差类别与抽样规则选取真实测试记录。该模板用于后续真实预测与日志，构造对象验证另见附录D.4，不混入真实案例。</w:t>
      </w:r>
    </w:p>
    <w:p>
      <w:pPr>
        <w:spacing w:line="380" w:lineRule="exact"/>
      </w:pPr>
      <w:r>
        <w:rPr>
          <w:rFonts w:ascii="Times New Roman" w:hAnsi="Times New Roman" w:eastAsia="Songti SC"/>
          <w:color w:val="000000"/>
          <w:sz w:val="22"/>
        </w:rPr>
        <w:t>（1）原文与金标准。给出数据集、固定划分、真实文档ID、相关原文及上下文，列出金标组件的跨度、类型和完整关系；CDCP逐项列出超边源集合。金标准仅用于事后评价，不进入测试时的提议、评分和接受过程。</w:t>
      </w:r>
    </w:p>
    <w:p>
      <w:pPr>
        <w:spacing w:line="380" w:lineRule="exact"/>
      </w:pPr>
      <w:r>
        <w:rPr>
          <w:rFonts w:ascii="Times New Roman" w:hAnsi="Times New Roman" w:eastAsia="Songti SC"/>
          <w:color w:val="000000"/>
          <w:sz w:val="22"/>
        </w:rPr>
        <w:t>（2）初始状态与候选。展示同一合法初始图、每个候选的来源与完整语义键，并注明遗漏对象是否在固定宇宙中、所需对象能否兼容共存。无法构造所需完整关系时，应将候选缺失与局部邻域不可达分别标出。</w:t>
      </w:r>
    </w:p>
    <w:p>
      <w:pPr>
        <w:spacing w:line="380" w:lineRule="exact"/>
      </w:pPr>
      <w:r>
        <w:rPr>
          <w:rFonts w:ascii="Times New Roman" w:hAnsi="Times New Roman" w:eastAsia="Songti SC"/>
          <w:color w:val="000000"/>
          <w:sz w:val="22"/>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pPr>
        <w:spacing w:line="380" w:lineRule="exact"/>
      </w:pPr>
      <w:r>
        <w:rPr>
          <w:rFonts w:ascii="Times New Roman" w:hAnsi="Times New Roman" w:eastAsia="Songti SC"/>
          <w:color w:val="000000"/>
          <w:sz w:val="22"/>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pPr>
        <w:spacing w:line="380" w:lineRule="exact"/>
      </w:pPr>
      <w:r>
        <w:rPr>
          <w:rFonts w:ascii="Times New Roman" w:hAnsi="Times New Roman" w:eastAsia="Songti SC"/>
          <w:color w:val="000000"/>
          <w:sz w:val="22"/>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pPr>
        <w:spacing w:line="380" w:lineRule="exact"/>
      </w:pPr>
      <w:r>
        <w:rPr>
          <w:rFonts w:ascii="Times New Roman" w:hAnsi="Times New Roman" w:eastAsia="Songti SC"/>
          <w:color w:val="000000"/>
          <w:sz w:val="22"/>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pPr>
        <w:pStyle w:val="Heading1"/>
      </w:pPr>
      <w:r>
        <w:t>附录C 成果归属与研究声明</w:t>
      </w:r>
      <w:bookmarkStart w:id="118" w:name="v5_118"/>
      <w:bookmarkEnd w:id="118"/>
    </w:p>
    <w:p>
      <w:pPr>
        <w:pStyle w:val="Heading2"/>
      </w:pPr>
      <w:r>
        <w:t>C.1 前期共同成果</w:t>
      </w:r>
      <w:bookmarkStart w:id="119" w:name="v5_119"/>
      <w:bookmarkEnd w:id="119"/>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w:t>
      </w:r>
    </w:p>
    <w:p>
      <w:pPr>
        <w:pStyle w:val="Heading2"/>
      </w:pPr>
      <w:r>
        <w:t>C.2 数据与材料可得性</w:t>
      </w:r>
      <w:bookmarkStart w:id="120" w:name="v5_120"/>
      <w:bookmarkEnd w:id="120"/>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本版新增本地构造验证程序、参考配置、结果JSON和修订索引，位置见附录D.4；这些材料可以复核文中小图结论，不包含训练后的模型。新增方法的正式检查点、语料逐例预测、完整事务轨迹和运行配置尚未形成；既有参考工程及本版构造验证不声明为完整端到端复现包。外部公开范围及存放入口仍由作者核准。</w:t>
      </w:r>
    </w:p>
    <w:p>
      <w:pPr>
        <w:pStyle w:val="Heading2"/>
      </w:pPr>
      <w:r>
        <w:t>C.3 研究辅助与伦理说明</w:t>
      </w:r>
      <w:bookmarkStart w:id="121" w:name="v5_121"/>
      <w:bookmarkEnd w:id="121"/>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模型实验记录。</w:t>
      </w:r>
    </w:p>
    <w:p>
      <w:pPr>
        <w:spacing w:line="380" w:lineRule="exact"/>
      </w:pPr>
      <w:r>
        <w:rPr>
          <w:rFonts w:ascii="Times New Roman" w:hAnsi="Times New Roman" w:eastAsia="Songti SC"/>
          <w:color w:val="000000"/>
          <w:sz w:val="22"/>
        </w:rPr>
        <w:t>本文拟开展的标签可靠性人工审计尚未形成可报告的判断者人数、分歧裁决或一致性统计，本版不填入相关数值。后续涉及人员参与、语料再使用及可能的敏感信息时，应按实际研究内容履行适用的机构程序；本文不代替伦理审查或自行认定豁免。</w:t>
      </w:r>
    </w:p>
    <w:p>
      <w:pPr>
        <w:pStyle w:val="Heading2"/>
      </w:pPr>
      <w:r>
        <w:t>C.4 资助与利益冲突</w:t>
      </w:r>
      <w:bookmarkStart w:id="122" w:name="v5_122"/>
      <w:bookmarkEnd w:id="122"/>
    </w:p>
    <w:p>
      <w:pPr>
        <w:spacing w:line="380" w:lineRule="exact"/>
      </w:pPr>
      <w:r>
        <w:rPr>
          <w:rFonts w:ascii="Times New Roman" w:hAnsi="Times New Roman" w:eastAsia="Songti SC"/>
          <w:color w:val="000000"/>
          <w:sz w:val="22"/>
        </w:rPr>
        <w:t>资助来源和利益冲突信息尚待作者依据真实情况确认。本版保留这一未确认状态，不据材料缺失推断“无资助”或“无利益冲突”。学位论文原创性声明、使用授权、签名和日期按学校适用表单由相应责任人核准，不移植参考论文的声明与身份信息。</w:t>
      </w:r>
    </w:p>
    <w:p>
      <w:pPr>
        <w:pStyle w:val="Heading1"/>
      </w:pPr>
      <w:r>
        <w:t>附录D 前期实验基础与轻量诊断</w:t>
      </w:r>
      <w:bookmarkStart w:id="123" w:name="v5_123"/>
      <w:bookmarkEnd w:id="123"/>
    </w:p>
    <w:p>
      <w:pPr>
        <w:pStyle w:val="Heading2"/>
      </w:pPr>
      <w:r>
        <w:t>D.1 前期结果的使用范围</w:t>
      </w:r>
      <w:bookmarkStart w:id="124" w:name="v5_124"/>
      <w:bookmarkEnd w:id="124"/>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25" w:name="v5_125"/>
      <w:bookmarkEnd w:id="125"/>
    </w:p>
    <w:p>
      <w:pPr>
        <w:spacing w:line="380" w:lineRule="exact"/>
      </w:pPr>
      <w:r>
        <w:rPr>
          <w:rFonts w:ascii="Times New Roman" w:hAnsi="Times New Roman" w:eastAsia="Songti SC"/>
          <w:color w:val="000000"/>
          <w:sz w:val="22"/>
        </w:rPr>
        <w:t>既有CPU诊断记录仅使用官方训练集内容。AAEC纳入322篇，按拟合、校准、审计划为191、65、66篇；CDCP在记录排除文档00411后纳入580篇，对应348、116、116篇。划分按完整文本哈希分组，测试文件未用于解析、拟合、选择或评分。AAEC使用固定版本镜像及官方划分文件，镜像与原下载包的逐字节一致性尚未证明；CDCP的数据异常和跨度映射问题保留在原诊断日志中。这些数量只描述该次轻量诊断，不能填入表2-2作为新增正式实验划分。</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26" w:name="v5_126"/>
      <w:bookmarkEnd w:id="126"/>
    </w:p>
    <w:p>
      <w:pPr>
        <w:spacing w:line="380" w:lineRule="exact"/>
      </w:pPr>
      <w:r>
        <w:rPr>
          <w:rFonts w:ascii="Times New Roman" w:hAnsi="Times New Roman" w:eastAsia="Songti SC"/>
          <w:color w:val="000000"/>
          <w:sz w:val="22"/>
        </w:rPr>
        <w:t>轻量诊断用于检查候选恢复与弱评分路线可能出现的信号和失败模式。其结果提示，正式研究需在真实LLM自然错误上重新检验候选可达性和接受可靠性，特别关注弱基线中明显、强基线中可能缩小的恢复空间。它不能替代强对照，也不能直接给出新方法的预期增量。</w:t>
      </w:r>
    </w:p>
    <w:p>
      <w:pPr>
        <w:spacing w:line="380" w:lineRule="exact"/>
      </w:pPr>
      <w:r>
        <w:rPr>
          <w:rFonts w:ascii="Times New Roman" w:hAnsi="Times New Roman" w:eastAsia="Songti SC"/>
          <w:color w:val="000000"/>
          <w:sz w:val="22"/>
        </w:rPr>
        <w:t>参考工程可用于实现和测试，但软件可运行、形式性质成立、实验有效是不同判断。诊断记录只能支持其实际覆盖的流程与对象，方法效果仍需由相应任务上的独立实验确定。</w:t>
      </w:r>
    </w:p>
    <w:p>
      <w:pPr>
        <w:pStyle w:val="Heading2"/>
      </w:pPr>
      <w:r>
        <w:t>D.4 本版构造验证及复算入口</w:t>
      </w:r>
      <w:bookmarkStart w:id="127" w:name="v5_127"/>
      <w:bookmarkEnd w:id="127"/>
    </w:p>
    <w:p>
      <w:pPr>
        <w:spacing w:line="380" w:lineRule="exact"/>
      </w:pPr>
      <w:r>
        <w:rPr>
          <w:rFonts w:ascii="Times New Roman" w:hAnsi="Times New Roman" w:eastAsia="Songti SC"/>
          <w:color w:val="000000"/>
          <w:sz w:val="22"/>
        </w:rPr>
        <w:t>2026年10月9日本版运行独立参考程序validate_mechanisms.py，结果写入mechanism_results.json，共19项检查通过。材料位于论文同级目录的_revision_1009_v1；程序只使用Python标准库，不调用模型或加载语料，不修改旧实验工程。结果文件内记录程序SHA-256，交付清单记录配置与正文哈希。重复运行覆盖该结果文件但不覆盖旧稿。</w:t>
      </w:r>
    </w:p>
    <w:p>
      <w:pPr>
        <w:spacing w:line="380" w:lineRule="exact"/>
      </w:pPr>
      <w:r>
        <w:rPr>
          <w:rFonts w:ascii="Times New Roman" w:hAnsi="Times New Roman" w:eastAsia="Songti SC"/>
          <w:color w:val="000000"/>
          <w:sz w:val="22"/>
        </w:rPr>
        <w:t>检查包括中心确定性、空集与回退、长金标超边、区域预算、字符输运、四类因素、逐源权重、候选保护、类别轮转、两两冲突、非接触新合法槽位、失效旧超边扩域、顺序与联合决策、第二阶段失败、Oracle包含关系、精确最优值、累计与净成本、重复与空预测评价及micro目标反例。通过表示这些有限输入满足断言，不表示覆盖完整系统，也不等于单元测试覆盖率100%。</w:t>
      </w:r>
    </w:p>
    <w:p>
      <w:pPr>
        <w:spacing w:line="380" w:lineRule="exact"/>
      </w:pPr>
      <w:r>
        <w:rPr>
          <w:rFonts w:ascii="Times New Roman" w:hAnsi="Times New Roman" w:eastAsia="Songti SC"/>
          <w:color w:val="000000"/>
          <w:sz w:val="22"/>
        </w:rPr>
        <w:t>参考程序使用半开字符区间；小图的三个关系对象和全部组件子集完整枚举得到30个合法图。编辑预算排除其中一个图，净预算集合为29；最多三事务也达到29，一事务仅7。初始及一步的最佳关系计数为TP=1、FP=0、FN=1；多步与全局为TP=2、FP=0、FN=0。相应66.67及100.00由原始计数重算，金标和评分均为公开构造输入。这些不是AAEC、CDCP实验值。</w:t>
      </w:r>
    </w:p>
    <w:p>
      <w:pPr>
        <w:pStyle w:val="Heading2"/>
      </w:pPr>
      <w:r>
        <w:t>D.5 micro优化的计数反例</w:t>
      </w:r>
      <w:bookmarkStart w:id="128" w:name="v5_128"/>
      <w:bookmarkEnd w:id="128"/>
    </w:p>
    <w:p>
      <w:pPr>
        <w:spacing w:line="380" w:lineRule="exact"/>
      </w:pPr>
      <w:r>
        <w:rPr>
          <w:rFonts w:ascii="Times New Roman" w:hAnsi="Times New Roman" w:eastAsia="Songti SC"/>
          <w:color w:val="000000"/>
          <w:sz w:val="22"/>
        </w:rPr>
        <w:t>两个构造文档的金标关系数分别为1000和10。文档A的可行计数为(1,0,999)或(0,0,1000)，文档B为(1,0,9)或(9,81,1)，括号依次为TP、FP、FN。A的逐文档最优选第一项，B亦选第一项，因为18.1818高于18.0000；两者汇总后micro-F1为0.3953。若对整个计数集合优化，A仍选第一项而B选第二项，汇总micro-F1为1.8165。参考程序穷举四种组合核实该差别。</w:t>
      </w:r>
    </w:p>
    <w:p>
      <w:pPr>
        <w:spacing w:line="380" w:lineRule="exact"/>
      </w:pPr>
      <w:r>
        <w:rPr>
          <w:rFonts w:ascii="Times New Roman" w:hAnsi="Times New Roman" w:eastAsia="Songti SC"/>
          <w:color w:val="000000"/>
          <w:sz w:val="22"/>
        </w:rPr>
        <w:t>该反例证明逐文档最优不是语料micro最优的充分条件，不证明上述错误分布存在于目标语料，也不说明应在实际输出中使用金标。它仅用于确定Oracle实现必须优化共同计数目标。</w:t>
      </w:r>
    </w:p>
    <w:p>
      <w:pPr>
        <w:pStyle w:val="Heading1"/>
      </w:pPr>
      <w:r>
        <w:t>附录E 前期数值与协议存档</w:t>
      </w:r>
      <w:bookmarkStart w:id="129" w:name="v5_129"/>
      <w:bookmarkEnd w:id="129"/>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30" w:name="v5_130"/>
      <w:bookmarkEnd w:id="130"/>
    </w:p>
    <w:p>
      <w:pPr>
        <w:pStyle w:val="TableCaption"/>
        <w:spacing w:line="380" w:lineRule="exact"/>
      </w:pPr>
      <w:r>
        <w:rPr>
          <w:rFonts w:ascii="Times New Roman" w:hAnsi="Times New Roman" w:eastAsia="Songti SC"/>
          <w:color w:val="000000"/>
          <w:sz w:val="21"/>
        </w:rPr>
        <w:t>表E-1 AAEC组件分类别旧稿记录</w:t>
      </w:r>
      <w:bookmarkStart w:id="170" w:name="v5_170"/>
      <w:bookmarkEnd w:id="17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31" w:name="v5_131"/>
      <w:bookmarkEnd w:id="131"/>
    </w:p>
    <w:p>
      <w:pPr>
        <w:pStyle w:val="TableCaption"/>
        <w:spacing w:line="380" w:lineRule="exact"/>
      </w:pPr>
      <w:r>
        <w:rPr>
          <w:rFonts w:ascii="Times New Roman" w:hAnsi="Times New Roman" w:eastAsia="Songti SC"/>
          <w:color w:val="000000"/>
          <w:sz w:val="21"/>
        </w:rPr>
        <w:t>表E-2 ICIC原版AAEC域内结果记录</w:t>
      </w:r>
      <w:bookmarkStart w:id="171" w:name="v5_171"/>
      <w:bookmarkEnd w:id="17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32" w:name="v5_132"/>
      <w:bookmarkEnd w:id="132"/>
    </w:p>
    <w:p>
      <w:pPr>
        <w:pStyle w:val="TableCaption"/>
        <w:spacing w:line="380" w:lineRule="exact"/>
      </w:pPr>
      <w:r>
        <w:rPr>
          <w:rFonts w:ascii="Times New Roman" w:hAnsi="Times New Roman" w:eastAsia="Songti SC"/>
          <w:color w:val="000000"/>
          <w:sz w:val="21"/>
        </w:rPr>
        <w:t>表E-3 ICIC原版CDCP域内结果记录</w:t>
      </w:r>
      <w:bookmarkStart w:id="172" w:name="v5_172"/>
      <w:bookmarkEnd w:id="17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33" w:name="v5_133"/>
      <w:bookmarkEnd w:id="133"/>
    </w:p>
    <w:p>
      <w:pPr>
        <w:pStyle w:val="TableCaption"/>
        <w:spacing w:line="380" w:lineRule="exact"/>
      </w:pPr>
      <w:r>
        <w:rPr>
          <w:rFonts w:ascii="Times New Roman" w:hAnsi="Times New Roman" w:eastAsia="Songti SC"/>
          <w:color w:val="000000"/>
          <w:sz w:val="21"/>
        </w:rPr>
        <w:t>表E-4 ICIC原版模块消融记录</w:t>
      </w:r>
      <w:bookmarkStart w:id="173" w:name="v5_173"/>
      <w:bookmarkEnd w:id="17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34" w:name="v5_134"/>
      <w:bookmarkEnd w:id="134"/>
    </w:p>
    <w:p>
      <w:pPr>
        <w:pStyle w:val="TableCaption"/>
        <w:spacing w:line="380" w:lineRule="exact"/>
      </w:pPr>
      <w:r>
        <w:rPr>
          <w:rFonts w:ascii="Times New Roman" w:hAnsi="Times New Roman" w:eastAsia="Songti SC"/>
          <w:color w:val="000000"/>
          <w:sz w:val="21"/>
        </w:rPr>
        <w:t>表E-5 ICIC原版验证器替换记录</w:t>
      </w:r>
      <w:bookmarkStart w:id="174" w:name="v5_174"/>
      <w:bookmarkEnd w:id="17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35" w:name="v5_135"/>
      <w:bookmarkEnd w:id="135"/>
    </w:p>
    <w:p>
      <w:pPr>
        <w:pStyle w:val="TableCaption"/>
        <w:spacing w:line="380" w:lineRule="exact"/>
      </w:pPr>
      <w:r>
        <w:rPr>
          <w:rFonts w:ascii="Times New Roman" w:hAnsi="Times New Roman" w:eastAsia="Songti SC"/>
          <w:color w:val="000000"/>
          <w:sz w:val="21"/>
        </w:rPr>
        <w:t>表E-6 ICIC原版Oracle记录</w:t>
      </w:r>
      <w:bookmarkStart w:id="175" w:name="v5_175"/>
      <w:bookmarkEnd w:id="17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36" w:name="v5_136"/>
      <w:bookmarkEnd w:id="136"/>
    </w:p>
    <w:p>
      <w:pPr>
        <w:pStyle w:val="TableCaption"/>
        <w:spacing w:line="380" w:lineRule="exact"/>
      </w:pPr>
      <w:r>
        <w:rPr>
          <w:rFonts w:ascii="Times New Roman" w:hAnsi="Times New Roman" w:eastAsia="Songti SC"/>
          <w:color w:val="000000"/>
          <w:sz w:val="21"/>
        </w:rPr>
        <w:t>表E-7 ICIC原版修正行为记录</w:t>
      </w:r>
      <w:bookmarkStart w:id="176" w:name="v5_176"/>
      <w:bookmarkEnd w:id="17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37" w:name="v5_137"/>
      <w:bookmarkEnd w:id="137"/>
    </w:p>
    <w:p>
      <w:pPr>
        <w:pStyle w:val="TableCaption"/>
        <w:spacing w:line="380" w:lineRule="exact"/>
      </w:pPr>
      <w:r>
        <w:rPr>
          <w:rFonts w:ascii="Times New Roman" w:hAnsi="Times New Roman" w:eastAsia="Songti SC"/>
          <w:color w:val="000000"/>
          <w:sz w:val="21"/>
        </w:rPr>
        <w:t>表E-8 前期粗粒度组件映射</w:t>
      </w:r>
      <w:bookmarkStart w:id="177" w:name="v5_177"/>
      <w:bookmarkEnd w:id="17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38" w:name="v5_138"/>
      <w:bookmarkEnd w:id="138"/>
    </w:p>
    <w:p>
      <w:pPr>
        <w:pStyle w:val="TableCaption"/>
        <w:spacing w:line="380" w:lineRule="exact"/>
      </w:pPr>
      <w:r>
        <w:rPr>
          <w:rFonts w:ascii="Times New Roman" w:hAnsi="Times New Roman" w:eastAsia="Songti SC"/>
          <w:color w:val="000000"/>
          <w:sz w:val="21"/>
        </w:rPr>
        <w:t>表E-9 ICIC原版AAEC到CDCP迁移记录</w:t>
      </w:r>
      <w:bookmarkStart w:id="178" w:name="v5_178"/>
      <w:bookmarkEnd w:id="17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39" w:name="v5_139"/>
      <w:bookmarkEnd w:id="139"/>
    </w:p>
    <w:p>
      <w:pPr>
        <w:pStyle w:val="Heading2"/>
      </w:pPr>
      <w:r>
        <w:t>F.1 核心术语与符号</w:t>
      </w:r>
      <w:bookmarkStart w:id="140" w:name="v5_140"/>
      <w:bookmarkEnd w:id="140"/>
    </w:p>
    <w:p>
      <w:pPr>
        <w:spacing w:line="380" w:lineRule="exact"/>
      </w:pPr>
      <w:r>
        <w:rPr>
          <w:rFonts w:ascii="Times New Roman" w:hAnsi="Times New Roman" w:eastAsia="Songti SC"/>
          <w:color w:val="000000"/>
          <w:sz w:val="22"/>
        </w:rPr>
        <w:t>表F-1汇总方法中的对象及其局部作用域。本文保留各章公式的既有符号，但在首次定义和跨章节叙述中使用“输入文档”“改写集合”“变化对象集合”和“关系候选池”等完整名称。评价量使用Precision和Recall，与图对象集合分开命名。本版正文不再保留预期性能占位数值，构造验证以其输入身份标注。</w:t>
      </w:r>
    </w:p>
    <w:p>
      <w:pPr>
        <w:pStyle w:val="TableCaption"/>
        <w:spacing w:line="380" w:lineRule="exact"/>
      </w:pPr>
      <w:r>
        <w:rPr>
          <w:rFonts w:ascii="Times New Roman" w:hAnsi="Times New Roman" w:eastAsia="Songti SC"/>
          <w:color w:val="000000"/>
          <w:sz w:val="21"/>
        </w:rPr>
        <w:t>表F-1 核心符号及其语义</w:t>
      </w:r>
      <w:bookmarkStart w:id="179" w:name="v5_179"/>
      <w:bookmarkEnd w:id="17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P</m:t>
              </m:r>
              <m:r>
                <m:t xml:space="preserve">,</m:t>
              </m:r>
              <m:r>
                <m:t xml:space="preserve">R</m:t>
              </m:r>
              <m:r>
                <m:t xml:space="preserve">,</m:t>
              </m:r>
              <m:sSub>
                <m:e>
                  <m:r>
                    <m:t xml:space="preserve">F</m:t>
                  </m:r>
                </m:e>
                <m:sub>
                  <m:r>
                    <m:t xml:space="preserve">1</m:t>
                  </m:r>
                </m:sub>
              </m:sSub>
            </m:oMath>
            <w:r>
              <w:rPr>
                <w:rFonts w:ascii="Times New Roman" w:hAnsi="Times New Roman" w:eastAsia="Songti SC"/>
                <w:color w:val="000000"/>
                <w:sz w:val="21"/>
              </w:rPr>
              <w:t xml:space="preserve"> 评价指标</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精确率、召回率和F1</w:t>
            </w:r>
          </w:p>
        </w:tc>
        <w:tc>
          <w:tcPr>
            <w:tcW w:type="dxa" w:w="391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只在评价公式中作指标解释；正文优先使用Precision和Recall</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构造验证</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人工定义对象与分数上的真实程序执行</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只验证规约，不是语料实验、模型预测或人工审计</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不同于给定金标跨度的训练标签概率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41" w:name="v5_141"/>
      <w:bookmarkEnd w:id="141"/>
    </w:p>
    <w:p>
      <w:pPr>
        <w:spacing w:line="380" w:lineRule="exact"/>
      </w:pPr>
      <w:r>
        <w:rPr>
          <w:rFonts w:ascii="Times New Roman" w:hAnsi="Times New Roman" w:eastAsia="Songti SC"/>
          <w:color w:val="000000"/>
          <w:sz w:val="22"/>
        </w:rPr>
        <w:t xml:space="preserve">标注输运按原字符区间替换指定槽位，回填全文后重新分词并更新全部组件位置。字符坐标、评价token和模型子词分别保存映射。构造第三章的组件子词集合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sz w:val="22"/>
        </w:rPr>
        <w:t xml:space="preserve"> 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spacing w:line="380" w:lineRule="exact"/>
      </w:pPr>
      <w:r>
        <w:rPr>
          <w:rFonts w:ascii="Times New Roman" w:hAnsi="Times New Roman" w:eastAsia="Songti SC"/>
          <w:color w:val="000000"/>
          <w:sz w:val="22"/>
        </w:rPr>
        <w:t>训练辅助头只读取回答开始前的输入表示，</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sz w:val="22"/>
        </w:rPr>
        <w:t xml:space="preserve"> 取全文输入结束处的隐藏状态，不取金标回答末尾。金标跨度用于定位监督，待预测的组件类型与关系标签不作为辅助头输入。梯度检查单独反传成对对齐项，确认至少一个共享生成参数具有非零梯度，隐藏状态未被分离，表示中不包含金标回答。输入阶段结论专项门控关闭，对齐项不直接训练该分支；专项分支由生成损失更新。开发评价和测试时移除辅助头，推理评分器另按第四章定义。</w:t>
      </w:r>
    </w:p>
    <w:p>
      <w:pPr>
        <w:spacing w:line="380" w:lineRule="exact"/>
      </w:pPr>
      <w:r>
        <w:rPr>
          <w:rFonts w:ascii="Times New Roman" w:hAnsi="Times New Roman" w:eastAsia="Songti SC"/>
          <w:color w:val="000000"/>
          <w:sz w:val="22"/>
        </w:rPr>
        <w:t>推理侧的冲突闭合与关系依赖域遵循4.3节，队列采用状态键、六类轮转及独立批长，预算、提交及回退遵循4.5.2节；顺序对照按4.6.1执行两个真实提交阶段。Oracle遵循4.6.3的松弛集合，不能调用预测效用ILP替代金标目标优化。模块接口分别为SelectRegion、BuildCandidates、EnumerateQueue、ScoreObject、EvaluateTransaction、Commit和EvaluateCounts；输入输出及错误身份由附录A、B约束。</w:t>
      </w:r>
    </w:p>
    <w:p>
      <w:pPr>
        <w:pStyle w:val="Heading2"/>
      </w:pPr>
      <w:r>
        <w:t>F.3 研究问题阅读索引</w:t>
      </w:r>
      <w:bookmarkStart w:id="142" w:name="v5_142"/>
      <w:bookmarkEnd w:id="142"/>
    </w:p>
    <w:p>
      <w:pPr>
        <w:spacing w:line="380" w:lineRule="exact"/>
      </w:pPr>
      <w:r>
        <w:rPr>
          <w:rFonts w:ascii="Times New Roman" w:hAnsi="Times New Roman" w:eastAsia="Songti SC"/>
          <w:color w:val="000000"/>
          <w:sz w:val="22"/>
        </w:rPr>
        <w:t>表F-2将概念、方法和验证位置对应起来，便于连续阅读和交叉回查。该索引只说明正文组织，不表示尚待接入的正式实验已经完成。</w:t>
      </w:r>
    </w:p>
    <w:p>
      <w:pPr>
        <w:pStyle w:val="TableCaption"/>
        <w:spacing w:line="380" w:lineRule="exact"/>
      </w:pPr>
      <w:r>
        <w:rPr>
          <w:rFonts w:ascii="Times New Roman" w:hAnsi="Times New Roman" w:eastAsia="Songti SC"/>
          <w:color w:val="000000"/>
          <w:sz w:val="21"/>
        </w:rPr>
        <w:t>表F-2 方法与实验的阅读索引</w:t>
      </w:r>
      <w:bookmarkStart w:id="180" w:name="v5_180"/>
      <w:bookmarkEnd w:id="18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3.6.1同数据对照；3.6.3证据边界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4.3、4.4.5及图4-1</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4.6同候选同评分比较；附录B案例记录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5.1至5.3四格身份与证据边界</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5.4及附录E.8至E.9</w:t>
            </w:r>
          </w:p>
        </w:tc>
      </w:tr>
    </w:tbl>
    <w:p>
      <w:pPr>
        <w:spacing w:after="0" w:line="240" w:lineRule="auto"/>
      </w:pPr>
    </w:p>
    <w:sectPr>
      <w:headerReference w:type="default" r:id="rId91"/>
      <w:footerReference w:type="default" r:id="rId92"/>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tabs>
        <w:tab w:pos="8902" w:val="right" w:leader="dot"/>
        <w:tab w:pos="8902" w:val="right" w:leader="dot"/>
        <w:tab w:pos="8902" w:val="right" w:leader="dot"/>
        <w:tab w:pos="8902" w:val="right" w:leader="dot"/>
      </w:tabs>
      <w:spacing w:after="60" w:line="320" w:lineRule="exact" w:before="120"/>
      <w:ind w:left="0" w:right="510" w:firstLine="0"/>
    </w:pPr>
    <w:rPr>
      <w:b/>
      <w:color w:val="000000"/>
      <w:sz w:val="22"/>
    </w:rPr>
  </w:style>
  <w:style w:type="paragraph" w:customStyle="1" w:styleId="TOC2">
    <w:name w:val="TOC 2"/>
    <w:basedOn w:val="Normal"/>
    <w:pPr>
      <w:keepNext w:val="0"/>
      <w:tabs>
        <w:tab w:pos="8902" w:val="right" w:leader="dot"/>
        <w:tab w:pos="8902" w:val="right" w:leader="dot"/>
        <w:tab w:pos="8902" w:val="right" w:leader="dot"/>
        <w:tab w:pos="8902" w:val="right" w:leader="dot"/>
      </w:tabs>
      <w:spacing w:after="20" w:line="320" w:lineRule="exact"/>
      <w:ind w:left="283" w:right="510" w:firstLine="0"/>
    </w:pPr>
    <w:rPr>
      <w:b w:val="0"/>
      <w:color w:val="000000"/>
      <w:sz w:val="22"/>
    </w:rPr>
  </w:style>
  <w:style w:type="paragraph" w:customStyle="1" w:styleId="TOC3">
    <w:name w:val="TOC 3"/>
    <w:basedOn w:val="Normal"/>
    <w:pPr>
      <w:keepNext w:val="0"/>
      <w:tabs>
        <w:tab w:pos="8902" w:val="right" w:leader="dot"/>
        <w:tab w:pos="8902" w:val="right" w:leader="dot"/>
        <w:tab w:pos="8902" w:val="right" w:leader="dot"/>
        <w:tab w:pos="8902" w:val="right" w:leader="dot"/>
      </w:tabs>
      <w:spacing w:after="20" w:line="320" w:lineRule="exact"/>
      <w:ind w:left="567" w:right="510" w:firstLine="0"/>
    </w:pPr>
    <w:rPr>
      <w:b w:val="0"/>
      <w:color w:val="000000"/>
      <w:sz w:val="22"/>
    </w:rPr>
  </w:style>
  <w:style w:type="paragraph" w:customStyle="1" w:styleId="FigureList">
    <w:name w:val="Figure List"/>
    <w:basedOn w:val="TOC1"/>
    <w:pPr>
      <w:keepNext w:val="0"/>
      <w:spacing w:before="0"/>
    </w:pPr>
  </w:style>
  <w:style w:type="paragraph" w:customStyle="1" w:styleId="TableList">
    <w:name w:val="Table List"/>
    <w:basedOn w:val="TOC1"/>
    <w:pPr>
      <w:keepNext w:val="0"/>
      <w:spacing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header" Target="header9.xml"/><Relationship Id="rId82" Type="http://schemas.openxmlformats.org/officeDocument/2006/relationships/footer" Target="footer9.xml"/><Relationship Id="rId83" Type="http://schemas.openxmlformats.org/officeDocument/2006/relationships/header" Target="header10.xml"/><Relationship Id="rId84" Type="http://schemas.openxmlformats.org/officeDocument/2006/relationships/footer" Target="footer10.xml"/><Relationship Id="rId85" Type="http://schemas.openxmlformats.org/officeDocument/2006/relationships/header" Target="header11.xml"/><Relationship Id="rId86" Type="http://schemas.openxmlformats.org/officeDocument/2006/relationships/footer" Target="footer11.xml"/><Relationship Id="rId87" Type="http://schemas.openxmlformats.org/officeDocument/2006/relationships/header" Target="header12.xml"/><Relationship Id="rId88" Type="http://schemas.openxmlformats.org/officeDocument/2006/relationships/footer" Target="footer12.xml"/><Relationship Id="rId89" Type="http://schemas.openxmlformats.org/officeDocument/2006/relationships/header" Target="header13.xml"/><Relationship Id="rId90" Type="http://schemas.openxmlformats.org/officeDocument/2006/relationships/footer" Target="footer13.xml"/><Relationship Id="rId91" Type="http://schemas.openxmlformats.org/officeDocument/2006/relationships/header" Target="header14.xml"/><Relationship Id="rId92" Type="http://schemas.openxmlformats.org/officeDocument/2006/relationships/footer" Target="footer14.xml"/><Relationship Id="rId93" Type="http://schemas.openxmlformats.org/officeDocument/2006/relationships/image" Target="media/image11.png"/><Relationship Id="rId9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1009-v1 修订稿　构造验证不替代语料实验</dc:subject>
  <dc:creator>Chen Tang</dc:creator>
  <cp:keywords>关系感知学习 依赖闭合修正 构造验证 语料实证未完成</cp:keywords>
  <dc:description>generated by python-docx</dc:description>
  <cp:lastModifiedBy/>
  <cp:revision>1</cp:revision>
  <dcterms:created xsi:type="dcterms:W3CDTF">2013-12-23T23:15:00Z</dcterms:created>
  <dcterms:modified xsi:type="dcterms:W3CDTF">2013-12-23T23:15:00Z</dcterms:modified>
  <cp:category/>
</cp:coreProperties>
</file>