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1009-v2 修订稿　构造验证不替代语料实验</w:t>
      </w:r>
    </w:p>
    <w:p>
      <w:pPr>
        <w:spacing w:before="300"/>
        <w:ind w:firstLine="0"/>
        <w:jc w:val="center"/>
      </w:pPr>
      <w:r>
        <w:rPr>
          <w:rFonts w:ascii="Times New Roman" w:hAnsi="Times New Roman" w:eastAsia="Songti SC"/>
          <w:color w:val="000000"/>
        </w:rPr>
        <w:t>2026年10月</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6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文以AAEC与CDCP为目标验证语料，保留CDCP原生多前提关系，并明确中心策略、冻结候选、状态队列、分步提交与Oracle的适用范围。有限构造输入显示，组件变化后的新合法关系可能需要后续事务，分步提交也可能降低总代理效用；带坐标的拆合与预算账本进一步限定了动作和失败路径。这些执行材料用于检查方法规约及其边界，不提供语料效果证据。新增训练收益、联合修正净增量及两阶段互补性仍缺少正式多种子实验支持，本文不据构造数据给出相关效果结论。</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6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target evaluation corpora are AAEC and CDCP, with CDCP multi-premise relations retained as native hyperedges. The specification defines center policies, frozen candidates, state-specific queues, sequential commits, and oracle scope. Finite constructed inputs show that a newly legal relation may require a later transaction and that sequential commits can reduce total surrogate utility. Coordinate-based split and merge fixtures and budget ledgers further delimit actions and failure paths. These execution records check the specification and its boundaries; they do not establish corpus performance. Training gains, the incremental benefit of joint repair, and interaction between the two stages remain unsupported by completed multi-seed corpus experiments.</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6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6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6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6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6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6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6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6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6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6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6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6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6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6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6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6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6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6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6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6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6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6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6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6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6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6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6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6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6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6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6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17</w:t>
        </w:r>
      </w:hyperlink>
    </w:p>
    <w:p>
      <w:pPr>
        <w:pStyle w:val="TOC2"/>
      </w:pPr>
      <w:hyperlink w:anchor="v6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6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18</w:t>
        </w:r>
      </w:hyperlink>
    </w:p>
    <w:p>
      <w:pPr>
        <w:pStyle w:val="TOC3"/>
      </w:pPr>
      <w:hyperlink w:anchor="v6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18</w:t>
        </w:r>
      </w:hyperlink>
    </w:p>
    <w:p>
      <w:pPr>
        <w:pStyle w:val="TOC3"/>
      </w:pPr>
      <w:hyperlink w:anchor="v6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6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19</w:t>
        </w:r>
      </w:hyperlink>
    </w:p>
    <w:p>
      <w:pPr>
        <w:pStyle w:val="TOC3"/>
      </w:pPr>
      <w:hyperlink w:anchor="v6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19</w:t>
        </w:r>
      </w:hyperlink>
    </w:p>
    <w:p>
      <w:pPr>
        <w:pStyle w:val="TOC3"/>
      </w:pPr>
      <w:hyperlink w:anchor="v6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6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22</w:t>
        </w:r>
      </w:hyperlink>
    </w:p>
    <w:p>
      <w:pPr>
        <w:pStyle w:val="TOC2"/>
      </w:pPr>
      <w:hyperlink w:anchor="v6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23</w:t>
        </w:r>
      </w:hyperlink>
    </w:p>
    <w:p>
      <w:pPr>
        <w:pStyle w:val="TOC3"/>
      </w:pPr>
      <w:hyperlink w:anchor="v6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24</w:t>
        </w:r>
      </w:hyperlink>
    </w:p>
    <w:p>
      <w:pPr>
        <w:pStyle w:val="TOC3"/>
      </w:pPr>
      <w:hyperlink w:anchor="v6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6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6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6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6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6_56" w:history="1">
        <w:r>
          <w:rPr>
            <w:rFonts w:ascii="Times New Roman" w:hAnsi="Times New Roman" w:eastAsia="Songti SC"/>
            <w:color w:val="000000"/>
            <w:sz w:val="22"/>
          </w:rPr>
          <w:t>3.6 验证设计与已有证据</w:t>
        </w:r>
        <w:r>
          <w:rPr>
            <w:rFonts w:ascii="Times New Roman" w:hAnsi="Times New Roman" w:eastAsia="Songti SC"/>
            <w:color w:val="000000"/>
            <w:sz w:val="22"/>
          </w:rPr>
          <w:tab/>
          <w:t>28</w:t>
        </w:r>
      </w:hyperlink>
    </w:p>
    <w:p>
      <w:pPr>
        <w:pStyle w:val="TOC3"/>
      </w:pPr>
      <w:hyperlink w:anchor="v6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6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6_59" w:history="1">
        <w:r>
          <w:rPr>
            <w:rFonts w:ascii="Times New Roman" w:hAnsi="Times New Roman" w:eastAsia="Songti SC"/>
            <w:color w:val="000000"/>
            <w:sz w:val="22"/>
          </w:rPr>
          <w:t>3.6.3 已执行的结构与权重检查</w:t>
        </w:r>
        <w:r>
          <w:rPr>
            <w:rFonts w:ascii="Times New Roman" w:hAnsi="Times New Roman" w:eastAsia="Songti SC"/>
            <w:color w:val="000000"/>
            <w:sz w:val="22"/>
          </w:rPr>
          <w:tab/>
          <w:t>29</w:t>
        </w:r>
      </w:hyperlink>
    </w:p>
    <w:p>
      <w:pPr>
        <w:pStyle w:val="TOC3"/>
      </w:pPr>
      <w:hyperlink w:anchor="v6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30</w:t>
        </w:r>
      </w:hyperlink>
    </w:p>
    <w:p>
      <w:pPr>
        <w:pStyle w:val="TOC3"/>
      </w:pPr>
      <w:hyperlink w:anchor="v6_61" w:history="1">
        <w:r>
          <w:rPr>
            <w:rFonts w:ascii="Times New Roman" w:hAnsi="Times New Roman" w:eastAsia="Songti SC"/>
            <w:color w:val="000000"/>
            <w:sz w:val="22"/>
          </w:rPr>
          <w:t>3.6.5 成本与案例的证据身份</w:t>
        </w:r>
        <w:r>
          <w:rPr>
            <w:rFonts w:ascii="Times New Roman" w:hAnsi="Times New Roman" w:eastAsia="Songti SC"/>
            <w:color w:val="000000"/>
            <w:sz w:val="22"/>
          </w:rPr>
          <w:tab/>
          <w:t>31</w:t>
        </w:r>
      </w:hyperlink>
    </w:p>
    <w:p>
      <w:pPr>
        <w:pStyle w:val="TOC2"/>
      </w:pPr>
      <w:hyperlink w:anchor="v6_62" w:history="1">
        <w:r>
          <w:rPr>
            <w:rFonts w:ascii="Times New Roman" w:hAnsi="Times New Roman" w:eastAsia="Songti SC"/>
            <w:color w:val="000000"/>
            <w:sz w:val="22"/>
          </w:rPr>
          <w:t>3.7 本章小结</w:t>
        </w:r>
        <w:r>
          <w:rPr>
            <w:rFonts w:ascii="Times New Roman" w:hAnsi="Times New Roman" w:eastAsia="Songti SC"/>
            <w:color w:val="000000"/>
            <w:sz w:val="22"/>
          </w:rPr>
          <w:tab/>
          <w:t>31</w:t>
        </w:r>
      </w:hyperlink>
    </w:p>
    <w:p>
      <w:pPr>
        <w:pStyle w:val="TOC1"/>
        <w:keepNext/>
        <w:spacing w:before="120"/>
      </w:pPr>
      <w:hyperlink w:anchor="v6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32</w:t>
        </w:r>
      </w:hyperlink>
    </w:p>
    <w:p>
      <w:pPr>
        <w:pStyle w:val="TOC2"/>
      </w:pPr>
      <w:hyperlink w:anchor="v6_64" w:history="1">
        <w:r>
          <w:rPr>
            <w:rFonts w:ascii="Times New Roman" w:hAnsi="Times New Roman" w:eastAsia="Songti SC"/>
            <w:color w:val="000000"/>
            <w:sz w:val="22"/>
          </w:rPr>
          <w:t>4.1 引言</w:t>
        </w:r>
        <w:r>
          <w:rPr>
            <w:rFonts w:ascii="Times New Roman" w:hAnsi="Times New Roman" w:eastAsia="Songti SC"/>
            <w:color w:val="000000"/>
            <w:sz w:val="22"/>
          </w:rPr>
          <w:tab/>
          <w:t>32</w:t>
        </w:r>
      </w:hyperlink>
    </w:p>
    <w:p>
      <w:pPr>
        <w:pStyle w:val="TOC2"/>
      </w:pPr>
      <w:hyperlink w:anchor="v6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34</w:t>
        </w:r>
      </w:hyperlink>
    </w:p>
    <w:p>
      <w:pPr>
        <w:pStyle w:val="TOC3"/>
      </w:pPr>
      <w:hyperlink w:anchor="v6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34</w:t>
        </w:r>
      </w:hyperlink>
    </w:p>
    <w:p>
      <w:pPr>
        <w:pStyle w:val="TOC3"/>
      </w:pPr>
      <w:hyperlink w:anchor="v6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34</w:t>
        </w:r>
      </w:hyperlink>
    </w:p>
    <w:p>
      <w:pPr>
        <w:pStyle w:val="TOC3"/>
      </w:pPr>
      <w:hyperlink w:anchor="v6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35</w:t>
        </w:r>
      </w:hyperlink>
    </w:p>
    <w:p>
      <w:pPr>
        <w:pStyle w:val="TOC3"/>
      </w:pPr>
      <w:hyperlink w:anchor="v6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36</w:t>
        </w:r>
      </w:hyperlink>
    </w:p>
    <w:p>
      <w:pPr>
        <w:pStyle w:val="TOC2"/>
      </w:pPr>
      <w:hyperlink w:anchor="v6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36</w:t>
        </w:r>
      </w:hyperlink>
    </w:p>
    <w:p>
      <w:pPr>
        <w:pStyle w:val="TOC3"/>
      </w:pPr>
      <w:hyperlink w:anchor="v6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36</w:t>
        </w:r>
      </w:hyperlink>
    </w:p>
    <w:p>
      <w:pPr>
        <w:pStyle w:val="TOC3"/>
      </w:pPr>
      <w:hyperlink w:anchor="v6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37</w:t>
        </w:r>
      </w:hyperlink>
    </w:p>
    <w:p>
      <w:pPr>
        <w:pStyle w:val="TOC2"/>
      </w:pPr>
      <w:hyperlink w:anchor="v6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38</w:t>
        </w:r>
      </w:hyperlink>
    </w:p>
    <w:p>
      <w:pPr>
        <w:pStyle w:val="TOC3"/>
      </w:pPr>
      <w:hyperlink w:anchor="v6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38</w:t>
        </w:r>
      </w:hyperlink>
    </w:p>
    <w:p>
      <w:pPr>
        <w:pStyle w:val="TOC3"/>
      </w:pPr>
      <w:hyperlink w:anchor="v6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39</w:t>
        </w:r>
      </w:hyperlink>
    </w:p>
    <w:p>
      <w:pPr>
        <w:pStyle w:val="TOC3"/>
      </w:pPr>
      <w:hyperlink w:anchor="v6_76" w:history="1">
        <w:r>
          <w:rPr>
            <w:rFonts w:ascii="Times New Roman" w:hAnsi="Times New Roman" w:eastAsia="Songti SC"/>
            <w:color w:val="000000"/>
            <w:sz w:val="22"/>
          </w:rPr>
          <w:t>4.4.3 固定计数效用</w:t>
        </w:r>
        <w:r>
          <w:rPr>
            <w:rFonts w:ascii="Times New Roman" w:hAnsi="Times New Roman" w:eastAsia="Songti SC"/>
            <w:color w:val="000000"/>
            <w:sz w:val="22"/>
          </w:rPr>
          <w:tab/>
          <w:t>39</w:t>
        </w:r>
      </w:hyperlink>
    </w:p>
    <w:p>
      <w:pPr>
        <w:pStyle w:val="TOC3"/>
      </w:pPr>
      <w:hyperlink w:anchor="v6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40</w:t>
        </w:r>
      </w:hyperlink>
    </w:p>
    <w:p>
      <w:pPr>
        <w:pStyle w:val="TOC3"/>
      </w:pPr>
      <w:hyperlink w:anchor="v6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40</w:t>
        </w:r>
      </w:hyperlink>
    </w:p>
    <w:p>
      <w:pPr>
        <w:pStyle w:val="TOC2"/>
      </w:pPr>
      <w:hyperlink w:anchor="v6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41</w:t>
        </w:r>
      </w:hyperlink>
    </w:p>
    <w:p>
      <w:pPr>
        <w:pStyle w:val="TOC3"/>
      </w:pPr>
      <w:hyperlink w:anchor="v6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42</w:t>
        </w:r>
      </w:hyperlink>
    </w:p>
    <w:p>
      <w:pPr>
        <w:pStyle w:val="TOC3"/>
      </w:pPr>
      <w:hyperlink w:anchor="v6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43</w:t>
        </w:r>
      </w:hyperlink>
    </w:p>
    <w:p>
      <w:pPr>
        <w:pStyle w:val="TOC3"/>
      </w:pPr>
      <w:hyperlink w:anchor="v6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45</w:t>
        </w:r>
      </w:hyperlink>
    </w:p>
    <w:p>
      <w:pPr>
        <w:pStyle w:val="TOC3"/>
      </w:pPr>
      <w:hyperlink w:anchor="v6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46</w:t>
        </w:r>
      </w:hyperlink>
    </w:p>
    <w:p>
      <w:pPr>
        <w:pStyle w:val="TOC3"/>
      </w:pPr>
      <w:hyperlink w:anchor="v6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46</w:t>
        </w:r>
      </w:hyperlink>
    </w:p>
    <w:p>
      <w:pPr>
        <w:pStyle w:val="TOC2"/>
      </w:pPr>
      <w:hyperlink w:anchor="v6_85" w:history="1">
        <w:r>
          <w:rPr>
            <w:rFonts w:ascii="Times New Roman" w:hAnsi="Times New Roman" w:eastAsia="Songti SC"/>
            <w:color w:val="000000"/>
            <w:sz w:val="22"/>
          </w:rPr>
          <w:t>4.6 实验与分析</w:t>
        </w:r>
        <w:r>
          <w:rPr>
            <w:rFonts w:ascii="Times New Roman" w:hAnsi="Times New Roman" w:eastAsia="Songti SC"/>
            <w:color w:val="000000"/>
            <w:sz w:val="22"/>
          </w:rPr>
          <w:tab/>
          <w:t>47</w:t>
        </w:r>
      </w:hyperlink>
    </w:p>
    <w:p>
      <w:pPr>
        <w:pStyle w:val="TOC3"/>
      </w:pPr>
      <w:hyperlink w:anchor="v6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47</w:t>
        </w:r>
      </w:hyperlink>
    </w:p>
    <w:p>
      <w:pPr>
        <w:pStyle w:val="TOC3"/>
      </w:pPr>
      <w:hyperlink w:anchor="v6_87" w:history="1">
        <w:r>
          <w:rPr>
            <w:rFonts w:ascii="Times New Roman" w:hAnsi="Times New Roman" w:eastAsia="Songti SC"/>
            <w:color w:val="000000"/>
            <w:sz w:val="22"/>
          </w:rPr>
          <w:t>4.6.2 分步与联合决策的构造验证</w:t>
        </w:r>
        <w:r>
          <w:rPr>
            <w:rFonts w:ascii="Times New Roman" w:hAnsi="Times New Roman" w:eastAsia="Songti SC"/>
            <w:color w:val="000000"/>
            <w:sz w:val="22"/>
          </w:rPr>
          <w:tab/>
          <w:t>50</w:t>
        </w:r>
      </w:hyperlink>
    </w:p>
    <w:p>
      <w:pPr>
        <w:pStyle w:val="TOC3"/>
      </w:pPr>
      <w:hyperlink w:anchor="v6_88" w:history="1">
        <w:r>
          <w:rPr>
            <w:rFonts w:ascii="Times New Roman" w:hAnsi="Times New Roman" w:eastAsia="Songti SC"/>
            <w:color w:val="000000"/>
            <w:sz w:val="22"/>
          </w:rPr>
          <w:t>4.6.3 候选覆盖与松弛Oracle</w:t>
        </w:r>
        <w:r>
          <w:rPr>
            <w:rFonts w:ascii="Times New Roman" w:hAnsi="Times New Roman" w:eastAsia="Songti SC"/>
            <w:color w:val="000000"/>
            <w:sz w:val="22"/>
          </w:rPr>
          <w:tab/>
          <w:t>51</w:t>
        </w:r>
      </w:hyperlink>
    </w:p>
    <w:p>
      <w:pPr>
        <w:pStyle w:val="TOC3"/>
      </w:pPr>
      <w:hyperlink w:anchor="v6_89" w:history="1">
        <w:r>
          <w:rPr>
            <w:rFonts w:ascii="Times New Roman" w:hAnsi="Times New Roman" w:eastAsia="Songti SC"/>
            <w:color w:val="000000"/>
            <w:sz w:val="22"/>
          </w:rPr>
          <w:t>4.6.4 完整对象评分及接受后可靠性</w:t>
        </w:r>
        <w:r>
          <w:rPr>
            <w:rFonts w:ascii="Times New Roman" w:hAnsi="Times New Roman" w:eastAsia="Songti SC"/>
            <w:color w:val="000000"/>
            <w:sz w:val="22"/>
          </w:rPr>
          <w:tab/>
          <w:t>52</w:t>
        </w:r>
      </w:hyperlink>
    </w:p>
    <w:p>
      <w:pPr>
        <w:pStyle w:val="TOC3"/>
      </w:pPr>
      <w:hyperlink w:anchor="v6_90" w:history="1">
        <w:r>
          <w:rPr>
            <w:rFonts w:ascii="Times New Roman" w:hAnsi="Times New Roman" w:eastAsia="Songti SC"/>
            <w:color w:val="000000"/>
            <w:sz w:val="22"/>
          </w:rPr>
          <w:t>4.6.5 风险、资源与求解状态</w:t>
        </w:r>
        <w:r>
          <w:rPr>
            <w:rFonts w:ascii="Times New Roman" w:hAnsi="Times New Roman" w:eastAsia="Songti SC"/>
            <w:color w:val="000000"/>
            <w:sz w:val="22"/>
          </w:rPr>
          <w:tab/>
          <w:t>53</w:t>
        </w:r>
      </w:hyperlink>
    </w:p>
    <w:p>
      <w:pPr>
        <w:pStyle w:val="TOC3"/>
      </w:pPr>
      <w:hyperlink w:anchor="v6_91" w:history="1">
        <w:r>
          <w:rPr>
            <w:rFonts w:ascii="Times New Roman" w:hAnsi="Times New Roman" w:eastAsia="Songti SC"/>
            <w:color w:val="000000"/>
            <w:sz w:val="22"/>
          </w:rPr>
          <w:t>4.6.6 案例身份与解释范围</w:t>
        </w:r>
        <w:r>
          <w:rPr>
            <w:rFonts w:ascii="Times New Roman" w:hAnsi="Times New Roman" w:eastAsia="Songti SC"/>
            <w:color w:val="000000"/>
            <w:sz w:val="22"/>
          </w:rPr>
          <w:tab/>
          <w:t>54</w:t>
        </w:r>
      </w:hyperlink>
    </w:p>
    <w:p>
      <w:pPr>
        <w:pStyle w:val="TOC2"/>
      </w:pPr>
      <w:hyperlink w:anchor="v6_92" w:history="1">
        <w:r>
          <w:rPr>
            <w:rFonts w:ascii="Times New Roman" w:hAnsi="Times New Roman" w:eastAsia="Songti SC"/>
            <w:color w:val="000000"/>
            <w:sz w:val="22"/>
          </w:rPr>
          <w:t>4.7 本章小结</w:t>
        </w:r>
        <w:r>
          <w:rPr>
            <w:rFonts w:ascii="Times New Roman" w:hAnsi="Times New Roman" w:eastAsia="Songti SC"/>
            <w:color w:val="000000"/>
            <w:sz w:val="22"/>
          </w:rPr>
          <w:tab/>
          <w:t>54</w:t>
        </w:r>
      </w:hyperlink>
    </w:p>
    <w:p>
      <w:pPr>
        <w:pStyle w:val="TOC1"/>
        <w:keepNext/>
        <w:spacing w:before="120"/>
      </w:pPr>
      <w:hyperlink w:anchor="v6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55</w:t>
        </w:r>
      </w:hyperlink>
    </w:p>
    <w:p>
      <w:pPr>
        <w:pStyle w:val="TOC2"/>
      </w:pPr>
      <w:hyperlink w:anchor="v6_94" w:history="1">
        <w:r>
          <w:rPr>
            <w:rFonts w:ascii="Times New Roman" w:hAnsi="Times New Roman" w:eastAsia="Songti SC"/>
            <w:color w:val="000000"/>
            <w:sz w:val="22"/>
          </w:rPr>
          <w:t>5.1 两阶段组合及可比条件</w:t>
        </w:r>
        <w:r>
          <w:rPr>
            <w:rFonts w:ascii="Times New Roman" w:hAnsi="Times New Roman" w:eastAsia="Songti SC"/>
            <w:color w:val="000000"/>
            <w:sz w:val="22"/>
          </w:rPr>
          <w:tab/>
          <w:t>55</w:t>
        </w:r>
      </w:hyperlink>
    </w:p>
    <w:p>
      <w:pPr>
        <w:pStyle w:val="TOC2"/>
      </w:pPr>
      <w:hyperlink w:anchor="v6_95" w:history="1">
        <w:r>
          <w:rPr>
            <w:rFonts w:ascii="Times New Roman" w:hAnsi="Times New Roman" w:eastAsia="Songti SC"/>
            <w:color w:val="000000"/>
            <w:sz w:val="22"/>
          </w:rPr>
          <w:t>5.2 当前证据与两阶段归因</w:t>
        </w:r>
        <w:r>
          <w:rPr>
            <w:rFonts w:ascii="Times New Roman" w:hAnsi="Times New Roman" w:eastAsia="Songti SC"/>
            <w:color w:val="000000"/>
            <w:sz w:val="22"/>
          </w:rPr>
          <w:tab/>
          <w:t>55</w:t>
        </w:r>
      </w:hyperlink>
    </w:p>
    <w:p>
      <w:pPr>
        <w:pStyle w:val="TOC3"/>
      </w:pPr>
      <w:hyperlink w:anchor="v6_96" w:history="1">
        <w:r>
          <w:rPr>
            <w:rFonts w:ascii="Times New Roman" w:hAnsi="Times New Roman" w:eastAsia="Songti SC"/>
            <w:color w:val="000000"/>
            <w:sz w:val="22"/>
          </w:rPr>
          <w:t>5.2.1 四格结果的身份约束</w:t>
        </w:r>
        <w:r>
          <w:rPr>
            <w:rFonts w:ascii="Times New Roman" w:hAnsi="Times New Roman" w:eastAsia="Songti SC"/>
            <w:color w:val="000000"/>
            <w:sz w:val="22"/>
          </w:rPr>
          <w:tab/>
          <w:t>55</w:t>
        </w:r>
      </w:hyperlink>
    </w:p>
    <w:p>
      <w:pPr>
        <w:pStyle w:val="TOC3"/>
      </w:pPr>
      <w:hyperlink w:anchor="v6_97" w:history="1">
        <w:r>
          <w:rPr>
            <w:rFonts w:ascii="Times New Roman" w:hAnsi="Times New Roman" w:eastAsia="Songti SC"/>
            <w:color w:val="000000"/>
            <w:sz w:val="22"/>
          </w:rPr>
          <w:t>5.2.2 错误变化与恢复空间的分析口径</w:t>
        </w:r>
        <w:r>
          <w:rPr>
            <w:rFonts w:ascii="Times New Roman" w:hAnsi="Times New Roman" w:eastAsia="Songti SC"/>
            <w:color w:val="000000"/>
            <w:sz w:val="22"/>
          </w:rPr>
          <w:tab/>
          <w:t>56</w:t>
        </w:r>
      </w:hyperlink>
    </w:p>
    <w:p>
      <w:pPr>
        <w:pStyle w:val="TOC2"/>
      </w:pPr>
      <w:hyperlink w:anchor="v6_98" w:history="1">
        <w:r>
          <w:rPr>
            <w:rFonts w:ascii="Times New Roman" w:hAnsi="Times New Roman" w:eastAsia="Songti SC"/>
            <w:color w:val="000000"/>
            <w:sz w:val="22"/>
          </w:rPr>
          <w:t>5.3 成本与效果主张的边界</w:t>
        </w:r>
        <w:r>
          <w:rPr>
            <w:rFonts w:ascii="Times New Roman" w:hAnsi="Times New Roman" w:eastAsia="Songti SC"/>
            <w:color w:val="000000"/>
            <w:sz w:val="22"/>
          </w:rPr>
          <w:tab/>
          <w:t>56</w:t>
        </w:r>
      </w:hyperlink>
    </w:p>
    <w:p>
      <w:pPr>
        <w:pStyle w:val="TOC2"/>
      </w:pPr>
      <w:hyperlink w:anchor="v6_99" w:history="1">
        <w:r>
          <w:rPr>
            <w:rFonts w:ascii="Times New Roman" w:hAnsi="Times New Roman" w:eastAsia="Songti SC"/>
            <w:color w:val="000000"/>
            <w:sz w:val="22"/>
          </w:rPr>
          <w:t>5.4 跨语料适用范围</w:t>
        </w:r>
        <w:r>
          <w:rPr>
            <w:rFonts w:ascii="Times New Roman" w:hAnsi="Times New Roman" w:eastAsia="Songti SC"/>
            <w:color w:val="000000"/>
            <w:sz w:val="22"/>
          </w:rPr>
          <w:tab/>
          <w:t>57</w:t>
        </w:r>
      </w:hyperlink>
    </w:p>
    <w:p>
      <w:pPr>
        <w:pStyle w:val="TOC2"/>
      </w:pPr>
      <w:hyperlink w:anchor="v6_100" w:history="1">
        <w:r>
          <w:rPr>
            <w:rFonts w:ascii="Times New Roman" w:hAnsi="Times New Roman" w:eastAsia="Songti SC"/>
            <w:color w:val="000000"/>
            <w:sz w:val="22"/>
          </w:rPr>
          <w:t>5.5 本章小结</w:t>
        </w:r>
        <w:r>
          <w:rPr>
            <w:rFonts w:ascii="Times New Roman" w:hAnsi="Times New Roman" w:eastAsia="Songti SC"/>
            <w:color w:val="000000"/>
            <w:sz w:val="22"/>
          </w:rPr>
          <w:tab/>
          <w:t>57</w:t>
        </w:r>
      </w:hyperlink>
    </w:p>
    <w:p>
      <w:pPr>
        <w:pStyle w:val="TOC1"/>
        <w:keepNext/>
        <w:spacing w:before="120"/>
      </w:pPr>
      <w:hyperlink w:anchor="v6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58</w:t>
        </w:r>
      </w:hyperlink>
    </w:p>
    <w:p>
      <w:pPr>
        <w:pStyle w:val="TOC2"/>
      </w:pPr>
      <w:hyperlink w:anchor="v6_102" w:history="1">
        <w:r>
          <w:rPr>
            <w:rFonts w:ascii="Times New Roman" w:hAnsi="Times New Roman" w:eastAsia="Songti SC"/>
            <w:color w:val="000000"/>
            <w:sz w:val="22"/>
          </w:rPr>
          <w:t>6.1 研究总结</w:t>
        </w:r>
        <w:r>
          <w:rPr>
            <w:rFonts w:ascii="Times New Roman" w:hAnsi="Times New Roman" w:eastAsia="Songti SC"/>
            <w:color w:val="000000"/>
            <w:sz w:val="22"/>
          </w:rPr>
          <w:tab/>
          <w:t>58</w:t>
        </w:r>
      </w:hyperlink>
    </w:p>
    <w:p>
      <w:pPr>
        <w:pStyle w:val="TOC2"/>
      </w:pPr>
      <w:hyperlink w:anchor="v6_103" w:history="1">
        <w:r>
          <w:rPr>
            <w:rFonts w:ascii="Times New Roman" w:hAnsi="Times New Roman" w:eastAsia="Songti SC"/>
            <w:color w:val="000000"/>
            <w:sz w:val="22"/>
          </w:rPr>
          <w:t>6.2 研究局限</w:t>
        </w:r>
        <w:r>
          <w:rPr>
            <w:rFonts w:ascii="Times New Roman" w:hAnsi="Times New Roman" w:eastAsia="Songti SC"/>
            <w:color w:val="000000"/>
            <w:sz w:val="22"/>
          </w:rPr>
          <w:tab/>
          <w:t>58</w:t>
        </w:r>
      </w:hyperlink>
    </w:p>
    <w:p>
      <w:pPr>
        <w:pStyle w:val="TOC2"/>
      </w:pPr>
      <w:hyperlink w:anchor="v6_104" w:history="1">
        <w:r>
          <w:rPr>
            <w:rFonts w:ascii="Times New Roman" w:hAnsi="Times New Roman" w:eastAsia="Songti SC"/>
            <w:color w:val="000000"/>
            <w:sz w:val="22"/>
          </w:rPr>
          <w:t>6.3 后续研究方向</w:t>
        </w:r>
        <w:r>
          <w:rPr>
            <w:rFonts w:ascii="Times New Roman" w:hAnsi="Times New Roman" w:eastAsia="Songti SC"/>
            <w:color w:val="000000"/>
            <w:sz w:val="22"/>
          </w:rPr>
          <w:tab/>
          <w:t>59</w:t>
        </w:r>
      </w:hyperlink>
    </w:p>
    <w:p>
      <w:pPr>
        <w:pStyle w:val="TOC1"/>
        <w:keepNext/>
        <w:spacing w:before="120"/>
      </w:pPr>
      <w:hyperlink w:anchor="v6_105" w:history="1">
        <w:r>
          <w:rPr>
            <w:rFonts w:ascii="Times New Roman" w:hAnsi="Times New Roman" w:eastAsia="Songti SC"/>
            <w:color w:val="000000"/>
            <w:sz w:val="22"/>
          </w:rPr>
          <w:t>参考文献</w:t>
        </w:r>
        <w:r>
          <w:rPr>
            <w:rFonts w:ascii="Times New Roman" w:hAnsi="Times New Roman" w:eastAsia="Songti SC"/>
            <w:color w:val="000000"/>
            <w:sz w:val="22"/>
          </w:rPr>
          <w:tab/>
          <w:t>60</w:t>
        </w:r>
      </w:hyperlink>
    </w:p>
    <w:p>
      <w:pPr>
        <w:pStyle w:val="TOC1"/>
        <w:keepNext/>
        <w:spacing w:before="120"/>
      </w:pPr>
      <w:hyperlink w:anchor="v6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64</w:t>
        </w:r>
      </w:hyperlink>
    </w:p>
    <w:p>
      <w:pPr>
        <w:pStyle w:val="TOC2"/>
      </w:pPr>
      <w:hyperlink w:anchor="v6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64</w:t>
        </w:r>
      </w:hyperlink>
    </w:p>
    <w:p>
      <w:pPr>
        <w:pStyle w:val="TOC2"/>
      </w:pPr>
      <w:hyperlink w:anchor="v6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64</w:t>
        </w:r>
      </w:hyperlink>
    </w:p>
    <w:p>
      <w:pPr>
        <w:pStyle w:val="TOC2"/>
      </w:pPr>
      <w:hyperlink w:anchor="v6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65</w:t>
        </w:r>
      </w:hyperlink>
    </w:p>
    <w:p>
      <w:pPr>
        <w:pStyle w:val="TOC2"/>
      </w:pPr>
      <w:hyperlink w:anchor="v6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65</w:t>
        </w:r>
      </w:hyperlink>
    </w:p>
    <w:p>
      <w:pPr>
        <w:pStyle w:val="TOC2"/>
      </w:pPr>
      <w:hyperlink w:anchor="v6_111" w:history="1">
        <w:r>
          <w:rPr>
            <w:rFonts w:ascii="Times New Roman" w:hAnsi="Times New Roman" w:eastAsia="Songti SC"/>
            <w:color w:val="000000"/>
            <w:sz w:val="22"/>
          </w:rPr>
          <w:t>A.5 结果登记与缺失处理</w:t>
        </w:r>
        <w:r>
          <w:rPr>
            <w:rFonts w:ascii="Times New Roman" w:hAnsi="Times New Roman" w:eastAsia="Songti SC"/>
            <w:color w:val="000000"/>
            <w:sz w:val="22"/>
          </w:rPr>
          <w:tab/>
          <w:t>66</w:t>
        </w:r>
      </w:hyperlink>
    </w:p>
    <w:p>
      <w:pPr>
        <w:pStyle w:val="TOC1"/>
        <w:keepNext/>
        <w:spacing w:before="120"/>
      </w:pPr>
      <w:hyperlink w:anchor="v6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67</w:t>
        </w:r>
      </w:hyperlink>
    </w:p>
    <w:p>
      <w:pPr>
        <w:pStyle w:val="TOC2"/>
      </w:pPr>
      <w:hyperlink w:anchor="v6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67</w:t>
        </w:r>
      </w:hyperlink>
    </w:p>
    <w:p>
      <w:pPr>
        <w:pStyle w:val="TOC2"/>
      </w:pPr>
      <w:hyperlink w:anchor="v6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67</w:t>
        </w:r>
      </w:hyperlink>
    </w:p>
    <w:p>
      <w:pPr>
        <w:pStyle w:val="TOC2"/>
      </w:pPr>
      <w:hyperlink w:anchor="v6_115" w:history="1">
        <w:r>
          <w:rPr>
            <w:rFonts w:ascii="Times New Roman" w:hAnsi="Times New Roman" w:eastAsia="Songti SC"/>
            <w:color w:val="000000"/>
            <w:sz w:val="22"/>
          </w:rPr>
          <w:t>B.3 回退与预算</w:t>
        </w:r>
        <w:r>
          <w:rPr>
            <w:rFonts w:ascii="Times New Roman" w:hAnsi="Times New Roman" w:eastAsia="Songti SC"/>
            <w:color w:val="000000"/>
            <w:sz w:val="22"/>
          </w:rPr>
          <w:tab/>
          <w:t>67</w:t>
        </w:r>
      </w:hyperlink>
    </w:p>
    <w:p>
      <w:pPr>
        <w:pStyle w:val="TOC2"/>
      </w:pPr>
      <w:hyperlink w:anchor="v6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67</w:t>
        </w:r>
      </w:hyperlink>
    </w:p>
    <w:p>
      <w:pPr>
        <w:pStyle w:val="TOC3"/>
      </w:pPr>
      <w:hyperlink w:anchor="v6_117"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67</w:t>
        </w:r>
      </w:hyperlink>
    </w:p>
    <w:p>
      <w:pPr>
        <w:pStyle w:val="TOC3"/>
      </w:pPr>
      <w:hyperlink w:anchor="v6_118" w:history="1">
        <w:r>
          <w:rPr>
            <w:rFonts w:ascii="Times New Roman" w:hAnsi="Times New Roman" w:eastAsia="Songti SC"/>
            <w:color w:val="000000"/>
            <w:sz w:val="22"/>
          </w:rPr>
          <w:t>B.4.2 正式实现的待执行验收</w:t>
        </w:r>
        <w:r>
          <w:rPr>
            <w:rFonts w:ascii="Times New Roman" w:hAnsi="Times New Roman" w:eastAsia="Songti SC"/>
            <w:color w:val="000000"/>
            <w:sz w:val="22"/>
          </w:rPr>
          <w:tab/>
          <w:t>68</w:t>
        </w:r>
      </w:hyperlink>
    </w:p>
    <w:p>
      <w:pPr>
        <w:pStyle w:val="TOC2"/>
      </w:pPr>
      <w:hyperlink w:anchor="v6_119" w:history="1">
        <w:r>
          <w:rPr>
            <w:rFonts w:ascii="Times New Roman" w:hAnsi="Times New Roman" w:eastAsia="Songti SC"/>
            <w:color w:val="000000"/>
            <w:sz w:val="22"/>
          </w:rPr>
          <w:t>B.5 真实案例的统一记录模板</w:t>
        </w:r>
        <w:r>
          <w:rPr>
            <w:rFonts w:ascii="Times New Roman" w:hAnsi="Times New Roman" w:eastAsia="Songti SC"/>
            <w:color w:val="000000"/>
            <w:sz w:val="22"/>
          </w:rPr>
          <w:tab/>
          <w:t>68</w:t>
        </w:r>
      </w:hyperlink>
    </w:p>
    <w:p>
      <w:pPr>
        <w:pStyle w:val="TOC1"/>
        <w:keepNext/>
        <w:spacing w:before="120"/>
      </w:pPr>
      <w:hyperlink w:anchor="v6_120"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69</w:t>
        </w:r>
      </w:hyperlink>
    </w:p>
    <w:p>
      <w:pPr>
        <w:pStyle w:val="TOC2"/>
      </w:pPr>
      <w:hyperlink w:anchor="v6_121" w:history="1">
        <w:r>
          <w:rPr>
            <w:rFonts w:ascii="Times New Roman" w:hAnsi="Times New Roman" w:eastAsia="Songti SC"/>
            <w:color w:val="000000"/>
            <w:sz w:val="22"/>
          </w:rPr>
          <w:t>C.1 前期共同成果</w:t>
        </w:r>
        <w:r>
          <w:rPr>
            <w:rFonts w:ascii="Times New Roman" w:hAnsi="Times New Roman" w:eastAsia="Songti SC"/>
            <w:color w:val="000000"/>
            <w:sz w:val="22"/>
          </w:rPr>
          <w:tab/>
          <w:t>69</w:t>
        </w:r>
      </w:hyperlink>
    </w:p>
    <w:p>
      <w:pPr>
        <w:pStyle w:val="TOC2"/>
      </w:pPr>
      <w:hyperlink w:anchor="v6_122" w:history="1">
        <w:r>
          <w:rPr>
            <w:rFonts w:ascii="Times New Roman" w:hAnsi="Times New Roman" w:eastAsia="Songti SC"/>
            <w:color w:val="000000"/>
            <w:sz w:val="22"/>
          </w:rPr>
          <w:t>C.2 数据与材料可得性</w:t>
        </w:r>
        <w:r>
          <w:rPr>
            <w:rFonts w:ascii="Times New Roman" w:hAnsi="Times New Roman" w:eastAsia="Songti SC"/>
            <w:color w:val="000000"/>
            <w:sz w:val="22"/>
          </w:rPr>
          <w:tab/>
          <w:t>69</w:t>
        </w:r>
      </w:hyperlink>
    </w:p>
    <w:p>
      <w:pPr>
        <w:pStyle w:val="TOC2"/>
      </w:pPr>
      <w:hyperlink w:anchor="v6_123"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69</w:t>
        </w:r>
      </w:hyperlink>
    </w:p>
    <w:p>
      <w:pPr>
        <w:pStyle w:val="TOC2"/>
      </w:pPr>
      <w:hyperlink w:anchor="v6_124" w:history="1">
        <w:r>
          <w:rPr>
            <w:rFonts w:ascii="Times New Roman" w:hAnsi="Times New Roman" w:eastAsia="Songti SC"/>
            <w:color w:val="000000"/>
            <w:sz w:val="22"/>
          </w:rPr>
          <w:t>C.4 资助与利益冲突</w:t>
        </w:r>
        <w:r>
          <w:rPr>
            <w:rFonts w:ascii="Times New Roman" w:hAnsi="Times New Roman" w:eastAsia="Songti SC"/>
            <w:color w:val="000000"/>
            <w:sz w:val="22"/>
          </w:rPr>
          <w:tab/>
          <w:t>69</w:t>
        </w:r>
      </w:hyperlink>
    </w:p>
    <w:p>
      <w:pPr>
        <w:pStyle w:val="TOC1"/>
        <w:keepNext/>
        <w:spacing w:before="120"/>
      </w:pPr>
      <w:hyperlink w:anchor="v6_125"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70</w:t>
        </w:r>
      </w:hyperlink>
    </w:p>
    <w:p>
      <w:pPr>
        <w:pStyle w:val="TOC2"/>
      </w:pPr>
      <w:hyperlink w:anchor="v6_126"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70</w:t>
        </w:r>
      </w:hyperlink>
    </w:p>
    <w:p>
      <w:pPr>
        <w:pStyle w:val="TOC2"/>
      </w:pPr>
      <w:hyperlink w:anchor="v6_127"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70</w:t>
        </w:r>
      </w:hyperlink>
    </w:p>
    <w:p>
      <w:pPr>
        <w:pStyle w:val="TOC2"/>
      </w:pPr>
      <w:hyperlink w:anchor="v6_128"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70</w:t>
        </w:r>
      </w:hyperlink>
    </w:p>
    <w:p>
      <w:pPr>
        <w:pStyle w:val="TOC2"/>
      </w:pPr>
      <w:hyperlink w:anchor="v6_129"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71</w:t>
        </w:r>
      </w:hyperlink>
    </w:p>
    <w:p>
      <w:pPr>
        <w:pStyle w:val="TOC2"/>
      </w:pPr>
      <w:hyperlink w:anchor="v6_130"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71</w:t>
        </w:r>
      </w:hyperlink>
    </w:p>
    <w:p>
      <w:pPr>
        <w:pStyle w:val="TOC2"/>
      </w:pPr>
      <w:hyperlink w:anchor="v6_131" w:history="1">
        <w:r>
          <w:rPr>
            <w:rFonts w:ascii="Times New Roman" w:hAnsi="Times New Roman" w:eastAsia="Songti SC"/>
            <w:color w:val="000000"/>
            <w:sz w:val="22"/>
          </w:rPr>
          <w:t>D.6 本轮接口构造材料</w:t>
        </w:r>
        <w:r>
          <w:rPr>
            <w:rFonts w:ascii="Times New Roman" w:hAnsi="Times New Roman" w:eastAsia="Songti SC"/>
            <w:color w:val="000000"/>
            <w:sz w:val="22"/>
          </w:rPr>
          <w:tab/>
          <w:t>71</w:t>
        </w:r>
      </w:hyperlink>
    </w:p>
    <w:p>
      <w:pPr>
        <w:pStyle w:val="TOC1"/>
        <w:keepNext/>
        <w:spacing w:before="120"/>
      </w:pPr>
      <w:hyperlink w:anchor="v6_132"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73</w:t>
        </w:r>
      </w:hyperlink>
    </w:p>
    <w:p>
      <w:pPr>
        <w:pStyle w:val="TOC2"/>
      </w:pPr>
      <w:hyperlink w:anchor="v6_133"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73</w:t>
        </w:r>
      </w:hyperlink>
    </w:p>
    <w:p>
      <w:pPr>
        <w:pStyle w:val="TOC2"/>
      </w:pPr>
      <w:hyperlink w:anchor="v6_134"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73</w:t>
        </w:r>
      </w:hyperlink>
    </w:p>
    <w:p>
      <w:pPr>
        <w:pStyle w:val="TOC2"/>
      </w:pPr>
      <w:hyperlink w:anchor="v6_135"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74</w:t>
        </w:r>
      </w:hyperlink>
    </w:p>
    <w:p>
      <w:pPr>
        <w:pStyle w:val="TOC2"/>
      </w:pPr>
      <w:hyperlink w:anchor="v6_136"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74</w:t>
        </w:r>
      </w:hyperlink>
    </w:p>
    <w:p>
      <w:pPr>
        <w:pStyle w:val="TOC2"/>
      </w:pPr>
      <w:hyperlink w:anchor="v6_137"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75</w:t>
        </w:r>
      </w:hyperlink>
    </w:p>
    <w:p>
      <w:pPr>
        <w:pStyle w:val="TOC2"/>
      </w:pPr>
      <w:hyperlink w:anchor="v6_138" w:history="1">
        <w:r>
          <w:rPr>
            <w:rFonts w:ascii="Times New Roman" w:hAnsi="Times New Roman" w:eastAsia="Songti SC"/>
            <w:color w:val="000000"/>
            <w:sz w:val="22"/>
          </w:rPr>
          <w:t>E.6 ICIC原版Oracle记录</w:t>
        </w:r>
        <w:r>
          <w:rPr>
            <w:rFonts w:ascii="Times New Roman" w:hAnsi="Times New Roman" w:eastAsia="Songti SC"/>
            <w:color w:val="000000"/>
            <w:sz w:val="22"/>
          </w:rPr>
          <w:tab/>
          <w:t>75</w:t>
        </w:r>
      </w:hyperlink>
    </w:p>
    <w:p>
      <w:pPr>
        <w:pStyle w:val="TOC2"/>
      </w:pPr>
      <w:hyperlink w:anchor="v6_139"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75</w:t>
        </w:r>
      </w:hyperlink>
    </w:p>
    <w:p>
      <w:pPr>
        <w:pStyle w:val="TOC2"/>
      </w:pPr>
      <w:hyperlink w:anchor="v6_140"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76</w:t>
        </w:r>
      </w:hyperlink>
    </w:p>
    <w:p>
      <w:pPr>
        <w:pStyle w:val="TOC2"/>
      </w:pPr>
      <w:hyperlink w:anchor="v6_141"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77</w:t>
        </w:r>
      </w:hyperlink>
    </w:p>
    <w:p>
      <w:pPr>
        <w:pStyle w:val="TOC1"/>
        <w:keepNext/>
        <w:spacing w:before="120"/>
      </w:pPr>
      <w:hyperlink w:anchor="v6_142"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78</w:t>
        </w:r>
      </w:hyperlink>
    </w:p>
    <w:p>
      <w:pPr>
        <w:pStyle w:val="TOC2"/>
      </w:pPr>
      <w:hyperlink w:anchor="v6_143" w:history="1">
        <w:r>
          <w:rPr>
            <w:rFonts w:ascii="Times New Roman" w:hAnsi="Times New Roman" w:eastAsia="Songti SC"/>
            <w:color w:val="000000"/>
            <w:sz w:val="22"/>
          </w:rPr>
          <w:t>F.1 核心术语与符号</w:t>
        </w:r>
        <w:r>
          <w:rPr>
            <w:rFonts w:ascii="Times New Roman" w:hAnsi="Times New Roman" w:eastAsia="Songti SC"/>
            <w:color w:val="000000"/>
            <w:sz w:val="22"/>
          </w:rPr>
          <w:tab/>
          <w:t>78</w:t>
        </w:r>
      </w:hyperlink>
    </w:p>
    <w:p>
      <w:pPr>
        <w:pStyle w:val="TOC2"/>
      </w:pPr>
      <w:hyperlink w:anchor="v6_144" w:history="1">
        <w:r>
          <w:rPr>
            <w:rFonts w:ascii="Times New Roman" w:hAnsi="Times New Roman" w:eastAsia="Songti SC"/>
            <w:color w:val="000000"/>
            <w:sz w:val="22"/>
          </w:rPr>
          <w:t>F.2 实现接口补充</w:t>
        </w:r>
        <w:r>
          <w:rPr>
            <w:rFonts w:ascii="Times New Roman" w:hAnsi="Times New Roman" w:eastAsia="Songti SC"/>
            <w:color w:val="000000"/>
            <w:sz w:val="22"/>
          </w:rPr>
          <w:tab/>
          <w:t>79</w:t>
        </w:r>
      </w:hyperlink>
    </w:p>
    <w:p>
      <w:pPr>
        <w:pStyle w:val="TOC2"/>
      </w:pPr>
      <w:hyperlink w:anchor="v6_145" w:history="1">
        <w:r>
          <w:rPr>
            <w:rFonts w:ascii="Times New Roman" w:hAnsi="Times New Roman" w:eastAsia="Songti SC"/>
            <w:color w:val="000000"/>
            <w:sz w:val="22"/>
          </w:rPr>
          <w:t>F.3 研究问题阅读索引</w:t>
        </w:r>
        <w:r>
          <w:rPr>
            <w:rFonts w:ascii="Times New Roman" w:hAnsi="Times New Roman" w:eastAsia="Songti SC"/>
            <w:color w:val="000000"/>
            <w:sz w:val="22"/>
          </w:rPr>
          <w:tab/>
          <w:t>80</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6_146"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6_148"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6_152"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6_154"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20</w:t>
        </w:r>
      </w:hyperlink>
    </w:p>
    <w:p>
      <w:pPr>
        <w:pStyle w:val="FigureList"/>
      </w:pPr>
      <w:hyperlink w:anchor="v6_155"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23</w:t>
        </w:r>
      </w:hyperlink>
    </w:p>
    <w:p>
      <w:pPr>
        <w:pStyle w:val="FigureList"/>
      </w:pPr>
      <w:hyperlink w:anchor="v6_160"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33</w:t>
        </w:r>
      </w:hyperlink>
    </w:p>
    <w:p>
      <w:pPr>
        <w:pStyle w:val="FigureList"/>
      </w:pPr>
      <w:hyperlink w:anchor="v6_163"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45</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6_147"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6_149"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6_150"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6_151" w:history="1">
        <w:r>
          <w:rPr>
            <w:rFonts w:ascii="Times New Roman" w:hAnsi="Times New Roman" w:eastAsia="Songti SC"/>
            <w:color w:val="000000"/>
            <w:sz w:val="22"/>
          </w:rPr>
          <w:t>表2-2 公共协议与当前材料状态</w:t>
        </w:r>
        <w:r>
          <w:rPr>
            <w:rFonts w:ascii="Times New Roman" w:hAnsi="Times New Roman" w:eastAsia="Songti SC"/>
            <w:color w:val="000000"/>
            <w:sz w:val="22"/>
          </w:rPr>
          <w:tab/>
          <w:t>14</w:t>
        </w:r>
      </w:hyperlink>
    </w:p>
    <w:p>
      <w:pPr>
        <w:pStyle w:val="TableList"/>
      </w:pPr>
      <w:hyperlink w:anchor="v6_153"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6_157"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6_158" w:history="1">
        <w:r>
          <w:rPr>
            <w:rFonts w:ascii="Times New Roman" w:hAnsi="Times New Roman" w:eastAsia="Songti SC"/>
            <w:color w:val="000000"/>
            <w:sz w:val="22"/>
          </w:rPr>
          <w:t>表3-3 构造输入上的训练侧规约检查</w:t>
        </w:r>
        <w:r>
          <w:rPr>
            <w:rFonts w:ascii="Times New Roman" w:hAnsi="Times New Roman" w:eastAsia="Songti SC"/>
            <w:color w:val="000000"/>
            <w:sz w:val="22"/>
          </w:rPr>
          <w:tab/>
          <w:t>30</w:t>
        </w:r>
      </w:hyperlink>
    </w:p>
    <w:p>
      <w:pPr>
        <w:pStyle w:val="TableList"/>
      </w:pPr>
      <w:hyperlink w:anchor="v6_159" w:history="1">
        <w:r>
          <w:rPr>
            <w:rFonts w:ascii="Times New Roman" w:hAnsi="Times New Roman" w:eastAsia="Songti SC"/>
            <w:color w:val="000000"/>
            <w:sz w:val="22"/>
          </w:rPr>
          <w:t>表3-4 当前案例材料及解释范围</w:t>
        </w:r>
        <w:r>
          <w:rPr>
            <w:rFonts w:ascii="Times New Roman" w:hAnsi="Times New Roman" w:eastAsia="Songti SC"/>
            <w:color w:val="000000"/>
            <w:sz w:val="22"/>
          </w:rPr>
          <w:tab/>
          <w:t>31</w:t>
        </w:r>
      </w:hyperlink>
    </w:p>
    <w:p>
      <w:pPr>
        <w:pStyle w:val="TableList"/>
      </w:pPr>
      <w:hyperlink w:anchor="v6_164"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48</w:t>
        </w:r>
      </w:hyperlink>
    </w:p>
    <w:p>
      <w:pPr>
        <w:pStyle w:val="TableList"/>
      </w:pPr>
      <w:hyperlink w:anchor="v6_165"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49</w:t>
        </w:r>
      </w:hyperlink>
    </w:p>
    <w:p>
      <w:pPr>
        <w:pStyle w:val="TableList"/>
      </w:pPr>
      <w:hyperlink w:anchor="v6_166" w:history="1">
        <w:r>
          <w:rPr>
            <w:rFonts w:ascii="Times New Roman" w:hAnsi="Times New Roman" w:eastAsia="Songti SC"/>
            <w:color w:val="000000"/>
            <w:sz w:val="22"/>
          </w:rPr>
          <w:t>表4-3 同一构造提议的真实分步与联合判断</w:t>
        </w:r>
        <w:r>
          <w:rPr>
            <w:rFonts w:ascii="Times New Roman" w:hAnsi="Times New Roman" w:eastAsia="Songti SC"/>
            <w:color w:val="000000"/>
            <w:sz w:val="22"/>
          </w:rPr>
          <w:tab/>
          <w:t>50</w:t>
        </w:r>
      </w:hyperlink>
    </w:p>
    <w:p>
      <w:pPr>
        <w:pStyle w:val="TableList"/>
      </w:pPr>
      <w:hyperlink w:anchor="v6_167" w:history="1">
        <w:r>
          <w:rPr>
            <w:rFonts w:ascii="Times New Roman" w:hAnsi="Times New Roman" w:eastAsia="Songti SC"/>
            <w:color w:val="000000"/>
            <w:sz w:val="22"/>
          </w:rPr>
          <w:t>表4-4 四组件构造空间的精确枚举结果</w:t>
        </w:r>
        <w:r>
          <w:rPr>
            <w:rFonts w:ascii="Times New Roman" w:hAnsi="Times New Roman" w:eastAsia="Songti SC"/>
            <w:color w:val="000000"/>
            <w:sz w:val="22"/>
          </w:rPr>
          <w:tab/>
          <w:t>52</w:t>
        </w:r>
      </w:hyperlink>
    </w:p>
    <w:p>
      <w:pPr>
        <w:pStyle w:val="TableList"/>
      </w:pPr>
      <w:hyperlink w:anchor="v6_168" w:history="1">
        <w:r>
          <w:rPr>
            <w:rFonts w:ascii="Times New Roman" w:hAnsi="Times New Roman" w:eastAsia="Songti SC"/>
            <w:color w:val="000000"/>
            <w:sz w:val="22"/>
          </w:rPr>
          <w:t>表4-5 评分验证的两个对象层次</w:t>
        </w:r>
        <w:r>
          <w:rPr>
            <w:rFonts w:ascii="Times New Roman" w:hAnsi="Times New Roman" w:eastAsia="Songti SC"/>
            <w:color w:val="000000"/>
            <w:sz w:val="22"/>
          </w:rPr>
          <w:tab/>
          <w:t>53</w:t>
        </w:r>
      </w:hyperlink>
    </w:p>
    <w:p>
      <w:pPr>
        <w:pStyle w:val="TableList"/>
      </w:pPr>
      <w:hyperlink w:anchor="v6_169" w:history="1">
        <w:r>
          <w:rPr>
            <w:rFonts w:ascii="Times New Roman" w:hAnsi="Times New Roman" w:eastAsia="Songti SC"/>
            <w:color w:val="000000"/>
            <w:sz w:val="22"/>
          </w:rPr>
          <w:t>表4-6 当前可核验的风险与成本边界</w:t>
        </w:r>
        <w:r>
          <w:rPr>
            <w:rFonts w:ascii="Times New Roman" w:hAnsi="Times New Roman" w:eastAsia="Songti SC"/>
            <w:color w:val="000000"/>
            <w:sz w:val="22"/>
          </w:rPr>
          <w:tab/>
          <w:t>53</w:t>
        </w:r>
      </w:hyperlink>
    </w:p>
    <w:p>
      <w:pPr>
        <w:pStyle w:val="TableList"/>
      </w:pPr>
      <w:hyperlink w:anchor="v6_170" w:history="1">
        <w:r>
          <w:rPr>
            <w:rFonts w:ascii="Times New Roman" w:hAnsi="Times New Roman" w:eastAsia="Songti SC"/>
            <w:color w:val="000000"/>
            <w:sz w:val="22"/>
          </w:rPr>
          <w:t>表5-1 四格比较的运行对应关系</w:t>
        </w:r>
        <w:r>
          <w:rPr>
            <w:rFonts w:ascii="Times New Roman" w:hAnsi="Times New Roman" w:eastAsia="Songti SC"/>
            <w:color w:val="000000"/>
            <w:sz w:val="22"/>
          </w:rPr>
          <w:tab/>
          <w:t>56</w:t>
        </w:r>
      </w:hyperlink>
    </w:p>
    <w:p>
      <w:pPr>
        <w:pStyle w:val="TableList"/>
      </w:pPr>
      <w:hyperlink w:anchor="v6_171"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64</w:t>
        </w:r>
      </w:hyperlink>
    </w:p>
    <w:p>
      <w:pPr>
        <w:pStyle w:val="TableList"/>
      </w:pPr>
      <w:hyperlink w:anchor="v6_172" w:history="1">
        <w:r>
          <w:rPr>
            <w:rFonts w:ascii="Times New Roman" w:hAnsi="Times New Roman" w:eastAsia="Songti SC"/>
            <w:color w:val="000000"/>
            <w:sz w:val="22"/>
          </w:rPr>
          <w:t>表A-2 本版参考配置</w:t>
        </w:r>
        <w:r>
          <w:rPr>
            <w:rFonts w:ascii="Times New Roman" w:hAnsi="Times New Roman" w:eastAsia="Songti SC"/>
            <w:color w:val="000000"/>
            <w:sz w:val="22"/>
          </w:rPr>
          <w:tab/>
          <w:t>65</w:t>
        </w:r>
      </w:hyperlink>
    </w:p>
    <w:p>
      <w:pPr>
        <w:pStyle w:val="TableList"/>
      </w:pPr>
      <w:hyperlink w:anchor="v6_173"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73</w:t>
        </w:r>
      </w:hyperlink>
    </w:p>
    <w:p>
      <w:pPr>
        <w:pStyle w:val="TableList"/>
      </w:pPr>
      <w:hyperlink w:anchor="v6_174"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73</w:t>
        </w:r>
      </w:hyperlink>
    </w:p>
    <w:p>
      <w:pPr>
        <w:pStyle w:val="TableList"/>
      </w:pPr>
      <w:hyperlink w:anchor="v6_175"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74</w:t>
        </w:r>
      </w:hyperlink>
    </w:p>
    <w:p>
      <w:pPr>
        <w:pStyle w:val="TableList"/>
      </w:pPr>
      <w:hyperlink w:anchor="v6_176"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74</w:t>
        </w:r>
      </w:hyperlink>
    </w:p>
    <w:p>
      <w:pPr>
        <w:pStyle w:val="TableList"/>
      </w:pPr>
      <w:hyperlink w:anchor="v6_177"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75</w:t>
        </w:r>
      </w:hyperlink>
    </w:p>
    <w:p>
      <w:pPr>
        <w:pStyle w:val="TableList"/>
      </w:pPr>
      <w:hyperlink w:anchor="v6_178"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75</w:t>
        </w:r>
      </w:hyperlink>
    </w:p>
    <w:p>
      <w:pPr>
        <w:pStyle w:val="TableList"/>
      </w:pPr>
      <w:hyperlink w:anchor="v6_179"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75</w:t>
        </w:r>
      </w:hyperlink>
    </w:p>
    <w:p>
      <w:pPr>
        <w:pStyle w:val="TableList"/>
      </w:pPr>
      <w:hyperlink w:anchor="v6_180"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76</w:t>
        </w:r>
      </w:hyperlink>
    </w:p>
    <w:p>
      <w:pPr>
        <w:pStyle w:val="TableList"/>
      </w:pPr>
      <w:hyperlink w:anchor="v6_181"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77</w:t>
        </w:r>
      </w:hyperlink>
    </w:p>
    <w:p>
      <w:pPr>
        <w:pStyle w:val="TableList"/>
      </w:pPr>
      <w:hyperlink w:anchor="v6_182"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78</w:t>
        </w:r>
      </w:hyperlink>
    </w:p>
    <w:p>
      <w:pPr>
        <w:pStyle w:val="TableList"/>
      </w:pPr>
      <w:hyperlink w:anchor="v6_183"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80</w:t>
        </w:r>
      </w:hyperlink>
      <w:r>
        <w:fldChar w:fldCharType="end"/>
      </w:r>
    </w:p>
    <w:p>
      <w:pPr>
        <w:sectPr>
          <w:headerReference w:type="default" r:id="rId95"/>
          <w:footerReference w:type="default" r:id="rId96"/>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6_12"/>
      <w:bookmarkEnd w:id="12"/>
    </w:p>
    <w:p>
      <w:pPr>
        <w:pStyle w:val="Heading2"/>
      </w:pPr>
      <w:r>
        <w:t>1.1 研究背景与问题提出</w:t>
      </w:r>
      <w:bookmarkStart w:id="13" w:name="v6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机制示意，非实测案例。"/>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6" w:name="v6_146"/>
      <w:bookmarkEnd w:id="146"/>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6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6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6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6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6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7" w:name="v6_147"/>
      <w:bookmarkEnd w:id="14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6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机制示意，非实测案例。"/>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8" w:name="v6_148"/>
      <w:bookmarkEnd w:id="148"/>
    </w:p>
    <w:p>
      <w:pPr>
        <w:pStyle w:val="Heading3"/>
      </w:pPr>
      <w:r>
        <w:t>1.3.1 研究问题</w:t>
      </w:r>
      <w:bookmarkStart w:id="20" w:name="v6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6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6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9" w:name="v6_149"/>
      <w:bookmarkEnd w:id="14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6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附录补充复现协议、执行记录、成果说明、前期诊断、历史数值和符号索引。各方法章区分已经执行的构造验证与尚无正式结果的语料实验，保留输入、计数和结论的对应关系。</w:t>
      </w:r>
    </w:p>
    <w:p>
      <w:pPr>
        <w:pStyle w:val="Heading1"/>
      </w:pPr>
      <w:r>
        <w:t>第二章 任务表示与方法基础</w:t>
      </w:r>
      <w:bookmarkStart w:id="24" w:name="v6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6_25"/>
      <w:bookmarkEnd w:id="25"/>
    </w:p>
    <w:p>
      <w:pPr>
        <w:pStyle w:val="Heading3"/>
      </w:pPr>
      <w:r>
        <w:t>2.1.1 组件及二元关系</w:t>
      </w:r>
      <w:bookmarkStart w:id="26" w:name="v6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6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50" w:name="v6_150"/>
      <w:bookmarkEnd w:id="15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跨语料分析采用另行声明的粗粒度映射，该映射不反向改变域内金标。</w:t>
      </w:r>
    </w:p>
    <w:p>
      <w:pPr>
        <w:pStyle w:val="Heading2"/>
      </w:pPr>
      <w:r>
        <w:t>2.2 合法结构与对象身份</w:t>
      </w:r>
      <w:bookmarkStart w:id="28" w:name="v6_28"/>
      <w:bookmarkEnd w:id="28"/>
    </w:p>
    <w:p>
      <w:pPr>
        <w:pStyle w:val="Heading3"/>
      </w:pPr>
      <w:r>
        <w:t>2.2.1 语料约束与候选范围</w:t>
      </w:r>
      <w:bookmarkStart w:id="29" w:name="v6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6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6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6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6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6_34"/>
      <w:bookmarkEnd w:id="34"/>
    </w:p>
    <w:p>
      <w:pPr>
        <w:pStyle w:val="Heading3"/>
      </w:pPr>
      <w:r>
        <w:t>2.6.1 数据划分与使用范围</w:t>
      </w:r>
      <w:bookmarkStart w:id="35" w:name="v6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上述隔离控制数据泄漏；模型误差的关系仍须按2.4节区分。</w:t>
      </w:r>
    </w:p>
    <w:p>
      <w:pPr>
        <w:pStyle w:val="Heading3"/>
      </w:pPr>
      <w:r>
        <w:t>2.6.2 运行配置与可复现记录</w:t>
      </w:r>
      <w:bookmarkStart w:id="36" w:name="v6_36"/>
      <w:bookmarkEnd w:id="36"/>
    </w:p>
    <w:p>
      <w:r>
        <w:rPr>
          <w:rFonts w:ascii="Times New Roman" w:hAnsi="Times New Roman" w:eastAsia="Songti SC"/>
          <w:color w:val="000000"/>
        </w:rPr>
        <w:t>本文区分方法定义、构造验证和语料实测三种材料。方法定义指定允许的操作与输入；构造验证用公开在本地材料包中的有限对象和人工评分检查执行语义；语料实测需要真实数据划分、模型检查点和逐文档预测。表2-2分别记录其状态，不能把构造程序的通过数或CPU运行条件填入LLM实验配置。</w:t>
      </w:r>
    </w:p>
    <w:p>
      <w:pPr>
        <w:pStyle w:val="TableCaption"/>
      </w:pPr>
      <w:r>
        <w:rPr>
          <w:rFonts w:ascii="Times New Roman" w:hAnsi="Times New Roman" w:eastAsia="Songti SC"/>
          <w:color w:val="000000"/>
          <w:sz w:val="21"/>
        </w:rPr>
        <w:t>表2-2 公共协议与当前材料状态</w:t>
      </w:r>
      <w:bookmarkStart w:id="151" w:name="v6_151"/>
      <w:bookmarkEnd w:id="15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本版确定内容</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证据及适用范围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任务与评价</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AAEC严格二元关系；CDCP完整超边</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对象定义已固定；新增语料预测未形成</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训练基础</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沿用Qwen2.5-7B-Instruct及ICIC模块</w:t>
            </w:r>
          </w:p>
        </w:tc>
        <w:tc>
          <w:tcPr>
            <w:tcW w:type="dxa" w:w="328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rank 16、alpha 32等是前期起点，非新运行事实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数据隔离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源文档及重复文本分组；训练内三折OOF</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生成器和跨度头均隔离持出文档及变体</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中心与区域</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单中心哈希排序；完整直接入源；超限跳过</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3.3.1定义；构造测试覆盖空集与长超边</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候选与队列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保护初始对象；有限单次扩展；六类轮转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4.2与4.5定义；参考预算见附录A.4</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顺序与联合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真实两次提交；联合整批择优提交</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构造轨迹可重算，不等于端到端实现验证</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Oracle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一步、多步、全局净预算三个松弛集合</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四组件有限空间穷举，非全语料求解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本版验证材料</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机制与接口参考程序及对应JSON</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有限构造执行；路径、范围与哈希见附录D.4</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正式训练材料</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数据revision、模型、优化器、种子、环境</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尚未生成绑定清单，不能报告新增实测成绩</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正式推理材料</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候选缓存、校准参数、求解器与硬件时限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尚未形成完整运行，不报告真实时延或成本</w:t>
            </w:r>
          </w:p>
        </w:tc>
      </w:tr>
    </w:tbl>
    <w:p>
      <w:pPr>
        <w:spacing w:after="0" w:line="240" w:lineRule="auto"/>
      </w:pPr>
    </w:p>
    <w:p>
      <w:r>
        <w:rPr>
          <w:rFonts w:ascii="Times New Roman" w:hAnsi="Times New Roman" w:eastAsia="Songti SC"/>
          <w:color w:val="000000"/>
        </w:rPr>
        <w:t>本版确定参考算法分支与有限资源参数，不将参数称为开发集最优值。实际模型运行还必须绑定数据、token映射、模型权重、软硬件版本及独立开发选择记录；缺少这些输入时，正式运行入口应拒绝启动，不能自动以旧稿配置或构造分数代替。各结果以附录A.2的身份字段追溯至唯一材料。</w:t>
      </w:r>
    </w:p>
    <w:p>
      <w:pPr>
        <w:pStyle w:val="Heading3"/>
      </w:pPr>
      <w:r>
        <w:t>2.6.3 统计分析与计算成本</w:t>
      </w:r>
      <w:bookmarkStart w:id="37" w:name="v6_37"/>
      <w:bookmarkEnd w:id="37"/>
    </w:p>
    <w:p>
      <w:r>
        <w:rPr>
          <w:rFonts w:ascii="Times New Roman" w:hAnsi="Times New Roman" w:eastAsia="Songti SC"/>
          <w:color w:val="000000"/>
        </w:rPr>
        <w:t>核心语料实验计划使用至少3个预先登记的随机种子，资源允许时扩展到5个；全部种子应在运行前固定，不能根据中途结果选择性追加或删除。本版尚未完成这些重复运行。主指标限定为组件与严格关系micro-F1，其他指标用于解释机制。跨种子差值和文档级配对重采样共同报告，重复文本按组处理，不将多个种子中的同一文档当作额外独立样本。区间、效应量、持平、下降和失败配置均保留，不依据结果临时选择检验方式。</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每文档总求解时间预算；另列每次调用上限和实际调用次数。相同单次上限不能替代相同总计算量。充分求解结果与等资源结果分列，超时报告可行解、有效界或gap，运行到时限不等于求得最优。文档级区间采用配对重采样，每次重新汇总TP、FP、FN；跨种子的标准差描述训练随机性，二者分别报告。区间跨零只表示未建立稳定增量，不能据此认定等效。主比较事先确定，多重探索比较另行标识并说明调整方法。只有与实际运行绑定的统计量才能进入效果结论。</w:t>
      </w:r>
    </w:p>
    <w:p>
      <w:pPr>
        <w:pStyle w:val="Heading2"/>
      </w:pPr>
      <w:r>
        <w:t>2.7 训练与推理的接口</w:t>
      </w:r>
      <w:bookmarkStart w:id="38" w:name="v6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机制示意，非实测案例。"/>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52" w:name="v6_152"/>
      <w:bookmarkEnd w:id="152"/>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6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6_40"/>
      <w:bookmarkEnd w:id="40"/>
    </w:p>
    <w:p>
      <w:pPr>
        <w:pStyle w:val="Heading2"/>
      </w:pPr>
      <w:r>
        <w:t>3.1 引言</w:t>
      </w:r>
      <w:bookmarkStart w:id="41" w:name="v6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6_42"/>
      <w:bookmarkEnd w:id="42"/>
    </w:p>
    <w:p>
      <w:pPr>
        <w:pStyle w:val="Heading3"/>
      </w:pPr>
      <w:r>
        <w:t>3.2.1 类型条件低秩适配</w:t>
      </w:r>
      <w:bookmarkStart w:id="43" w:name="v6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6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6_45"/>
      <w:bookmarkEnd w:id="45"/>
    </w:p>
    <w:p>
      <w:pPr>
        <w:pStyle w:val="Heading3"/>
      </w:pPr>
      <w:r>
        <w:t>3.3.1 改写区域与关系因素</w:t>
      </w:r>
      <w:bookmarkStart w:id="46" w:name="v6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53" w:name="v6_153"/>
      <w:bookmarkEnd w:id="15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机制示意，非实测案例。"/>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54" w:name="v6_154"/>
      <w:bookmarkEnd w:id="154"/>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6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6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6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机制示意，非实测案例。"/>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5" w:name="v6_155"/>
      <w:bookmarkEnd w:id="155"/>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6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6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6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待执行的梯度核验要求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6_53"/>
      <w:bookmarkEnd w:id="53"/>
    </w:p>
    <w:p>
      <w:pPr>
        <w:pStyle w:val="Heading3"/>
      </w:pPr>
      <w:r>
        <w:t>3.5.1 数据构造与参数学习</w:t>
      </w:r>
      <w:bookmarkStart w:id="54" w:name="v6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6" w:name="v6_156"/>
      <w:bookmarkEnd w:id="15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6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验证设计与已有证据</w:t>
      </w:r>
      <w:bookmarkStart w:id="56" w:name="v6_56"/>
      <w:bookmarkEnd w:id="56"/>
    </w:p>
    <w:p>
      <w:r>
        <w:rPr>
          <w:rFonts w:ascii="Times New Roman" w:hAnsi="Times New Roman" w:eastAsia="Songti SC"/>
          <w:color w:val="000000"/>
        </w:rPr>
        <w:t>本章将监督可靠性与下游学习收益分开判断。构造程序已验证中心、完整源成员、字符坐标和因素分类的确定行为；标签语义是否保持、成对学习是否改善真实文本抽取，仍需要独立审计和模型训练。CovEReD亦区分增强一致性和原始任务表现[37]。本节报告已执行检查，并明确尚无语料结果支持的主张，不填入预期F1。</w:t>
      </w:r>
    </w:p>
    <w:p>
      <w:pPr>
        <w:pStyle w:val="Heading3"/>
      </w:pPr>
      <w:r>
        <w:t>3.6.1 实验设置与比较方法</w:t>
      </w:r>
      <w:bookmarkStart w:id="57" w:name="v6_57"/>
      <w:bookmarkEnd w:id="57"/>
    </w:p>
    <w:p>
      <w:r>
        <w:rPr>
          <w:rFonts w:ascii="Times New Roman" w:hAnsi="Times New Roman" w:eastAsia="Songti SC"/>
          <w:color w:val="000000"/>
        </w:rPr>
        <w:t>训练侧全部使用I0推理。T0保留ICIC专项适配、线索提示和句子辅助目标，不增加本章增强及训练头；T1使用完整增强、头监督及成对因素学习。正式评价采用未改写的测试原文，AAEC使用严格二元关系，CDCP使用完整原生超边。构造数据不进入正式训练、开发或测试划分。</w:t>
      </w:r>
    </w:p>
    <w:p>
      <w:pPr>
        <w:pStyle w:val="TableCaption"/>
      </w:pPr>
      <w:r>
        <w:rPr>
          <w:rFonts w:ascii="Times New Roman" w:hAnsi="Times New Roman" w:eastAsia="Songti SC"/>
          <w:color w:val="000000"/>
          <w:sz w:val="21"/>
        </w:rPr>
        <w:t>表3-2 训练侧对照与归因条件</w:t>
      </w:r>
      <w:bookmarkStart w:id="157" w:name="v6_157"/>
      <w:bookmarkEnd w:id="15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变化因素及可回答问题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一般数据增量；普通生成是否共用筛选须明示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QOS式与完整方案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语料、评价及资源轨道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共同接口下的数据构造差异，非原论文优劣结论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同中心、生成池及其他检查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跨边界正标签检查的质量与覆盖作用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同中心、生成池及正关系检查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无边状态检查的作用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完全相同变体、逐源权重与更新条件</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辅助监督和成对项分别产生的增量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同文档、区域大小、长度与关系度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结论优先的条件性价值</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同骨干、原生评价、I0</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完整训练方案；复用第五章主运行</w:t>
            </w:r>
          </w:p>
        </w:tc>
      </w:tr>
    </w:tbl>
    <w:p>
      <w:pPr>
        <w:spacing w:after="0" w:line="240" w:lineRule="auto"/>
      </w:pPr>
    </w:p>
    <w:p>
      <w:r>
        <w:rPr>
          <w:rFonts w:ascii="Times New Roman" w:hAnsi="Times New Roman" w:eastAsia="Songti SC"/>
          <w:color w:val="000000"/>
        </w:rPr>
        <w:t>固定生成池上的筛选诊断与改变生成提示的完整方法分开。筛选版本以“内部正关系、跨边界正关系、内部NONE、跨边界NONE”四开关表示：完整方案为1111，去跨边界正关系为1011，去NONE为1100，仅内部正关系为1000。因此，后两类删减不能混用名称。未做下游训练的过滤版本只提供数据质量证据；若生成池已使用完整关系条件，过滤消融不能解释生成条件的全部独立贡献。</w:t>
      </w:r>
    </w:p>
    <w:p>
      <w:r>
        <w:rPr>
          <w:rFonts w:ascii="Times New Roman" w:hAnsi="Times New Roman" w:eastAsia="Songti SC"/>
          <w:color w:val="000000"/>
        </w:rPr>
        <w:t>数据构造保留固定尝试预算和匹配训练规模两条轨道。后者同时记录每文档接受数、原文覆盖、增强token及更新条件，不能以相同总接受数声称完全公平。T-E复用同一增强集合和</w:t>
      </w:r>
      <m:oMath>
        <m:sSub>
          <m:e>
            <m:r>
              <m:t xml:space="preserve">m</m:t>
            </m:r>
          </m:e>
          <m:sub>
            <m:r>
              <m:t xml:space="preserve">d</m:t>
            </m:r>
          </m:sub>
        </m:sSub>
      </m:oMath>
      <w:r>
        <w:rPr>
          <w:rFonts w:ascii="Times New Roman" w:hAnsi="Times New Roman" w:eastAsia="Songti SC"/>
          <w:color w:val="000000"/>
        </w:rPr>
        <w:t>，仅基础损失、增加头监督和增加对齐分别命名；普通增强若同时加头，另设无增强同头对照，否则不能只归因于数据增量。QOS原方法复现与共同接口适配各有配置身份，适配差异不得隐去。</w:t>
      </w:r>
    </w:p>
    <w:p>
      <w:pPr>
        <w:pStyle w:val="Heading3"/>
      </w:pPr>
      <w:r>
        <w:t>3.6.2 增强质量与标签可靠性</w:t>
      </w:r>
      <w:bookmarkStart w:id="58" w:name="v6_58"/>
      <w:bookmarkEnd w:id="58"/>
    </w:p>
    <w:p>
      <w:r>
        <w:rPr>
          <w:rFonts w:ascii="Times New Roman" w:hAnsi="Times New Roman" w:eastAsia="Songti SC"/>
          <w:color w:val="000000"/>
        </w:rPr>
        <w:t>语义审计按数据集、接受或拒绝、内部或跨边界、正关系或NONE交叉分层，CDCP另记源成员数，并抽查两端只读的域外因素。判断准则覆盖角色、方向、否定、模态、指代与标签保持。先用训练或开发材料试审并冻结规则，再由不知道方法和自动判定的评审者独立判断、记录分歧及裁决；单人审计不报告虚构的一致性系数。</w:t>
      </w:r>
    </w:p>
    <w:p>
      <w:r>
        <w:rPr>
          <w:rFonts w:ascii="Times New Roman" w:hAnsi="Times New Roman" w:eastAsia="Songti SC"/>
          <w:color w:val="000000"/>
        </w:rPr>
        <w:t>审计样本量依据各层覆盖和所需估计精度预先确定，保留文档与同源变体分组。漂移率以实际被审计因素为分母，空层记为无数据。抽样比例不等时按纳入概率加权，接受覆盖及拒绝错误同时报告，避免只检查成功样本。本版尚无正式盲审样本，因而不报告保持率、漂移率、人工一致性或“降低标签噪声”的效果。表3-3的程序检查不替代这一证据。</w:t>
      </w:r>
    </w:p>
    <w:p>
      <w:pPr>
        <w:pStyle w:val="Heading3"/>
      </w:pPr>
      <w:r>
        <w:t>3.6.3 已执行的结构与权重检查</w:t>
      </w:r>
      <w:bookmarkStart w:id="59" w:name="v6_59"/>
      <w:bookmarkEnd w:id="59"/>
    </w:p>
    <w:p>
      <w:r>
        <w:rPr>
          <w:rFonts w:ascii="Times New Roman" w:hAnsi="Times New Roman" w:eastAsia="Songti SC"/>
          <w:color w:val="000000"/>
        </w:rPr>
        <w:t>表3-3来自本版独立参考程序的实际执行。输入是人工定义的组件、超边与短字符串，未调用增强模型或训练生成器。全部结果可由附录D.4材料重新计算。</w:t>
      </w:r>
    </w:p>
    <w:p>
      <w:pPr>
        <w:pStyle w:val="TableCaption"/>
      </w:pPr>
      <w:r>
        <w:rPr>
          <w:rFonts w:ascii="Times New Roman" w:hAnsi="Times New Roman" w:eastAsia="Songti SC"/>
          <w:color w:val="000000"/>
          <w:sz w:val="21"/>
        </w:rPr>
        <w:t>表3-3 构造输入上的训练侧规约检查</w:t>
      </w:r>
      <w:bookmarkStart w:id="158" w:name="v6_158"/>
      <w:bookmarkEnd w:id="15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检查对象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输入或操作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实际输出及解释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同文档组件顺序置换</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选中同一中心；选择不依赖容器顺序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空集与回退</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无组件；仅Premise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分别跳过增强；记录一般组件回退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长金标超边</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四个Fact指向一个Policy</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区域含5个组件，未按三源预算截断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区域资源超限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上述区域长度5，上限4</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整体跳过，未删减金标成员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字符输运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 bb cc”改为“aaaa b cc”</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只读末组件从[6,8)移动到[7,9)</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因素分类</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三个组件、两个正关系，改写其中两个</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内部正/NONE各1，跨边界正1/NONE3</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逐源基础权重</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ρ=1，接受数为0、1、2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系数分别[1]、[1,1]、[1,0.5,0.5]</w:t>
            </w:r>
          </w:p>
        </w:tc>
      </w:tr>
    </w:tbl>
    <w:p>
      <w:pPr>
        <w:spacing w:after="0" w:line="240" w:lineRule="auto"/>
      </w:pPr>
    </w:p>
    <w:p>
      <w:r>
        <w:rPr>
          <w:rFonts w:ascii="Times New Roman" w:hAnsi="Times New Roman" w:eastAsia="Songti SC"/>
          <w:color w:val="000000"/>
        </w:rPr>
        <w:t>这些输出说明参考函数没有把只读组件误当成坐标不变，也没有把跨边界与NONE混成同一分类。权重之和分别为1、2、2，验证了现有公式中的增强总权重，不证明实际梯度幅度相等。测试仅覆盖字符层输运；真实分词器offset mapping、输入隐藏状态、LoRA梯度流和训练稳定性尚未运行，因此不声称完整训练实现已验证。</w:t>
      </w:r>
    </w:p>
    <w:p>
      <w:r>
        <w:rPr>
          <w:rFonts w:ascii="Times New Roman" w:hAnsi="Times New Roman" w:eastAsia="Songti SC"/>
          <w:color w:val="000000"/>
        </w:rPr>
        <w:t>同数据学习消融尚无正式结果。当前能够确认的是三个损失配置的区别及其归因要求，不能确认成对项的任务增量，也不能由结构检查通过推出语义保持。尚未检验不等于无效。正式结果若未建立对齐增量，应分别核查真实梯度路径、样本与训练预算及所检验条件，不能将不显著直接写成等效。历史成绩仍保持附录E原身份。</w:t>
      </w:r>
    </w:p>
    <w:p>
      <w:pPr>
        <w:pStyle w:val="Heading3"/>
      </w:pPr>
      <w:r>
        <w:t>3.6.4 中心选择与适用条件</w:t>
      </w:r>
      <w:bookmarkStart w:id="60" w:name="v6_60"/>
      <w:bookmarkEnd w:id="60"/>
    </w:p>
    <w:p>
      <w:r>
        <w:rPr>
          <w:rFonts w:ascii="Times New Roman" w:hAnsi="Times New Roman" w:eastAsia="Songti SC"/>
          <w:color w:val="000000"/>
        </w:rPr>
        <w:t>随机中心对照在同一文档的全部合法组件中选择，允许结论角色及参考中心自身进入匹配池，用于比较结论优先与无角色偏好的选择策略。对每个中心按3.3.1节构造完整区域，要求区域组件数与入关系数相同，区域字符总长的绝对差除以参考区域字符总长不超过20%，再按同一种子和哈希顺序选择；不按生成结果重选。参考区域成功构造时，原中心必然满足条件，因此本分支不设置unmatched；无组件、槽位重叠、区域或资源超限各按实际原因登记。20%是冻结的参考容差，不是实测最优值。</w:t>
      </w:r>
    </w:p>
    <w:p>
      <w:r>
        <w:rPr>
          <w:rFonts w:ascii="Times New Roman" w:hAnsi="Times New Roman" w:eastAsia="Songti SC"/>
          <w:color w:val="000000"/>
        </w:rPr>
        <w:t>逐文档保存参考中心与对照中心、两个完整区域、匹配变量及是否自匹配。以成功构造参考区域的文档数为自匹配率分母，另报全部文档数、各失败原因、自匹配数、异中心有效样本数及语料和主要类型分布。全体有效参考文档的比较解释为策略差异；异中心子集仅作条件性诊断，不外推至全部文档。回退文档不单独支持结论角色优势。线索扰动和隐式结论分析尚未开展，AAEC无普通入关系的MajorClaim仅提供组件学习证据。</w:t>
      </w:r>
    </w:p>
    <w:p>
      <w:pPr>
        <w:pStyle w:val="Heading3"/>
      </w:pPr>
      <w:r>
        <w:t>3.6.5 成本与案例的证据身份</w:t>
      </w:r>
      <w:bookmarkStart w:id="61" w:name="v6_61"/>
      <w:bookmarkEnd w:id="61"/>
    </w:p>
    <w:p>
      <w:r>
        <w:rPr>
          <w:rFonts w:ascii="Times New Roman" w:hAnsi="Times New Roman" w:eastAsia="Songti SC"/>
          <w:color w:val="000000"/>
        </w:rPr>
        <w:t>生成和审核成本包含全部失败尝试，训练成本包含原文、变体和辅助头；一次性构造、OOF准备与模型训练分别计费。本版未运行这些模型，故不报告token单价、GPU耗时、显存或端到端费用。</w:t>
      </w:r>
    </w:p>
    <w:p>
      <w:r>
        <w:rPr>
          <w:rFonts w:ascii="Times New Roman" w:hAnsi="Times New Roman" w:eastAsia="Songti SC"/>
          <w:color w:val="000000"/>
        </w:rPr>
        <w:t>表3-4区分已保存的构造例与尚缺的语义审计，避免用看似完整的案例表掩盖没有观测的类别。</w:t>
      </w:r>
    </w:p>
    <w:p>
      <w:pPr>
        <w:pStyle w:val="TableCaption"/>
      </w:pPr>
      <w:r>
        <w:rPr>
          <w:rFonts w:ascii="Times New Roman" w:hAnsi="Times New Roman" w:eastAsia="Songti SC"/>
          <w:color w:val="000000"/>
          <w:sz w:val="21"/>
        </w:rPr>
        <w:t>表3-4 当前案例材料及解释范围</w:t>
      </w:r>
      <w:bookmarkStart w:id="159" w:name="v6_159"/>
      <w:bookmarkEnd w:id="15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身份与实际内容</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能够支持的判断</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图书馆片段</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人工文本与关系设定</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内部正边、跨边界及NONE为何需分开</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字符替换fixture</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可执行字符串及全部坐标映射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长度变化后只读组件必须移动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长超边fixture</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四源成员及一个目标</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金标完整性不受新增NONE上限截断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接受但漂移、拒绝但保持</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尚无盲审记录</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不能估计漏判、误拒频率或归因</w:t>
            </w:r>
          </w:p>
        </w:tc>
      </w:tr>
    </w:tbl>
    <w:p>
      <w:pPr>
        <w:spacing w:after="0" w:line="240" w:lineRule="auto"/>
      </w:pPr>
    </w:p>
    <w:p>
      <w:pPr>
        <w:pStyle w:val="Heading2"/>
      </w:pPr>
      <w:r>
        <w:t>3.7 本章小结</w:t>
      </w:r>
      <w:bookmarkStart w:id="62" w:name="v6_62"/>
      <w:bookmarkEnd w:id="62"/>
    </w:p>
    <w:p>
      <w:r>
        <w:rPr>
          <w:rFonts w:ascii="Times New Roman" w:hAnsi="Times New Roman" w:eastAsia="Songti SC"/>
          <w:color w:val="000000"/>
        </w:rPr>
        <w:t>本章确定了单中心、完整入源、有限因素宇宙、标注输运与逐源学习目标，并用构造输入核查部分结构接口。对RQ1，当前支持的是方法定义和对应关系的可复核性；监督质量改善与同数据成对学习的独立收益仍未建立。下一章保持原文不变，研究组件修改后关系如何共同决策。</w:t>
      </w:r>
    </w:p>
    <w:p>
      <w:pPr>
        <w:pStyle w:val="Heading1"/>
      </w:pPr>
      <w:r>
        <w:t>第四章 多候选驱动的依赖闭合论辩图修正</w:t>
      </w:r>
      <w:bookmarkStart w:id="63" w:name="v6_63"/>
      <w:bookmarkEnd w:id="63"/>
    </w:p>
    <w:p>
      <w:pPr>
        <w:pStyle w:val="Heading2"/>
      </w:pPr>
      <w:r>
        <w:t>4.1 引言</w:t>
      </w:r>
      <w:bookmarkStart w:id="64" w:name="v6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6" name="repair.png" descr="组件变更与关系重建的整体决策。机制示意，非实测案例。"/>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60" w:name="v6_160"/>
      <w:bookmarkEnd w:id="160"/>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6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6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6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6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rPr>
        <w:t>后才构造评价语义键。此分数仅用于候选召回与裁剪，不是完整对象正确率。跨度头不输入金标答案，在OOF时与生成器使用相同持出隔离。</w:t>
      </w:r>
    </w:p>
    <w:p>
      <w:r>
        <w:rPr>
          <w:rFonts w:ascii="Times New Roman" w:hAnsi="Times New Roman" w:eastAsia="Songti SC"/>
          <w:color w:val="000000"/>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rPr>
        <w:t>个；多来源并存，不只保留获胜来源。受保护长跨度不受补充长度上限裁掉。</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3"/>
      </w:pPr>
      <w:r>
        <w:t>4.2.4 完整关系候选与无边状态</w:t>
      </w:r>
      <w:bookmarkStart w:id="69" w:name="v6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2"/>
      </w:pPr>
      <w:r>
        <w:t>4.3 组件集合替换与受影响关系重建</w:t>
      </w:r>
      <w:bookmarkStart w:id="70" w:name="v6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6_71"/>
      <w:bookmarkEnd w:id="71"/>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6_72"/>
      <w:bookmarkEnd w:id="72"/>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6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6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6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6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6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6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6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6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1" w:name="v6_81"/>
      <w:bookmarkEnd w:id="81"/>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61" w:name="v6_161"/>
      <w:bookmarkEnd w:id="16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本轮及全程额度允许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取下一批Q；Gnoop ← G；合格集合H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Q中每个未评估提议，在实际额度内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按总效用、较少编辑、语义键择优；额度不足则保留原图并停止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18</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21</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22</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23</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62" w:name="v6_162"/>
      <w:bookmarkEnd w:id="162"/>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4851326"/>
            <wp:docPr id="7" name="bounded_execution.png" descr="候选生成至有界事务接受的执行流程。机制示意，非实测案例。"/>
            <wp:cNvGraphicFramePr>
              <a:graphicFrameLocks noChangeAspect="1"/>
            </wp:cNvGraphicFramePr>
            <a:graphic>
              <a:graphicData uri="http://schemas.openxmlformats.org/drawingml/2006/picture">
                <pic:pic>
                  <pic:nvPicPr>
                    <pic:cNvPr id="0" name="bounded_execution.png"/>
                    <pic:cNvPicPr/>
                  </pic:nvPicPr>
                  <pic:blipFill>
                    <a:blip r:embed="rId99"/>
                    <a:stretch>
                      <a:fillRect/>
                    </a:stretch>
                  </pic:blipFill>
                  <pic:spPr>
                    <a:xfrm>
                      <a:off x="0" y="0"/>
                      <a:ext cx="5652770" cy="4851326"/>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63" w:name="v6_163"/>
      <w:bookmarkEnd w:id="163"/>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2" w:name="v6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6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6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6_85"/>
      <w:bookmarkEnd w:id="85"/>
    </w:p>
    <w:p>
      <w:r>
        <w:rPr>
          <w:rFonts w:ascii="Times New Roman" w:hAnsi="Times New Roman" w:eastAsia="Songti SC"/>
          <w:color w:val="000000"/>
        </w:rPr>
        <w:t>本章区分语料效果比较和构造机制验证。前者固定T1检查点，以I0为初始选择，尚缺完整运行；后者使用人工对象、固定分值及有限枚举，报告已经执行的决策差异与可达性边界。构造输入不来自AAEC或CDCP，其结果不得充当这两个数据集的性能或效率成绩。</w:t>
      </w:r>
    </w:p>
    <w:p>
      <w:pPr>
        <w:pStyle w:val="Heading3"/>
      </w:pPr>
      <w:r>
        <w:t>4.6.1 推理协议与方法对照</w:t>
      </w:r>
      <w:bookmarkStart w:id="86" w:name="v6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顺序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64" w:name="v6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顺序修正检验先提交组件再重建关系的决策顺序；单对象动作检验集合替换的可达性；两者均不能代替完整BR-J。附录E保留前期BR-O及其原评价协议下的结果，不提供BR-C或BR-J的独立实验成绩。</w:t>
      </w:r>
    </w:p>
    <w:p>
      <w:pPr>
        <w:pStyle w:val="TableCaption"/>
      </w:pPr>
      <w:r>
        <w:rPr>
          <w:rFonts w:ascii="Times New Roman" w:hAnsi="Times New Roman" w:eastAsia="Songti SC"/>
          <w:color w:val="000000"/>
          <w:sz w:val="21"/>
        </w:rPr>
        <w:t>表4-2 推理侧对照及归因</w:t>
      </w:r>
      <w:bookmarkStart w:id="165" w:name="v6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顺序修正与BR-J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同一候选宇宙、评分及动作预算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是否需要联合判断后再提交</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分步拒绝或提交造成的不可达与误改</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专门修正机制的成本效益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充分求解的全局效用构成相应局部解的上界；比较须同时报告等时间预算下的可行解、求解间隙及充分求解结果。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局部事务的价值通过有限算力下的修正质量、过程可审计性与成本衡量。即使局部结果的真实F1高于全局解，也只能结合代理目标偏差解释，不能据此声称其效用超越相同目标的全局最优。后续数值仅来自明确列出的构造输入与执行程序，其用途限定为验证决策和计数，不据此推断语料性能、风险频率或实际效率。</w:t>
      </w:r>
    </w:p>
    <w:p>
      <w:pPr>
        <w:pStyle w:val="Heading3"/>
      </w:pPr>
      <w:r>
        <w:t>4.6.2 分步与联合决策的构造验证</w:t>
      </w:r>
      <w:bookmarkStart w:id="87" w:name="v6_87"/>
      <w:bookmarkEnd w:id="87"/>
    </w:p>
    <w:p>
      <w:r>
        <w:rPr>
          <w:rFonts w:ascii="Times New Roman" w:hAnsi="Times New Roman" w:eastAsia="Songti SC"/>
          <w:color w:val="000000"/>
        </w:rPr>
        <w:t>为核查真实两阶段提交，本节固定同一旧组件、一个边界替代组件及各自的一条关系。对象分数是人工输入，令</w:t>
      </w:r>
      <m:oMath>
        <m:sSub>
          <m:e>
            <m:r>
              <m:t xml:space="preserve">κ</m:t>
            </m:r>
          </m:e>
          <m:sub>
            <m:r>
              <m:t xml:space="preserve">C</m:t>
            </m:r>
          </m:sub>
        </m:sSub>
        <m:r>
          <m:t xml:space="preserve">=</m:t>
        </m:r>
        <m:sSub>
          <m:e>
            <m:r>
              <m:t xml:space="preserve">κ</m:t>
            </m:r>
          </m:e>
          <m:sub>
            <m:r>
              <m:t xml:space="preserve">R</m:t>
            </m:r>
          </m:sub>
        </m:sSub>
        <m:r>
          <m:t xml:space="preserve">=</m:t>
        </m:r>
        <m:r>
          <m:t xml:space="preserve">1</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。旧、新组件的</w:t>
      </w:r>
      <m:oMath>
        <m:r>
          <m:t xml:space="preserve">q</m:t>
        </m:r>
      </m:oMath>
      <w:r>
        <w:rPr>
          <w:rFonts w:ascii="Times New Roman" w:hAnsi="Times New Roman" w:eastAsia="Songti SC"/>
          <w:color w:val="000000"/>
        </w:rPr>
        <w:t>分别为0.60、0.90，效用为0.20、0.80；旧、新关系的</w:t>
      </w:r>
      <m:oMath>
        <m:r>
          <m:t xml:space="preserve">q</m:t>
        </m:r>
      </m:oMath>
      <w:r>
        <w:rPr>
          <w:rFonts w:ascii="Times New Roman" w:hAnsi="Times New Roman" w:eastAsia="Songti SC"/>
          <w:color w:val="000000"/>
        </w:rPr>
        <w:t>分别为0.95、0.60，效用为0.90、0.20。门限为0.01，预算容许组件删除与加入各1、关系删除与加入各1。</w:t>
      </w:r>
    </w:p>
    <w:p>
      <w:pPr>
        <w:pStyle w:val="TableCaption"/>
      </w:pPr>
      <w:r>
        <w:rPr>
          <w:rFonts w:ascii="Times New Roman" w:hAnsi="Times New Roman" w:eastAsia="Songti SC"/>
          <w:color w:val="000000"/>
          <w:sz w:val="21"/>
        </w:rPr>
        <w:t>表4-3 同一构造提议的真实分步与联合判断</w:t>
      </w:r>
      <w:bookmarkStart w:id="166" w:name="v6_166"/>
      <w:bookmarkEnd w:id="1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阶段或方法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组件效用</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关系效用</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总效用</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实际决策</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共同初始状态</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0.90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旧组件与旧关系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顺序第一阶段</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组件增益0.60，删除失效旧边并提交</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顺序第二阶段成功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关系增益0.20，再次提交</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顺序第二阶段无解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保留第一阶段合法中间图</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BR-J候选终态</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关系差−0.70，总差−0.10，拒绝</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BR-J返回状态</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完整保留初始图</w:t>
            </w:r>
          </w:p>
        </w:tc>
      </w:tr>
    </w:tbl>
    <w:p>
      <w:pPr>
        <w:spacing w:after="0" w:line="240" w:lineRule="auto"/>
      </w:pPr>
    </w:p>
    <w:p>
      <w:r>
        <w:rPr>
          <w:rFonts w:ascii="Times New Roman" w:hAnsi="Times New Roman" w:eastAsia="Songti SC"/>
          <w:color w:val="000000"/>
        </w:rPr>
        <w:t>原机制参考程序复算了上述条件和分支；新增接口程序以预设阶段结果检查外层与阶段账本，不调用实际求解器。顺序成功路径累计组件编辑2、关系编辑2；第二阶段失败时已删旧关系的成本1仍保留。本例说明组件阶段提交后可能无法补偿关系损失，联合门能拒绝这一特定提议。它不证明联合方法普遍更好：若真实正确对象恰是低代理分的新关系，联合门也可能拒绝真实有益修正。分步方法的两个提交不能与联合方法的一个提交直接比较“有益比例”，实际方法比较以文档净TP、FP、FN为共同单位。</w:t>
      </w:r>
    </w:p>
    <w:p>
      <w:pPr>
        <w:pStyle w:val="Heading3"/>
      </w:pPr>
      <w:r>
        <w:t>4.6.3 候选覆盖与松弛Oracle</w:t>
      </w:r>
      <w:bookmarkStart w:id="88" w:name="v6_88"/>
      <w:bookmarkEnd w:id="88"/>
    </w:p>
    <w:p>
      <w:r>
        <w:rPr>
          <w:rFonts w:ascii="Times New Roman" w:hAnsi="Times New Roman" w:eastAsia="Songti SC"/>
          <w:color w:val="000000"/>
        </w:rPr>
        <w:t>覆盖与可达性分别定义。严格组件覆盖以金标完整组件数为分母；全部端点覆盖要求金标关系所有完整端点均存在；完整关系覆盖还要求其源集合、方向和标签被枚举。它们均不表示能够同时进入合法图，也不表示进入实际队列。</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次事务、每一步合法且满足累计组件和关系预算的终态，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为相同候选宇宙、整图合法性及相同数值最终净编辑预算下的图。三者解除预测效用门、实际队列截断和运行时限；前两者保留每事务动作形态，</w:t>
      </w:r>
      <m:oMath>
        <m:sSub>
          <m:e>
            <m:r>
              <m:t xml:space="preserve">ℋ</m:t>
            </m:r>
          </m:e>
          <m:sub>
            <m:r>
              <m:t xml:space="preserve">L</m:t>
            </m:r>
          </m:sub>
        </m:sSub>
      </m:oMath>
      <w:r>
        <w:rPr>
          <w:rFonts w:ascii="Times New Roman" w:hAnsi="Times New Roman" w:eastAsia="Songti SC"/>
          <w:color w:val="000000"/>
        </w:rPr>
        <w:t>保留中间状态和累计成本。主诊断</w:t>
      </w:r>
      <m:oMath>
        <m:r>
          <m:t xml:space="preserve">L</m:t>
        </m:r>
      </m:oMath>
      <w:r>
        <w:rPr>
          <w:rFonts w:ascii="Times New Roman" w:hAnsi="Times New Roman" w:eastAsia="Songti SC"/>
          <w:color w:val="000000"/>
        </w:rPr>
        <w:t>对应BR-J的全程外层接受上限，即联合事务提交数，不等于轮数或顺序方法的阶段提交数。no-op可表示，且在单步预算不大于全程预算时，有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；后一个包含关系来自集合对称差的三角不等式。</w:t>
      </w:r>
    </w:p>
    <w:p>
      <w:r>
        <w:rPr>
          <w:rFonts w:ascii="Times New Roman" w:hAnsi="Times New Roman" w:eastAsia="Songti SC"/>
          <w:color w:val="000000"/>
        </w:rPr>
        <w:t>Oracle目标为整个评价集合的严格关系micro-F1，即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不能分别最大化文档F1再平均。有限小问题可枚举每篇文档的可行终态，按总预测数保留最大总TP，再从汇总计数选择最优值；该动态规划在完整枚举前提下精确，不适用于未枚举的语料状态。求解不完整时，找到的可行值只给出最大化问题的下界，有效上界和最优性状态另列。金标仅作离线诊断，不进入测试输出选择或预算调节。</w:t>
      </w:r>
    </w:p>
    <w:p>
      <w:r>
        <w:rPr>
          <w:rFonts w:ascii="Times New Roman" w:hAnsi="Times New Roman" w:eastAsia="Songti SC"/>
          <w:color w:val="000000"/>
        </w:rPr>
        <w:t>表4-4报告一个四组件、三个候选关系的小图穷举。组件位置顺序为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，关系池含</w:t>
      </w:r>
      <m:oMath>
        <m:r>
          <m:t xml:space="preserve">a</m:t>
        </m:r>
        <m:r>
          <m:t xml:space="preserve">→</m:t>
        </m:r>
        <m:r>
          <m:t xml:space="preserve">t</m:t>
        </m:r>
      </m:oMath>
      <w:r>
        <w:rPr>
          <w:rFonts w:ascii="Times New Roman" w:hAnsi="Times New Roman" w:eastAsia="Songti SC"/>
          <w:color w:val="000000"/>
        </w:rPr>
        <w:t>、</w:t>
      </w:r>
      <m:oMath>
        <m:r>
          <m:t xml:space="preserve">c</m:t>
        </m:r>
        <m:r>
          <m:t xml:space="preserve">→</m:t>
        </m:r>
        <m:r>
          <m:t xml:space="preserve">t</m:t>
        </m:r>
      </m:oMath>
      <w:r>
        <w:rPr>
          <w:rFonts w:ascii="Times New Roman" w:hAnsi="Times New Roman" w:eastAsia="Songti SC"/>
          <w:color w:val="000000"/>
        </w:rPr>
        <w:t>及</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；初始图选全部组件及</w:t>
      </w:r>
      <m:oMath>
        <m:r>
          <m:t xml:space="preserve">a</m:t>
        </m:r>
        <m:r>
          <m:t xml:space="preserve">→</m:t>
        </m:r>
        <m:r>
          <m:t xml:space="preserve">t</m:t>
        </m:r>
      </m:oMath>
      <w:r>
        <w:rPr>
          <w:rFonts w:ascii="Times New Roman" w:hAnsi="Times New Roman" w:eastAsia="Songti SC"/>
          <w:color w:val="000000"/>
        </w:rPr>
        <w:t>，金标关系为</w:t>
      </w:r>
      <m:oMath>
        <m:r>
          <m:t xml:space="preserve">a</m:t>
        </m:r>
        <m:r>
          <m:t xml:space="preserve">→</m:t>
        </m:r>
        <m:r>
          <m:t xml:space="preserve">t</m:t>
        </m:r>
      </m:oMath>
      <w:r>
        <w:rPr>
          <w:rFonts w:ascii="Times New Roman" w:hAnsi="Times New Roman" w:eastAsia="Songti SC"/>
          <w:color w:val="000000"/>
        </w:rPr>
        <w:t>和</w:t>
      </w:r>
      <m:oMath>
        <m:r>
          <m:t xml:space="preserve">h</m:t>
        </m:r>
      </m:oMath>
      <w:r>
        <w:rPr>
          <w:rFonts w:ascii="Times New Roman" w:hAnsi="Times New Roman" w:eastAsia="Songti SC"/>
          <w:color w:val="000000"/>
        </w:rPr>
        <w:t>，金标组件为</w:t>
      </w:r>
      <m:oMath>
        <m:r>
          <m:t xml:space="preserve">a</m:t>
        </m:r>
        <m:r>
          <m:t xml:space="preserve">,</m:t>
        </m:r>
        <m:r>
          <m:t xml:space="preserve">c</m:t>
        </m:r>
        <m:r>
          <m:t xml:space="preserve">,</m:t>
        </m:r>
        <m:r>
          <m:t xml:space="preserve">t</m:t>
        </m:r>
      </m:oMath>
      <w:r>
        <w:rPr>
          <w:rFonts w:ascii="Times New Roman" w:hAnsi="Times New Roman" w:eastAsia="Songti SC"/>
          <w:color w:val="000000"/>
        </w:rPr>
        <w:t>。初始状态中</w:t>
      </w:r>
      <m:oMath>
        <m:r>
          <m:t xml:space="preserve">b</m:t>
        </m:r>
      </m:oMath>
      <w:r>
        <w:rPr>
          <w:rFonts w:ascii="Times New Roman" w:hAnsi="Times New Roman" w:eastAsia="Songti SC"/>
          <w:color w:val="000000"/>
        </w:rPr>
        <w:t>破坏</w:t>
      </w:r>
      <m:oMath>
        <m:r>
          <m:t xml:space="preserve">h</m:t>
        </m:r>
      </m:oMath>
      <w:r>
        <w:rPr>
          <w:rFonts w:ascii="Times New Roman" w:hAnsi="Times New Roman" w:eastAsia="Songti SC"/>
          <w:color w:val="000000"/>
        </w:rPr>
        <w:t>的源连续性。本例只用组件位置顺序与对象数定义有限邻域，不包含具体跨度，不用于验证主算法的全部拆合动作；允许的删增数量形态取自4.3.1，纯关系事务在此三槽位宇宙中每次处理一个完整槽位，组件与关系累计预算各3，多步上限3。组件提议不预带额外</w:t>
      </w:r>
      <m:oMath>
        <m:sSub>
          <m:e>
            <m:r>
              <m:t xml:space="preserve">S</m:t>
            </m:r>
          </m:e>
          <m:sub>
            <m:r>
              <m:t xml:space="preserve">R</m:t>
            </m:r>
          </m:sub>
        </m:sSub>
      </m:oMath>
      <w:r>
        <w:rPr>
          <w:rFonts w:ascii="Times New Roman" w:hAnsi="Times New Roman" w:eastAsia="Songti SC"/>
          <w:color w:val="000000"/>
        </w:rPr>
        <w:t>，仅最小合法化扩域；这是该构造的明确邻域，非所有可能的大邻域。</w:t>
      </w:r>
    </w:p>
    <w:p>
      <w:pPr>
        <w:pStyle w:val="TableCaption"/>
      </w:pPr>
      <w:r>
        <w:rPr>
          <w:rFonts w:ascii="Times New Roman" w:hAnsi="Times New Roman" w:eastAsia="Songti SC"/>
          <w:color w:val="000000"/>
          <w:sz w:val="21"/>
        </w:rPr>
        <w:t>表4-4 四组件构造空间的精确枚举结果</w:t>
      </w:r>
      <w:bookmarkStart w:id="167" w:name="v6_167"/>
      <w:bookmarkEnd w:id="16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对象或可行集合</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状态数</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最优严格关系F1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求解身份</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初始图</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66.67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直接计数，TP=1、FP=0、FN=1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单事务邻域松弛集合</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66.67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完整枚举，包含no-op</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最多三事务邻域松弛集合</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合法中间状态及累计预算</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全局净预算松弛集合</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净预算约束下完整枚举</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不加编辑预算的全部合法图</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仅用于核查完整状态空间</w:t>
            </w:r>
          </w:p>
        </w:tc>
      </w:tr>
    </w:tbl>
    <w:p>
      <w:pPr>
        <w:spacing w:after="0" w:line="240" w:lineRule="auto"/>
      </w:pPr>
    </w:p>
    <w:p>
      <w:r>
        <w:rPr>
          <w:rFonts w:ascii="Times New Roman" w:hAnsi="Times New Roman" w:eastAsia="Songti SC"/>
          <w:color w:val="000000"/>
        </w:rPr>
        <w:t>本例候选组件、全部端点和完整关系覆盖均为100%，但一次事务的最优F1仍为66.67。原因是删除</w:t>
      </w:r>
      <m:oMath>
        <m:r>
          <m:t xml:space="preserve">b</m:t>
        </m:r>
      </m:oMath>
      <w:r>
        <w:rPr>
          <w:rFonts w:ascii="Times New Roman" w:hAnsi="Times New Roman" w:eastAsia="Songti SC"/>
          <w:color w:val="000000"/>
        </w:rPr>
        <w:t>不接触</w:t>
      </w:r>
      <m:oMath>
        <m:r>
          <m:t xml:space="preserve">h</m:t>
        </m:r>
      </m:oMath>
      <w:r>
        <w:rPr>
          <w:rFonts w:ascii="Times New Roman" w:hAnsi="Times New Roman" w:eastAsia="Songti SC"/>
          <w:color w:val="000000"/>
        </w:rPr>
        <w:t>端点，</w:t>
      </w:r>
      <m:oMath>
        <m:r>
          <m:t xml:space="preserve">h</m:t>
        </m:r>
      </m:oMath>
      <w:r>
        <w:rPr>
          <w:rFonts w:ascii="Times New Roman" w:hAnsi="Times New Roman" w:eastAsia="Songti SC"/>
          <w:color w:val="000000"/>
        </w:rPr>
        <w:t>在该事务中保持未选；随后纯关系事务才能加入它。多步与全局集合在本例相等不证明通常相等。另一个两步轨迹删除</w:t>
      </w:r>
      <m:oMath>
        <m:r>
          <m:t xml:space="preserve">b</m:t>
        </m:r>
      </m:oMath>
      <w:r>
        <w:rPr>
          <w:rFonts w:ascii="Times New Roman" w:hAnsi="Times New Roman" w:eastAsia="Songti SC"/>
          <w:color w:val="000000"/>
        </w:rPr>
        <w:t>后重新插入，组件累计成本2、净成本0，说明不能用净变化代替实际编辑账本。两项结论均来自程序枚举与计数，不是对CDCP测试集的恢复率估计。</w:t>
      </w:r>
    </w:p>
    <w:p>
      <w:r>
        <w:rPr>
          <w:rFonts w:ascii="Times New Roman" w:hAnsi="Times New Roman" w:eastAsia="Songti SC"/>
          <w:color w:val="000000"/>
        </w:rPr>
        <w:t>逐文档最优也不保证语料micro最优。附录D.5给出两个文档的计数反例：逐文档选择得到micro-F1为0.3953，联合计数选择为1.8165。它只反驳错误的优化替代，不描述实际语料难度。金标Oracle与4.6.1使用预测效用的全局ILP，目标、门限和用途均不同。</w:t>
      </w:r>
    </w:p>
    <w:p>
      <w:pPr>
        <w:pStyle w:val="Heading3"/>
      </w:pPr>
      <w:r>
        <w:t>4.6.4 完整对象评分及接受后可靠性</w:t>
      </w:r>
      <w:bookmarkStart w:id="89" w:name="v6_89"/>
      <w:bookmarkEnd w:id="89"/>
    </w:p>
    <w:p>
      <w:r>
        <w:rPr>
          <w:rFonts w:ascii="Times New Roman" w:hAnsi="Times New Roman" w:eastAsia="Songti SC"/>
          <w:color w:val="000000"/>
        </w:rPr>
        <w:t>本版构造分数由输入设定，不来自学习或校准，因此不报告AUROC、Brier或校准改善。正式评分验证在固定提案集合上，以完整对象严格匹配为标签，按文档分组，保留来源、自然错误与构造扰动身份；单一类别时AUROC记为不适用。OOF生成器和跨度头均隔离持出文档及其变体；评分材料覆盖T0和T1的候选分布并保留来源，不能把生成器未输出的关系直接标作负例。概率校准讨论置信度与经验正确率的对应[45]，不能直接推出搜索后的误改风险。</w:t>
      </w:r>
    </w:p>
    <w:p>
      <w:pPr>
        <w:pStyle w:val="TableCaption"/>
      </w:pPr>
      <w:r>
        <w:rPr>
          <w:rFonts w:ascii="Times New Roman" w:hAnsi="Times New Roman" w:eastAsia="Songti SC"/>
          <w:color w:val="000000"/>
          <w:sz w:val="21"/>
        </w:rPr>
        <w:t>表4-5 评分验证的两个对象层次</w:t>
      </w:r>
      <w:bookmarkStart w:id="168" w:name="v6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评估层次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固定输入与统计单位</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可支持的结论边界</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候选完整对象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固定提案、概率、精确标签；文档分组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候选分布上的区分与校准，不等于接受后可靠</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实际接受的修改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真实轨迹、效用差、净TP/FP/FN</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搜索选择后的净计数与误改；混合变化保留向量</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构造分数与规则检查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人工q值与确定接受门</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条件分支正确，不能估计真实校准或误改率</w:t>
            </w:r>
          </w:p>
        </w:tc>
      </w:tr>
    </w:tbl>
    <w:p>
      <w:pPr>
        <w:spacing w:after="0" w:line="240" w:lineRule="auto"/>
      </w:pPr>
    </w:p>
    <w:p>
      <w:r>
        <w:rPr>
          <w:rFonts w:ascii="Times New Roman" w:hAnsi="Times New Roman" w:eastAsia="Songti SC"/>
          <w:color w:val="000000"/>
        </w:rPr>
        <w:t>关系评分器的正例必须匹配全部端点、类型、方向与标签，负例保留错误跨度、错误类型及错误源集合。OOF生成器和跨度头共同隔离持出折，校准集保持自然候选分布，策略选择另用开发子集。最终模型与OOF候选的分布差异需要单独检验；参数不共享不意味着误差独立。</w:t>
      </w:r>
    </w:p>
    <w:p>
      <w:pPr>
        <w:pStyle w:val="Heading3"/>
      </w:pPr>
      <w:r>
        <w:t>4.6.5 风险、资源与求解状态</w:t>
      </w:r>
      <w:bookmarkStart w:id="90" w:name="v6_90"/>
      <w:bookmarkEnd w:id="90"/>
    </w:p>
    <w:p>
      <w:r>
        <w:rPr>
          <w:rFonts w:ascii="Times New Roman" w:hAnsi="Times New Roman" w:eastAsia="Songti SC"/>
          <w:color w:val="000000"/>
        </w:rPr>
        <w:t>有益、中性与有害修改按真实TP、FP、FN和指标变化计算，代理效用上涨只描述接受规则。表4-3展示的是代理总效用下降路径，不据此虚构真实错误接受率。对所有方法，实际文档级净计数、原正确对象保留率、误加与误删构成共同报告单位；BR-J可另报事务级统计，不能强行给全局ILP套同一事务单位。</w:t>
      </w:r>
    </w:p>
    <w:p>
      <w:pPr>
        <w:pStyle w:val="TableCaption"/>
      </w:pPr>
      <w:r>
        <w:rPr>
          <w:rFonts w:ascii="Times New Roman" w:hAnsi="Times New Roman" w:eastAsia="Songti SC"/>
          <w:color w:val="000000"/>
          <w:sz w:val="21"/>
        </w:rPr>
        <w:t>表4-6 当前可核验的风险与成本边界</w:t>
      </w:r>
      <w:bookmarkStart w:id="169" w:name="v6_169"/>
      <w:bookmarkEnd w:id="16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已得到的构造证据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尚不能得出的结论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顺序提交的关系损失</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表4-3总效用1.10降至1.00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真实语料上顺序基线更差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新合法槽位未触达</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表4-4一次事务无法加入h</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多轮一定能恢复所有新合法边</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累计与净预算差异</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删除再插入累计2、净0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相同净预算代表相同操作成本</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局部与全局成本</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本版仅作小图穷举</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局部更快、更省token或性价比更高</w:t>
            </w:r>
          </w:p>
        </w:tc>
      </w:tr>
    </w:tbl>
    <w:p>
      <w:pPr>
        <w:spacing w:after="0" w:line="240" w:lineRule="auto"/>
      </w:pPr>
    </w:p>
    <w:p>
      <w:r>
        <w:rPr>
          <w:rFonts w:ascii="Times New Roman" w:hAnsi="Times New Roman" w:eastAsia="Songti SC"/>
          <w:color w:val="000000"/>
        </w:rPr>
        <w:t>正式成本包含候选构造、裁剪前全对象评分、所有求解调用及失败处理；补充保留4096槽位不代表只评分4096槽位。局部与全局方法采用相同求解软件及线程设置，按每文档总时限比较局部与全局，同时记录单次时限、线程、硬件和缓存。冷启动与缓存复用分列，充分求解和等资源结果分列。没有GPU、求解器及端到端运行数据，当前不换算真实秒数或费用，也不绘制性能预算曲线。</w:t>
      </w:r>
    </w:p>
    <w:p>
      <w:pPr>
        <w:pStyle w:val="Heading3"/>
      </w:pPr>
      <w:r>
        <w:t>4.6.6 案例身份与解释范围</w:t>
      </w:r>
      <w:bookmarkStart w:id="91" w:name="v6_91"/>
      <w:bookmarkEnd w:id="91"/>
    </w:p>
    <w:p>
      <w:r>
        <w:rPr>
          <w:rFonts w:ascii="Times New Roman" w:hAnsi="Times New Roman" w:eastAsia="Songti SC"/>
          <w:color w:val="000000"/>
        </w:rPr>
        <w:t>本章已展示两个完整输入可重建的构造案例：同分数下的顺序与联合分歧，以及CDCP式源连续性导致的非接触槽位恢复。二者均不冒充AAEC或CDCP原始文档，且均包含限制而不只展示有利情景。如需统一有益、中性或有害标签，须预先声明主指标，同时保留组件与关系净计数、真阳性损失及原正确对象保留情况。真实案例仍需同一文档的原文、金标、初始图、顺序结果、联合结果与真实轨迹，按预先确定的失败类别抽样；没有观测的类别如实记为未观察到。</w:t>
      </w:r>
    </w:p>
    <w:p>
      <w:pPr>
        <w:pStyle w:val="Heading2"/>
      </w:pPr>
      <w:r>
        <w:t>4.7 本章小结</w:t>
      </w:r>
      <w:bookmarkStart w:id="92" w:name="v6_92"/>
      <w:bookmarkEnd w:id="92"/>
    </w:p>
    <w:p>
      <w:r>
        <w:rPr>
          <w:rFonts w:ascii="Times New Roman" w:hAnsi="Times New Roman" w:eastAsia="Songti SC"/>
          <w:color w:val="000000"/>
        </w:rPr>
        <w:t>本章落实候选、槽位、动作、调度、最小合法化扩域、分步基线和Oracle定义。已执行的构造验证说明整体决策与分步提交可产生不同结果，并核实了候选覆盖不等于单事务可达、累计预算不等于净预算等边界。对RQ2，集合事务具备所声明的表达接口；真实恢复增量、误改频率和局部搜索的成本价值尚未获得语料实验支持。</w:t>
      </w:r>
    </w:p>
    <w:p>
      <w:pPr>
        <w:pStyle w:val="Heading1"/>
      </w:pPr>
      <w:r>
        <w:t>第五章 两阶段框架的综合分析</w:t>
      </w:r>
      <w:bookmarkStart w:id="93" w:name="v6_93"/>
      <w:bookmarkEnd w:id="93"/>
    </w:p>
    <w:p>
      <w:r>
        <w:rPr>
          <w:rFonts w:ascii="Times New Roman" w:hAnsi="Times New Roman" w:eastAsia="Songti SC"/>
          <w:color w:val="000000"/>
        </w:rPr>
        <w:t>本章将两项研究放入同一证据框架。已有构造验证回答接口是否明确、某些结构边界是否成立；训练与推理的任务收益需要同批真实运行。当前不存在可用于计算新增两阶段增量的四格语料结果，因此本章分析已建立的接口联系和证据缺口，不给出预期性能排序。</w:t>
      </w:r>
    </w:p>
    <w:p>
      <w:pPr>
        <w:pStyle w:val="Heading2"/>
      </w:pPr>
      <w:r>
        <w:t>5.1 两阶段组合及可比条件</w:t>
      </w:r>
      <w:bookmarkStart w:id="94" w:name="v6_94"/>
      <w:bookmarkEnd w:id="94"/>
    </w:p>
    <w:p>
      <w:r>
        <w:rPr>
          <w:rFonts w:ascii="Times New Roman" w:hAnsi="Times New Roman" w:eastAsia="Songti SC"/>
          <w:color w:val="000000"/>
        </w:rPr>
        <w:t>四格为T0＋I0、T1＋I0、T0＋I1、T1＋I1，其中I1为BR-J。同一训练检查点的I0和I1共享初始图和候选缓存身份；不同训练检查点各自生成候选，候选变化是训练效果的一部分。评分器使用预先声明的共同OOF训练与校准协议；若分别重训评分器，实验身份必须注明包含评分适配，不能仅归于生成器改变。</w:t>
      </w:r>
    </w:p>
    <w:p>
      <w:r>
        <w:rPr>
          <w:rFonts w:ascii="Times New Roman" w:hAnsi="Times New Roman" w:eastAsia="Songti SC"/>
          <w:color w:val="000000"/>
        </w:rPr>
        <w:t>第三章T1主行与第五章T1＋I0、第四章I0与BR-J主行和第五章对应四格，引用相同运行索引，不分别挑选最优种子。训练消融固定I0，推理消融固定T1，避免将全部消融作无必要的笛卡尔积。统计口径统一采用2.6节。</w:t>
      </w:r>
    </w:p>
    <w:p>
      <w:pPr>
        <w:pStyle w:val="Heading2"/>
      </w:pPr>
      <w:r>
        <w:t>5.2 当前证据与两阶段归因</w:t>
      </w:r>
      <w:bookmarkStart w:id="95" w:name="v6_95"/>
      <w:bookmarkEnd w:id="95"/>
    </w:p>
    <w:p>
      <w:pPr>
        <w:pStyle w:val="Heading3"/>
      </w:pPr>
      <w:r>
        <w:t>5.2.1 四格结果的身份约束</w:t>
      </w:r>
      <w:bookmarkStart w:id="96" w:name="v6_96"/>
      <w:bookmarkEnd w:id="96"/>
    </w:p>
    <w:p>
      <w:r>
        <w:rPr>
          <w:rFonts w:ascii="Times New Roman" w:hAnsi="Times New Roman" w:eastAsia="Songti SC"/>
          <w:color w:val="000000"/>
        </w:rPr>
        <w:t>表5-1记录四格所需材料及当前状态。“未运行”表示没有可接入的正式新增模型证据，不是零分，也不代表方法无效。附录E的旧系统成绩不能改名填入此表。</w:t>
      </w:r>
    </w:p>
    <w:p>
      <w:pPr>
        <w:pStyle w:val="TableCaption"/>
      </w:pPr>
      <w:r>
        <w:rPr>
          <w:rFonts w:ascii="Times New Roman" w:hAnsi="Times New Roman" w:eastAsia="Songti SC"/>
          <w:color w:val="000000"/>
          <w:sz w:val="21"/>
        </w:rPr>
        <w:t>表5-1 四格比较的运行对应关系</w:t>
      </w:r>
      <w:bookmarkStart w:id="170" w:name="v6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组合</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对应主文结果</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复用条件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当前状态</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第三章基础训练行</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冻结T0检查点及初始预测</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未形成正式新增运行</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第三章T1与第四章I0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同T1检查点、种子与预测</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未形成正式新增运行</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T0检查点上的BR-J</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与T0＋I0共用起点和候选</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未形成正式新增运行</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第四章BR-J主行</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复用同一份修正与评价结果</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未形成正式新增运行</w:t>
            </w:r>
          </w:p>
        </w:tc>
      </w:tr>
    </w:tbl>
    <w:p>
      <w:pPr>
        <w:spacing w:after="0" w:line="240" w:lineRule="auto"/>
      </w:pPr>
    </w:p>
    <w:p>
      <w:r>
        <w:rPr>
          <w:rFonts w:ascii="Times New Roman" w:hAnsi="Times New Roman" w:eastAsia="Songti SC"/>
          <w:color w:val="000000"/>
        </w:rPr>
        <w:t>令</w:t>
      </w:r>
      <m:oMath>
        <m:sSub>
          <m:e>
            <m:r>
              <m:t xml:space="preserve">F</m:t>
            </m:r>
          </m:e>
          <m:sub>
            <m:r>
              <m:t xml:space="preserve">t</m:t>
            </m:r>
            <m:r>
              <m:t xml:space="preserve">i</m:t>
            </m:r>
          </m:sub>
        </m:sSub>
      </m:oMath>
      <w:r>
        <w:rPr>
          <w:rFonts w:ascii="Times New Roman" w:hAnsi="Times New Roman" w:eastAsia="Songti SC"/>
          <w:color w:val="000000"/>
        </w:rPr>
        <w:t>表示同一指标、同一语料上四格的结果，交互差定义为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。实际计算按同一配对单位完成，既报告推理在T0、T1上的差值，也报告训练在I0、I1上的差值。本版没有</w:t>
      </w:r>
      <m:oMath>
        <m:sSub>
          <m:e>
            <m:r>
              <m:t xml:space="preserve">F</m:t>
            </m:r>
          </m:e>
          <m:sub>
            <m:r>
              <m:t xml:space="preserve">t</m:t>
            </m:r>
            <m:r>
              <m:t xml:space="preserve">i</m:t>
            </m:r>
          </m:sub>
        </m:sSub>
      </m:oMath>
      <w:r>
        <w:rPr>
          <w:rFonts w:ascii="Times New Roman" w:hAnsi="Times New Roman" w:eastAsia="Songti SC"/>
          <w:color w:val="000000"/>
        </w:rPr>
        <w:t>的正式观测值，故不填写</w:t>
      </w:r>
      <m:oMath>
        <m:r>
          <m:t xml:space="preserve">I</m:t>
        </m:r>
      </m:oMath>
      <w:r>
        <w:rPr>
          <w:rFonts w:ascii="Times New Roman" w:hAnsi="Times New Roman" w:eastAsia="Songti SC"/>
          <w:color w:val="000000"/>
        </w:rPr>
        <w:t>，不作超加性或互补性结论。人工设定一个正交互数值并不能补足该证据。</w:t>
      </w:r>
    </w:p>
    <w:p>
      <w:pPr>
        <w:pStyle w:val="Heading3"/>
      </w:pPr>
      <w:r>
        <w:t>5.2.2 错误变化与恢复空间的分析口径</w:t>
      </w:r>
      <w:bookmarkStart w:id="97" w:name="v6_97"/>
      <w:bookmarkEnd w:id="97"/>
    </w:p>
    <w:p>
      <w:r>
        <w:rPr>
          <w:rFonts w:ascii="Times New Roman" w:hAnsi="Times New Roman" w:eastAsia="Songti SC"/>
          <w:color w:val="000000"/>
        </w:rPr>
        <w:t>组合分析应先比较T0与T1在同一原始文档上的组件、关系净TP、FP、FN及错误类别，再比较各自I1相对I0的恢复和误改。四格复用表5-1的检查点、初始图与运行身份；不能换用不同成功文档子集，也不能把同一文档在多个种子中的预测当作新增独立文档。该分析用于判断训练后剩余错误是否仍在冻结候选和允许动作内，以及修正是否反复接受高分错误对象。</w:t>
      </w:r>
    </w:p>
    <w:p>
      <w:r>
        <w:rPr>
          <w:rFonts w:ascii="Times New Roman" w:hAnsi="Times New Roman" w:eastAsia="Songti SC"/>
          <w:color w:val="000000"/>
        </w:rPr>
        <w:t>交互差为正、接近零或为负都需要结合上述轨迹解释。正值不自动说明普遍互补；负值可能与剩余恢复空间减少或评分分布不适配有关，但没有实际记录时只是待检验解释。当前尚无这些观测，因此不预设错误分布或组合收益。方法章的坐标与小图构造例不重复充当综合效果发现。</w:t>
      </w:r>
    </w:p>
    <w:p>
      <w:pPr>
        <w:pStyle w:val="Heading2"/>
      </w:pPr>
      <w:r>
        <w:t>5.3 成本与效果主张的边界</w:t>
      </w:r>
      <w:bookmarkStart w:id="98" w:name="v6_98"/>
      <w:bookmarkEnd w:id="98"/>
    </w:p>
    <w:p>
      <w:r>
        <w:rPr>
          <w:rFonts w:ascii="Times New Roman" w:hAnsi="Times New Roman" w:eastAsia="Songti SC"/>
          <w:color w:val="000000"/>
        </w:rPr>
        <w:t>增强生成、审核、训练和OOF构造属于一次性或按检查点发生的投入；候选生成、评分及事务求解属于逐文档成本。比较必须保留被拒绝样本、失败调用和超时求解，不能只计算成功操作。累计与净编辑反例证明操作次数不能从最终图差异反推，但编辑数本身也不是秒数、token或经济成本。</w:t>
      </w:r>
    </w:p>
    <w:p>
      <w:r>
        <w:rPr>
          <w:rFonts w:ascii="Times New Roman" w:hAnsi="Times New Roman" w:eastAsia="Songti SC"/>
          <w:color w:val="000000"/>
        </w:rPr>
        <w:t>当前构造程序没有运行LLM、实际校准器或局部与全局ILP，因此本版不声称专门修正比通用重生成更划算，不以CPU小图枚举时间代表系统时延。质量与成本的结论须同时给出完整计数、独立统计不确定性和实测资源；一方增加收益而另一方增加误改时，应表述为取舍，而非安全保证。</w:t>
      </w:r>
    </w:p>
    <w:p>
      <w:pPr>
        <w:pStyle w:val="Heading2"/>
      </w:pPr>
      <w:r>
        <w:t>5.4 跨语料适用范围</w:t>
      </w:r>
      <w:bookmarkStart w:id="99" w:name="v6_99"/>
      <w:bookmarkEnd w:id="99"/>
    </w:p>
    <w:p>
      <w:r>
        <w:rPr>
          <w:rFonts w:ascii="Times New Roman" w:hAnsi="Times New Roman" w:eastAsia="Songti SC"/>
          <w:color w:val="000000"/>
        </w:rPr>
        <w:t>AAEC与CDCP是域内主要验证对象。CDCP的原生超边包含完整源集合，二元展开后的Link-F1是另一轨道，不能与原生超边F1计算直接降幅。跨域粗粒度组件映射沿用附录E.8的历史说明，但新增方法尚无迁移结果；使用目标域标签校准时，也不能再称纯零样本迁移。</w:t>
      </w:r>
    </w:p>
    <w:p>
      <w:r>
        <w:rPr>
          <w:rFonts w:ascii="Times New Roman" w:hAnsi="Times New Roman" w:eastAsia="Songti SC"/>
          <w:color w:val="000000"/>
        </w:rPr>
        <w:t>本版没有据未执行的线索扰动、长超边分组或跨域实验给出稳健性结论。这些问题进入第六章局限与后续验证，其定义可以保留，数值和效果不预设。此前训练集内稀疏模型诊断的错误分布，与正式LLM自然错误不同，不能填补该缺口。</w:t>
      </w:r>
    </w:p>
    <w:p>
      <w:pPr>
        <w:pStyle w:val="Heading2"/>
      </w:pPr>
      <w:r>
        <w:t>5.5 本章小结</w:t>
      </w:r>
      <w:bookmarkStart w:id="100" w:name="v6_100"/>
      <w:bookmarkEnd w:id="100"/>
    </w:p>
    <w:p>
      <w:r>
        <w:rPr>
          <w:rFonts w:ascii="Times New Roman" w:hAnsi="Times New Roman" w:eastAsia="Songti SC"/>
          <w:color w:val="000000"/>
        </w:rPr>
        <w:t>本章定义了四格运行的复用关系、阶段差值、交互差及错误与成本的共同分析单位。现有材料可以说明这些比较需要哪些条件，尚不能给出真实错误变化、组合收益或资源优势。四格结果应在同批正式运行完成后据观测重写，不能由构造例或历史汇总成绩替代。</w:t>
      </w:r>
    </w:p>
    <w:p>
      <w:pPr>
        <w:pStyle w:val="Heading1"/>
      </w:pPr>
      <w:r>
        <w:t>第六章 总结与展望</w:t>
      </w:r>
      <w:bookmarkStart w:id="101" w:name="v6_101"/>
      <w:bookmarkEnd w:id="101"/>
    </w:p>
    <w:p>
      <w:pPr>
        <w:pStyle w:val="Heading2"/>
      </w:pPr>
      <w:r>
        <w:t>6.1 研究总结</w:t>
      </w:r>
      <w:bookmarkStart w:id="102" w:name="v6_102"/>
      <w:bookmarkEnd w:id="102"/>
    </w:p>
    <w:p>
      <w:r>
        <w:rPr>
          <w:rFonts w:ascii="Times New Roman" w:hAnsi="Times New Roman" w:eastAsia="Songti SC"/>
          <w:color w:val="000000"/>
        </w:rPr>
        <w:t>本文围绕组件与关系之间的依赖，形成训练监督保持与推理结构恢复两项方法。训练阶段改变指定组件的表达，并维护经过检查的监督；推理阶段保持原文不变，协调修改模型预测的组件及其关系。两项研究使用统一任务表示，但分别作用于学习过程和结构决策过程。</w:t>
      </w:r>
    </w:p>
    <w:p>
      <w:r>
        <w:rPr>
          <w:rFonts w:ascii="Times New Roman" w:hAnsi="Times New Roman" w:eastAsia="Songti SC"/>
          <w:color w:val="000000"/>
        </w:rPr>
        <w:t>第一项研究在前期结论组件专项建模基础上，定义关系影响域约束的增强与成对因素学习。影响域按端点关联确定，同时覆盖内部、跨边界组合及正关系、NONE状态。标注迁移建立新旧组件对应，组件与关系监督连接增强数据和共享生成表示。第三章据此将增强质量、中心选择与同数据学习目标分别纳入比较，使研究问题对应到可识别的实验条件。</w:t>
      </w:r>
    </w:p>
    <w:p>
      <w:r>
        <w:rPr>
          <w:rFonts w:ascii="Times New Roman" w:hAnsi="Times New Roman" w:eastAsia="Songti SC"/>
          <w:color w:val="000000"/>
        </w:rPr>
        <w:t>第二项研究在前期多候选重排序与有界修正基础上，以兼容组件集合替换及全部受影响关系重建构成依赖闭合事务。完整对象评分与计数效用提供接受依据，整图约束、分项非下降条件和编辑预算限定可提交的修改。局部差值分析及有限终止性质说明固定候选与目标下的算法行为，第四章通过覆盖、评分、动作对照及风险成本分析区分恢复能力的来源。</w:t>
      </w:r>
    </w:p>
    <w:p>
      <w:r>
        <w:rPr>
          <w:rFonts w:ascii="Times New Roman" w:hAnsi="Times New Roman" w:eastAsia="Songti SC"/>
          <w:color w:val="000000"/>
        </w:rPr>
        <w:t>本版明确了允许自匹配的中心策略、条件反向槽位、外层提议与阶段提交的预算区别，并补充坐标拆合与状态队列的有限执行材料。已有构造结果支持某些接口性质及机制边界，例如非接触新合法关系可能需要后续事务、已提交阶段的成本不能因后续失败退回；它们不证明生产实现完整。监督可靠性、成对学习独立增量、真实恢复与误改、两阶段组合及成本价值仍未得到新增语料运行支持。本版据此保留方法主张，限定效果结论。</w:t>
      </w:r>
    </w:p>
    <w:p>
      <w:pPr>
        <w:pStyle w:val="Heading2"/>
      </w:pPr>
      <w:r>
        <w:t>6.2 研究局限</w:t>
      </w:r>
      <w:bookmarkStart w:id="103" w:name="v6_103"/>
      <w:bookmarkEnd w:id="103"/>
    </w:p>
    <w:p>
      <w:r>
        <w:rPr>
          <w:rFonts w:ascii="Times New Roman" w:hAnsi="Times New Roman" w:eastAsia="Songti SC"/>
          <w:color w:val="000000"/>
        </w:rPr>
        <w:t>训练监督的可靠性受语义检查和样本选择共同影响。检查器与一致性目标可能偏向容易改写、关系显式的样本；有限影响域不能覆盖任意潜在语义变化，NONE也可能反映标注不完备。过强对齐还可能压制有价值的表达差异。因此，标签可靠性、表达多样性、接受覆盖与原始文本上的严格任务表现需要共同考察。</w:t>
      </w:r>
    </w:p>
    <w:p>
      <w:r>
        <w:rPr>
          <w:rFonts w:ascii="Times New Roman" w:hAnsi="Times New Roman" w:eastAsia="Songti SC"/>
          <w:color w:val="000000"/>
        </w:rPr>
        <w:t>推理修正受候选和评分共同限制。未进入候选宇宙的正确跨度或完整超边不可恢复，搜索反复选择高分对象可能放大评分偏差。组件与关系分项非下降条件也可能拒绝真实有益但代理分量下降的事务。有限集合规模与预算不能覆盖任意分割、合并或远距离结构变化，局部方法的成本价值仍需与全局ILP和等资源重生成比较。</w:t>
      </w:r>
    </w:p>
    <w:p>
      <w:r>
        <w:rPr>
          <w:rFonts w:ascii="Times New Roman" w:hAnsi="Times New Roman" w:eastAsia="Songti SC"/>
          <w:color w:val="000000"/>
        </w:rPr>
        <w:t>语料规模、标注体系及历史结果的协议差异限制比较范围。训练集内CPU诊断不代表完整LLM系统，粗粒度迁移不代表原生超边迁移。新增方法的主结果、独立消融、标签审计和真实案例仍需与实际运行绑定；这些缺口限定当前结论强度，不改变对负结果和失败运行的报告要求。</w:t>
      </w:r>
    </w:p>
    <w:p>
      <w:pPr>
        <w:pStyle w:val="Heading2"/>
      </w:pPr>
      <w:r>
        <w:t>6.3 后续研究方向</w:t>
      </w:r>
      <w:bookmarkStart w:id="104" w:name="v6_104"/>
      <w:bookmarkEnd w:id="104"/>
    </w:p>
    <w:p>
      <w:r>
        <w:rPr>
          <w:rFonts w:ascii="Times New Roman" w:hAnsi="Times New Roman" w:eastAsia="Songti SC"/>
          <w:color w:val="000000"/>
        </w:rPr>
        <w:t>候选空间与计算代价之间的关系值得进一步研究。扩大跨度和超边组合可能覆盖更多错误，也增加评分、约束求解及选择错误高分对象的风险。后续可在固定资源条件下比较不同候选组织方式，同时观察覆盖、恢复、误改和成本，确定哪些扩展真正改善最终结构。</w:t>
      </w:r>
    </w:p>
    <w:p>
      <w:r>
        <w:rPr>
          <w:rFonts w:ascii="Times New Roman" w:hAnsi="Times New Roman" w:eastAsia="Songti SC"/>
          <w:color w:val="000000"/>
        </w:rPr>
        <w:t>语义检查与评分可靠性是另一方向。增强标签漂移和推理错误接受都受到模型判断影响，但两者的输入与监督目标不同。可针对隐式关系、长超边以及否定、模态和指代现象开展分组研究，分析不同错误在检查、校准及事务决策中如何传播，并评估拒绝策略的适用条件。</w:t>
      </w:r>
    </w:p>
    <w:p>
      <w:pPr>
        <w:pStyle w:val="Heading1"/>
      </w:pPr>
      <w:r>
        <w:t>参考文献</w:t>
      </w:r>
      <w:bookmarkStart w:id="105" w:name="v6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6" w:name="v6_106"/>
      <w:bookmarkEnd w:id="106"/>
    </w:p>
    <w:p>
      <w:pPr>
        <w:pStyle w:val="Heading2"/>
      </w:pPr>
      <w:r>
        <w:t>A.1 坐标与结构数据</w:t>
      </w:r>
      <w:bookmarkStart w:id="107" w:name="v6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6_108"/>
      <w:bookmarkEnd w:id="108"/>
    </w:p>
    <w:p>
      <w:pPr>
        <w:spacing w:line="380" w:lineRule="exact"/>
      </w:pPr>
      <w:r>
        <w:rPr>
          <w:rFonts w:ascii="Times New Roman" w:hAnsi="Times New Roman" w:eastAsia="Songti SC"/>
          <w:color w:val="000000"/>
          <w:sz w:val="22"/>
        </w:rPr>
        <w:t>表A-1给出结果复核所需的关联字段。历史成绩与新增实验分别维护运行身份，缺少原始材料时保留“未绑定”状态，不以新的参考实现补充证明历史运行。</w:t>
      </w:r>
    </w:p>
    <w:p>
      <w:pPr>
        <w:pStyle w:val="TableCaption"/>
        <w:spacing w:line="380" w:lineRule="exact"/>
      </w:pPr>
      <w:r>
        <w:rPr>
          <w:rFonts w:ascii="Times New Roman" w:hAnsi="Times New Roman" w:eastAsia="Songti SC"/>
          <w:color w:val="000000"/>
          <w:sz w:val="21"/>
        </w:rPr>
        <w:t>表A-1 复现材料的关联字段</w:t>
      </w:r>
      <w:bookmarkStart w:id="171" w:name="v6_171"/>
      <w:bookmarkEnd w:id="17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6_109"/>
      <w:bookmarkEnd w:id="109"/>
    </w:p>
    <w:p>
      <w:pPr>
        <w:spacing w:line="380" w:lineRule="exact"/>
      </w:pPr>
      <w:r>
        <w:rPr>
          <w:rFonts w:ascii="Times New Roman" w:hAnsi="Times New Roman" w:eastAsia="Songti SC"/>
          <w:color w:val="000000"/>
          <w:sz w:val="22"/>
        </w:rPr>
        <w:t>本文拟定的主实验范围为英文AAEC和CDCP，本版未完成新增方法的语料实验，也未验证中文或多语言能力。ORCHID面向中文辩论的目标无关立场检测和论辩对话摘要[28]，IAM整合多项论辩挖掘任务并使用英文资源[29]。二者可用于认识论辩任务的资源差异，但不直接替代从原文定位组件并预测关系的同协议测试。</w:t>
      </w:r>
    </w:p>
    <w:p>
      <w:pPr>
        <w:pStyle w:val="Heading2"/>
      </w:pPr>
      <w:r>
        <w:t>A.4 本版参考规约与配置身份</w:t>
      </w:r>
      <w:bookmarkStart w:id="110" w:name="v6_110"/>
      <w:bookmarkEnd w:id="110"/>
    </w:p>
    <w:p>
      <w:pPr>
        <w:spacing w:line="380" w:lineRule="exact"/>
      </w:pPr>
      <w:r>
        <w:rPr>
          <w:rFonts w:ascii="Times New Roman" w:hAnsi="Times New Roman" w:eastAsia="Songti SC"/>
          <w:color w:val="000000"/>
          <w:sz w:val="22"/>
        </w:rPr>
        <w:t>本版延续单中心、受保护候选、真实顺序提交和松弛Oracle分支，并采用复审方案的允许自匹配、条件反向和外层提议预算规则。配置身份为1009-v2-selfmatch-conditional-reverse-outer-proposal，与v1分开登记。其选择依据是可复现性与归因清楚，不是已测得的最优性能。配置文件为本地材料包中的reference_config.json，标记为方法参考配置；语料运行配置必须另行绑定，不能把本表参数宣传为开发集最优值。</w:t>
      </w:r>
    </w:p>
    <w:p>
      <w:pPr>
        <w:pStyle w:val="TableCaption"/>
        <w:spacing w:line="380" w:lineRule="exact"/>
      </w:pPr>
      <w:r>
        <w:rPr>
          <w:rFonts w:ascii="Times New Roman" w:hAnsi="Times New Roman" w:eastAsia="Songti SC"/>
          <w:color w:val="000000"/>
          <w:sz w:val="21"/>
        </w:rPr>
        <w:t>表A-2 本版参考配置</w:t>
      </w:r>
      <w:bookmarkStart w:id="172" w:name="v6_172"/>
      <w:bookmarkEnd w:id="17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构造验证效用</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仅构造输入，正式代价需独立开发选择</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上下文、预枚举及评分对象上限、调用、token、秒数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依实际模型与设备冻结；缺失时不启动正式运行</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结果登记与缺失处理</w:t>
      </w:r>
      <w:bookmarkStart w:id="111" w:name="v6_111"/>
      <w:bookmarkEnd w:id="111"/>
    </w:p>
    <w:p>
      <w:pPr>
        <w:spacing w:line="380" w:lineRule="exact"/>
      </w:pPr>
      <w:r>
        <w:rPr>
          <w:rFonts w:ascii="Times New Roman" w:hAnsi="Times New Roman" w:eastAsia="Songti SC"/>
          <w:color w:val="000000"/>
          <w:sz w:val="22"/>
        </w:rPr>
        <w:t>本版results_index.json只登记构造执行和其正文位置，语料实验状态为not_run。正式结果须包含数据与划分哈希、检查点哈希、配置哈希、种子、预测路径、逐文档TP/FP/FN和成本记录；跨章用run ID引用同一结果。禁止以人工填写F1代替预测，禁止从汇总概率指标反向生成假样本。构造实验明确标为CONSTRUCTED_EXECUTION_NOT_CORPUS_EXPERIMENT，不能进入AAEC或CDCP结果汇总。</w:t>
      </w:r>
    </w:p>
    <w:p>
      <w:pPr>
        <w:pStyle w:val="Heading1"/>
      </w:pPr>
      <w:r>
        <w:t>附录B 评分与事务执行记录</w:t>
      </w:r>
      <w:bookmarkStart w:id="112" w:name="v6_112"/>
      <w:bookmarkEnd w:id="112"/>
    </w:p>
    <w:p>
      <w:pPr>
        <w:pStyle w:val="Heading2"/>
      </w:pPr>
      <w:r>
        <w:t>B.1 数据与模型身份</w:t>
      </w:r>
      <w:bookmarkStart w:id="113" w:name="v6_113"/>
      <w:bookmarkEnd w:id="113"/>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4" w:name="v6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6_115"/>
      <w:bookmarkEnd w:id="115"/>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16" w:name="v6_116"/>
      <w:bookmarkEnd w:id="116"/>
    </w:p>
    <w:p>
      <w:pPr>
        <w:pStyle w:val="Heading3"/>
      </w:pPr>
      <w:r>
        <w:t>B.4.1 已执行的构造检查</w:t>
      </w:r>
      <w:bookmarkStart w:id="117" w:name="v6_117"/>
      <w:bookmarkEnd w:id="117"/>
    </w:p>
    <w:p>
      <w:pPr>
        <w:spacing w:line="380" w:lineRule="exact"/>
      </w:pPr>
      <w:r>
        <w:rPr>
          <w:rFonts w:ascii="Times New Roman" w:hAnsi="Times New Roman" w:eastAsia="Songti SC"/>
          <w:color w:val="000000"/>
          <w:sz w:val="22"/>
        </w:rPr>
        <w:t>本版保留并原样复算v1机制程序，另运行中心匹配、条件反向、分阶段账本、带坐标拆合与状态队列的接口参考程序。输入、断言、结果及范围见附录D.4和D.6。接口程序中的阶段成败与资源单位由fixture预设；破同分检查使用有限候选排序，均不是实际ILP、模型或持久化事务测试。</w:t>
      </w:r>
    </w:p>
    <w:p>
      <w:pPr>
        <w:pStyle w:val="Heading3"/>
      </w:pPr>
      <w:r>
        <w:t>B.4.2 正式实现的待执行验收</w:t>
      </w:r>
      <w:bookmarkStart w:id="118" w:name="v6_118"/>
      <w:bookmarkEnd w:id="118"/>
    </w:p>
    <w:p>
      <w:pPr>
        <w:spacing w:line="380" w:lineRule="exact"/>
      </w:pPr>
      <w:r>
        <w:rPr>
          <w:rFonts w:ascii="Times New Roman" w:hAnsi="Times New Roman" w:eastAsia="Songti SC"/>
          <w:color w:val="000000"/>
          <w:sz w:val="22"/>
        </w:rPr>
        <w:t>真实实现仍须保存下列模块的小输入执行证据：真实分词器的三层坐标往返；回答前表示的输入隔离；共享LoRA、冻结基础权重及专项分支的梯度路径；连续提示和门控轨迹；空域、变体数与末批损失归一化；生产候选保护、扩展、裁剪与哈希；生产队列跨轮和状态变更轨迹；实际ILP与小图穷举的可行性、目标和预算对照；非法、无解、两类超时、提交失败与中断的完整状态恢复；严格组件与原生超边的逐文档计数。</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这些项目当前是验收要求，不登记为已接入或已通过。</w:t>
      </w:r>
    </w:p>
    <w:p>
      <w:pPr>
        <w:pStyle w:val="Heading2"/>
      </w:pPr>
      <w:r>
        <w:t>B.5 真实案例的统一记录模板</w:t>
      </w:r>
      <w:bookmarkStart w:id="119" w:name="v6_119"/>
      <w:bookmarkEnd w:id="119"/>
    </w:p>
    <w:p>
      <w:pPr>
        <w:spacing w:line="380" w:lineRule="exact"/>
      </w:pPr>
      <w:r>
        <w:rPr>
          <w:rFonts w:ascii="Times New Roman" w:hAnsi="Times New Roman" w:eastAsia="Songti SC"/>
          <w:color w:val="000000"/>
          <w:sz w:val="22"/>
        </w:rPr>
        <w:t>成功恢复、错误接受、错误拒绝、候选不可达和预算耗尽使用相同字段，按预先固定的误差类别与抽样规则选取真实测试记录。该模板用于后续真实预测与日志，构造对象验证另见附录D.4，不混入真实案例。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20" w:name="v6_120"/>
      <w:bookmarkEnd w:id="120"/>
    </w:p>
    <w:p>
      <w:pPr>
        <w:pStyle w:val="Heading2"/>
      </w:pPr>
      <w:r>
        <w:t>C.1 前期共同成果</w:t>
      </w:r>
      <w:bookmarkStart w:id="121" w:name="v6_121"/>
      <w:bookmarkEnd w:id="121"/>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2" w:name="v6_122"/>
      <w:bookmarkEnd w:id="122"/>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版新增本地构造验证程序、参考配置、结果JSON和修订索引，位置见附录D.4；这些材料可以复核文中小图结论，不包含训练后的模型。新增方法的正式检查点、语料逐例预测、完整事务轨迹和运行配置尚未形成；既有参考工程及本版构造验证不声明为完整端到端复现包。外部公开范围及存放入口仍由作者核准。</w:t>
      </w:r>
    </w:p>
    <w:p>
      <w:pPr>
        <w:pStyle w:val="Heading2"/>
      </w:pPr>
      <w:r>
        <w:t>C.3 研究辅助与伦理说明</w:t>
      </w:r>
      <w:bookmarkStart w:id="123" w:name="v6_123"/>
      <w:bookmarkEnd w:id="123"/>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本文拟开展的标签可靠性人工审计尚未形成可报告的判断者人数、分歧裁决或一致性统计，本版不填入相关数值。后续涉及人员参与、语料再使用及可能的敏感信息时，应按实际研究内容履行适用的机构程序；本文不代替伦理审查或自行认定豁免。</w:t>
      </w:r>
    </w:p>
    <w:p>
      <w:pPr>
        <w:pStyle w:val="Heading2"/>
      </w:pPr>
      <w:r>
        <w:t>C.4 资助与利益冲突</w:t>
      </w:r>
      <w:bookmarkStart w:id="124" w:name="v6_124"/>
      <w:bookmarkEnd w:id="124"/>
    </w:p>
    <w:p>
      <w:pPr>
        <w:spacing w:line="380" w:lineRule="exact"/>
      </w:pPr>
      <w:r>
        <w:rPr>
          <w:rFonts w:ascii="Times New Roman" w:hAnsi="Times New Roman" w:eastAsia="Songti SC"/>
          <w:color w:val="000000"/>
          <w:sz w:val="22"/>
        </w:rPr>
        <w:t>资助来源和利益冲突信息尚待作者依据真实情况确认。本版保留这一未确认状态，不据材料缺失推断“无资助”或“无利益冲突”。学位论文原创性声明、使用授权、签名和日期按学校适用表单由相应责任人核准，不移植参考论文的声明与身份信息。</w:t>
      </w:r>
    </w:p>
    <w:p>
      <w:pPr>
        <w:pStyle w:val="Heading1"/>
      </w:pPr>
      <w:r>
        <w:t>附录D 前期实验基础与轻量诊断</w:t>
      </w:r>
      <w:bookmarkStart w:id="125" w:name="v6_125"/>
      <w:bookmarkEnd w:id="125"/>
    </w:p>
    <w:p>
      <w:pPr>
        <w:pStyle w:val="Heading2"/>
      </w:pPr>
      <w:r>
        <w:t>D.1 前期结果的使用范围</w:t>
      </w:r>
      <w:bookmarkStart w:id="126" w:name="v6_126"/>
      <w:bookmarkEnd w:id="126"/>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7" w:name="v6_127"/>
      <w:bookmarkEnd w:id="127"/>
    </w:p>
    <w:p>
      <w:pPr>
        <w:spacing w:line="380" w:lineRule="exact"/>
      </w:pPr>
      <w:r>
        <w:rPr>
          <w:rFonts w:ascii="Times New Roman" w:hAnsi="Times New Roman" w:eastAsia="Songti SC"/>
          <w:color w:val="000000"/>
          <w:sz w:val="22"/>
        </w:rPr>
        <w:t>既有CPU诊断记录仅使用官方训练集内容。AAEC纳入322篇，按拟合、校准、审计划为191、65、66篇；CDCP在记录排除文档00411后纳入580篇，对应348、116、116篇。划分按完整文本哈希分组，测试文件未用于解析、拟合、选择或评分。AAEC使用固定版本镜像及官方划分文件，镜像与原下载包的逐字节一致性尚未证明；CDCP的数据异常和跨度映射问题保留在原诊断日志中。这些数量只描述该次轻量诊断，不能填入表2-2作为新增正式实验划分。</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8" w:name="v6_128"/>
      <w:bookmarkEnd w:id="128"/>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29" w:name="v6_129"/>
      <w:bookmarkEnd w:id="129"/>
    </w:p>
    <w:p>
      <w:pPr>
        <w:spacing w:line="380" w:lineRule="exact"/>
      </w:pPr>
      <w:r>
        <w:rPr>
          <w:rFonts w:ascii="Times New Roman" w:hAnsi="Times New Roman" w:eastAsia="Songti SC"/>
          <w:color w:val="000000"/>
          <w:sz w:val="22"/>
        </w:rPr>
        <w:t>2026年10月9日，v2将v1的validate_mechanisms.py逐字复制到_revision_1009_v2后重新运行，19项机制断言通过，结果与v1保存的JSON一致，原文件未覆盖。另运行validate_interfaces.py，40项有限接口断言通过，结果见interface_results.json；这些数量表示该组构造输入的断言数，不表示真实实现覆盖率或研究贡献数量。两个程序仅使用Python标准库，不调用模型、语料、自动求导或ILP。结果文件保存代码及适用配置哈希，交付清单绑定正文和Word。</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这些不是AAEC、CDCP实验值。该小图仅含组件顺序及抽象删增形态；7／29／29不因本轮补充坐标测试而被改写，也不能据此宣称主算法的全部拆分、合并已经实现。</w:t>
      </w:r>
    </w:p>
    <w:p>
      <w:pPr>
        <w:pStyle w:val="Heading2"/>
      </w:pPr>
      <w:r>
        <w:t>D.5 micro优化的计数反例</w:t>
      </w:r>
      <w:bookmarkStart w:id="130" w:name="v6_130"/>
      <w:bookmarkEnd w:id="130"/>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本轮接口构造材料</w:t>
      </w:r>
      <w:bookmarkStart w:id="131" w:name="v6_131"/>
      <w:bookmarkEnd w:id="131"/>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上述结果只验证独立参考函数；生产候选、调度器、求解器和原子存储路径仍待附录B.4.2的实际验收。</w:t>
      </w:r>
    </w:p>
    <w:p>
      <w:pPr>
        <w:pStyle w:val="Heading1"/>
      </w:pPr>
      <w:r>
        <w:t>附录E 前期数值与协议存档</w:t>
      </w:r>
      <w:bookmarkStart w:id="132" w:name="v6_132"/>
      <w:bookmarkEnd w:id="132"/>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3" w:name="v6_133"/>
      <w:bookmarkEnd w:id="133"/>
    </w:p>
    <w:p>
      <w:pPr>
        <w:pStyle w:val="TableCaption"/>
        <w:spacing w:line="380" w:lineRule="exact"/>
      </w:pPr>
      <w:r>
        <w:rPr>
          <w:rFonts w:ascii="Times New Roman" w:hAnsi="Times New Roman" w:eastAsia="Songti SC"/>
          <w:color w:val="000000"/>
          <w:sz w:val="21"/>
        </w:rPr>
        <w:t>表E-1 AAEC组件分类别旧稿记录</w:t>
      </w:r>
      <w:bookmarkStart w:id="173" w:name="v6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4" w:name="v6_134"/>
      <w:bookmarkEnd w:id="134"/>
    </w:p>
    <w:p>
      <w:pPr>
        <w:pStyle w:val="TableCaption"/>
        <w:spacing w:line="380" w:lineRule="exact"/>
      </w:pPr>
      <w:r>
        <w:rPr>
          <w:rFonts w:ascii="Times New Roman" w:hAnsi="Times New Roman" w:eastAsia="Songti SC"/>
          <w:color w:val="000000"/>
          <w:sz w:val="21"/>
        </w:rPr>
        <w:t>表E-2 ICIC原版AAEC域内结果记录</w:t>
      </w:r>
      <w:bookmarkStart w:id="174" w:name="v6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5" w:name="v6_135"/>
      <w:bookmarkEnd w:id="135"/>
    </w:p>
    <w:p>
      <w:pPr>
        <w:pStyle w:val="TableCaption"/>
        <w:spacing w:line="380" w:lineRule="exact"/>
      </w:pPr>
      <w:r>
        <w:rPr>
          <w:rFonts w:ascii="Times New Roman" w:hAnsi="Times New Roman" w:eastAsia="Songti SC"/>
          <w:color w:val="000000"/>
          <w:sz w:val="21"/>
        </w:rPr>
        <w:t>表E-3 ICIC原版CDCP域内结果记录</w:t>
      </w:r>
      <w:bookmarkStart w:id="175" w:name="v6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6" w:name="v6_136"/>
      <w:bookmarkEnd w:id="136"/>
    </w:p>
    <w:p>
      <w:pPr>
        <w:pStyle w:val="TableCaption"/>
        <w:spacing w:line="380" w:lineRule="exact"/>
      </w:pPr>
      <w:r>
        <w:rPr>
          <w:rFonts w:ascii="Times New Roman" w:hAnsi="Times New Roman" w:eastAsia="Songti SC"/>
          <w:color w:val="000000"/>
          <w:sz w:val="21"/>
        </w:rPr>
        <w:t>表E-4 ICIC原版模块消融记录</w:t>
      </w:r>
      <w:bookmarkStart w:id="176" w:name="v6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7" w:name="v6_137"/>
      <w:bookmarkEnd w:id="137"/>
    </w:p>
    <w:p>
      <w:pPr>
        <w:pStyle w:val="TableCaption"/>
        <w:spacing w:line="380" w:lineRule="exact"/>
      </w:pPr>
      <w:r>
        <w:rPr>
          <w:rFonts w:ascii="Times New Roman" w:hAnsi="Times New Roman" w:eastAsia="Songti SC"/>
          <w:color w:val="000000"/>
          <w:sz w:val="21"/>
        </w:rPr>
        <w:t>表E-5 ICIC原版验证器替换记录</w:t>
      </w:r>
      <w:bookmarkStart w:id="177" w:name="v6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8" w:name="v6_138"/>
      <w:bookmarkEnd w:id="138"/>
    </w:p>
    <w:p>
      <w:pPr>
        <w:pStyle w:val="TableCaption"/>
        <w:spacing w:line="380" w:lineRule="exact"/>
      </w:pPr>
      <w:r>
        <w:rPr>
          <w:rFonts w:ascii="Times New Roman" w:hAnsi="Times New Roman" w:eastAsia="Songti SC"/>
          <w:color w:val="000000"/>
          <w:sz w:val="21"/>
        </w:rPr>
        <w:t>表E-6 ICIC原版Oracle记录</w:t>
      </w:r>
      <w:bookmarkStart w:id="178" w:name="v6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9" w:name="v6_139"/>
      <w:bookmarkEnd w:id="139"/>
    </w:p>
    <w:p>
      <w:pPr>
        <w:pStyle w:val="TableCaption"/>
        <w:spacing w:line="380" w:lineRule="exact"/>
      </w:pPr>
      <w:r>
        <w:rPr>
          <w:rFonts w:ascii="Times New Roman" w:hAnsi="Times New Roman" w:eastAsia="Songti SC"/>
          <w:color w:val="000000"/>
          <w:sz w:val="21"/>
        </w:rPr>
        <w:t>表E-7 ICIC原版修正行为记录</w:t>
      </w:r>
      <w:bookmarkStart w:id="179" w:name="v6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0" w:name="v6_140"/>
      <w:bookmarkEnd w:id="140"/>
    </w:p>
    <w:p>
      <w:pPr>
        <w:pStyle w:val="TableCaption"/>
        <w:spacing w:line="380" w:lineRule="exact"/>
      </w:pPr>
      <w:r>
        <w:rPr>
          <w:rFonts w:ascii="Times New Roman" w:hAnsi="Times New Roman" w:eastAsia="Songti SC"/>
          <w:color w:val="000000"/>
          <w:sz w:val="21"/>
        </w:rPr>
        <w:t>表E-8 前期粗粒度组件映射</w:t>
      </w:r>
      <w:bookmarkStart w:id="180" w:name="v6_180"/>
      <w:bookmarkEnd w:id="18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1" w:name="v6_141"/>
      <w:bookmarkEnd w:id="141"/>
    </w:p>
    <w:p>
      <w:pPr>
        <w:pStyle w:val="TableCaption"/>
        <w:spacing w:line="380" w:lineRule="exact"/>
      </w:pPr>
      <w:r>
        <w:rPr>
          <w:rFonts w:ascii="Times New Roman" w:hAnsi="Times New Roman" w:eastAsia="Songti SC"/>
          <w:color w:val="000000"/>
          <w:sz w:val="21"/>
        </w:rPr>
        <w:t>表E-9 ICIC原版AAEC到CDCP迁移记录</w:t>
      </w:r>
      <w:bookmarkStart w:id="181" w:name="v6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2" w:name="v6_142"/>
      <w:bookmarkEnd w:id="142"/>
    </w:p>
    <w:p>
      <w:pPr>
        <w:pStyle w:val="Heading2"/>
      </w:pPr>
      <w:r>
        <w:t>F.1 核心术语与符号</w:t>
      </w:r>
      <w:bookmarkStart w:id="143" w:name="v6_143"/>
      <w:bookmarkEnd w:id="143"/>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本版正文不再保留预期性能占位数值，构造验证以其输入身份标注。</w:t>
      </w:r>
    </w:p>
    <w:p>
      <w:pPr>
        <w:pStyle w:val="TableCaption"/>
        <w:spacing w:line="380" w:lineRule="exact"/>
      </w:pPr>
      <w:r>
        <w:rPr>
          <w:rFonts w:ascii="Times New Roman" w:hAnsi="Times New Roman" w:eastAsia="Songti SC"/>
          <w:color w:val="000000"/>
          <w:sz w:val="21"/>
        </w:rPr>
        <w:t>表F-1 核心符号及其语义</w:t>
      </w:r>
      <w:bookmarkStart w:id="182" w:name="v6_182"/>
      <w:bookmarkEnd w:id="18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4" w:name="v6_144"/>
      <w:bookmarkEnd w:id="144"/>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正式接入后须以非零对齐损失的受控输入单独反传，检查共享生成参数的计算图连接及梯度范数、基础权重冻结、隐藏状态未分离且输入不含金标回答；单个零梯度不自动说明断路。本版未执行真实自动求导，这里是接口验收要求。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当前执行材料仅为独立构造程序。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5" w:name="v6_145"/>
      <w:bookmarkEnd w:id="145"/>
    </w:p>
    <w:p>
      <w:pPr>
        <w:spacing w:line="380" w:lineRule="exact"/>
      </w:pPr>
      <w:r>
        <w:rPr>
          <w:rFonts w:ascii="Times New Roman" w:hAnsi="Times New Roman" w:eastAsia="Songti SC"/>
          <w:color w:val="000000"/>
          <w:sz w:val="22"/>
        </w:rPr>
        <w:t>表F-2将概念、方法和验证位置对应起来，便于连续阅读和交叉回查。该索引只说明正文组织，不表示尚待接入的正式实验已经完成。</w:t>
      </w:r>
    </w:p>
    <w:p>
      <w:pPr>
        <w:pStyle w:val="TableCaption"/>
        <w:spacing w:line="380" w:lineRule="exact"/>
      </w:pPr>
      <w:r>
        <w:rPr>
          <w:rFonts w:ascii="Times New Roman" w:hAnsi="Times New Roman" w:eastAsia="Songti SC"/>
          <w:color w:val="000000"/>
          <w:sz w:val="21"/>
        </w:rPr>
        <w:t>表F-2 方法与实验的阅读索引</w:t>
      </w:r>
      <w:bookmarkStart w:id="183" w:name="v6_183"/>
      <w:bookmarkEnd w:id="18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3.6.1同数据对照；3.6.3证据边界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5.1至5.3四格身份与证据边界</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97"/>
      <w:footerReference w:type="default" r:id="rId98"/>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1009-v2 修订稿　构造验证不替代语料实验</dc:subject>
  <dc:creator>Chen Tang</dc:creator>
  <cp:keywords>关系感知学习 依赖闭合修正 构造验证 语料实证未完成</cp:keywords>
  <dc:description>generated by python-docx</dc:description>
  <cp:lastModifiedBy/>
  <cp:revision>1</cp:revision>
  <dcterms:created xsi:type="dcterms:W3CDTF">2013-12-23T23:15:00Z</dcterms:created>
  <dcterms:modified xsi:type="dcterms:W3CDTF">2013-12-23T23:15:00Z</dcterms:modified>
  <cp:category/>
</cp:coreProperties>
</file>