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1009-v3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新增实验表图、审计判定、运行配置、成本及案例均为人工设定并由程序汇总的计数级模拟情景，不代表真实实验记录或效果预测。全文采用完整论文的叙述方式，供结构与分析推敲；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7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以AAEC与CDCP任务表示开展比较，T1相对T0的严格关系F1分别增加7.32和7.21个百分点；BR-J相对T1初始图分别增加5.99和6.71个百分点。固定增强数据的比较区分了辅助监督与成对对齐的增量；同候选下的分步与联合策略比较揭示了不同信息和接受门的作用。四格组合相对共同起点分别增加13.31和13.92个百分点，但关系交互区间均包含0，不支持稳定的超加性。候选限制、长源集合及误改仍影响结果，局部修正与全局求解之间体现质量和计算成本的取舍。</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7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Under the AAEC and CDCP task representations, T1 improves strict relation F1 over T0 by 7.32 and 7.21 percentage points, respectively, while BR-J adds 5.99 and 6.71 points over the T1 initial predictions. Comparisons on identical augmentation sets separate the effects of auxiliary supervision and paired alignment. The sequential baseline and joint strategy differ in information use, acceptance conditions, and proposal ranking; their contrast does not isolate execution order alone. The full combination improves on the common starting point by 13.31 and 13.92 points, but the relation interaction intervals include zero. Candidate limitations, long source sets, and harmful edits remain relevant, and local repair trades quality and computation against global optimization.</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7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7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7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7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7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7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7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7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7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7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7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7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7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7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7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7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7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7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7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7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7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7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7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7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7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7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7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7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7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7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7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17</w:t>
        </w:r>
      </w:hyperlink>
    </w:p>
    <w:p>
      <w:pPr>
        <w:pStyle w:val="TOC2"/>
      </w:pPr>
      <w:hyperlink w:anchor="v7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7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7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7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7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7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7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7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7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23</w:t>
        </w:r>
      </w:hyperlink>
    </w:p>
    <w:p>
      <w:pPr>
        <w:pStyle w:val="TOC3"/>
      </w:pPr>
      <w:hyperlink w:anchor="v7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24</w:t>
        </w:r>
      </w:hyperlink>
    </w:p>
    <w:p>
      <w:pPr>
        <w:pStyle w:val="TOC3"/>
      </w:pPr>
      <w:hyperlink w:anchor="v7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7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7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7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7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7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7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7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7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30</w:t>
        </w:r>
      </w:hyperlink>
    </w:p>
    <w:p>
      <w:pPr>
        <w:pStyle w:val="TOC3"/>
      </w:pPr>
      <w:hyperlink w:anchor="v7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31</w:t>
        </w:r>
      </w:hyperlink>
    </w:p>
    <w:p>
      <w:pPr>
        <w:pStyle w:val="TOC3"/>
      </w:pPr>
      <w:hyperlink w:anchor="v7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32</w:t>
        </w:r>
      </w:hyperlink>
    </w:p>
    <w:p>
      <w:pPr>
        <w:pStyle w:val="TOC2"/>
      </w:pPr>
      <w:hyperlink w:anchor="v7_62" w:history="1">
        <w:r>
          <w:rPr>
            <w:rFonts w:ascii="Times New Roman" w:hAnsi="Times New Roman" w:eastAsia="Songti SC"/>
            <w:color w:val="000000"/>
            <w:sz w:val="22"/>
          </w:rPr>
          <w:t>3.7 本章小结</w:t>
        </w:r>
        <w:r>
          <w:rPr>
            <w:rFonts w:ascii="Times New Roman" w:hAnsi="Times New Roman" w:eastAsia="Songti SC"/>
            <w:color w:val="000000"/>
            <w:sz w:val="22"/>
          </w:rPr>
          <w:tab/>
          <w:t>33</w:t>
        </w:r>
      </w:hyperlink>
    </w:p>
    <w:p>
      <w:pPr>
        <w:pStyle w:val="TOC1"/>
        <w:keepNext/>
        <w:spacing w:before="120"/>
      </w:pPr>
      <w:hyperlink w:anchor="v7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34</w:t>
        </w:r>
      </w:hyperlink>
    </w:p>
    <w:p>
      <w:pPr>
        <w:pStyle w:val="TOC2"/>
      </w:pPr>
      <w:hyperlink w:anchor="v7_64" w:history="1">
        <w:r>
          <w:rPr>
            <w:rFonts w:ascii="Times New Roman" w:hAnsi="Times New Roman" w:eastAsia="Songti SC"/>
            <w:color w:val="000000"/>
            <w:sz w:val="22"/>
          </w:rPr>
          <w:t>4.1 引言</w:t>
        </w:r>
        <w:r>
          <w:rPr>
            <w:rFonts w:ascii="Times New Roman" w:hAnsi="Times New Roman" w:eastAsia="Songti SC"/>
            <w:color w:val="000000"/>
            <w:sz w:val="22"/>
          </w:rPr>
          <w:tab/>
          <w:t>34</w:t>
        </w:r>
      </w:hyperlink>
    </w:p>
    <w:p>
      <w:pPr>
        <w:pStyle w:val="TOC2"/>
      </w:pPr>
      <w:hyperlink w:anchor="v7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36</w:t>
        </w:r>
      </w:hyperlink>
    </w:p>
    <w:p>
      <w:pPr>
        <w:pStyle w:val="TOC3"/>
      </w:pPr>
      <w:hyperlink w:anchor="v7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36</w:t>
        </w:r>
      </w:hyperlink>
    </w:p>
    <w:p>
      <w:pPr>
        <w:pStyle w:val="TOC3"/>
      </w:pPr>
      <w:hyperlink w:anchor="v7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36</w:t>
        </w:r>
      </w:hyperlink>
    </w:p>
    <w:p>
      <w:pPr>
        <w:pStyle w:val="TOC3"/>
      </w:pPr>
      <w:hyperlink w:anchor="v7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37</w:t>
        </w:r>
      </w:hyperlink>
    </w:p>
    <w:p>
      <w:pPr>
        <w:pStyle w:val="TOC3"/>
      </w:pPr>
      <w:hyperlink w:anchor="v7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2"/>
      </w:pPr>
      <w:hyperlink w:anchor="v7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38</w:t>
        </w:r>
      </w:hyperlink>
    </w:p>
    <w:p>
      <w:pPr>
        <w:pStyle w:val="TOC3"/>
      </w:pPr>
      <w:hyperlink w:anchor="v7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38</w:t>
        </w:r>
      </w:hyperlink>
    </w:p>
    <w:p>
      <w:pPr>
        <w:pStyle w:val="TOC3"/>
      </w:pPr>
      <w:hyperlink w:anchor="v7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39</w:t>
        </w:r>
      </w:hyperlink>
    </w:p>
    <w:p>
      <w:pPr>
        <w:pStyle w:val="TOC2"/>
      </w:pPr>
      <w:hyperlink w:anchor="v7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40</w:t>
        </w:r>
      </w:hyperlink>
    </w:p>
    <w:p>
      <w:pPr>
        <w:pStyle w:val="TOC3"/>
      </w:pPr>
      <w:hyperlink w:anchor="v7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40</w:t>
        </w:r>
      </w:hyperlink>
    </w:p>
    <w:p>
      <w:pPr>
        <w:pStyle w:val="TOC3"/>
      </w:pPr>
      <w:hyperlink w:anchor="v7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41</w:t>
        </w:r>
      </w:hyperlink>
    </w:p>
    <w:p>
      <w:pPr>
        <w:pStyle w:val="TOC3"/>
      </w:pPr>
      <w:hyperlink w:anchor="v7_76" w:history="1">
        <w:r>
          <w:rPr>
            <w:rFonts w:ascii="Times New Roman" w:hAnsi="Times New Roman" w:eastAsia="Songti SC"/>
            <w:color w:val="000000"/>
            <w:sz w:val="22"/>
          </w:rPr>
          <w:t>4.4.3 固定计数效用</w:t>
        </w:r>
        <w:r>
          <w:rPr>
            <w:rFonts w:ascii="Times New Roman" w:hAnsi="Times New Roman" w:eastAsia="Songti SC"/>
            <w:color w:val="000000"/>
            <w:sz w:val="22"/>
          </w:rPr>
          <w:tab/>
          <w:t>41</w:t>
        </w:r>
      </w:hyperlink>
    </w:p>
    <w:p>
      <w:pPr>
        <w:pStyle w:val="TOC3"/>
      </w:pPr>
      <w:hyperlink w:anchor="v7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42</w:t>
        </w:r>
      </w:hyperlink>
    </w:p>
    <w:p>
      <w:pPr>
        <w:pStyle w:val="TOC3"/>
      </w:pPr>
      <w:hyperlink w:anchor="v7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42</w:t>
        </w:r>
      </w:hyperlink>
    </w:p>
    <w:p>
      <w:pPr>
        <w:pStyle w:val="TOC2"/>
      </w:pPr>
      <w:hyperlink w:anchor="v7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43</w:t>
        </w:r>
      </w:hyperlink>
    </w:p>
    <w:p>
      <w:pPr>
        <w:pStyle w:val="TOC3"/>
      </w:pPr>
      <w:hyperlink w:anchor="v7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44</w:t>
        </w:r>
      </w:hyperlink>
    </w:p>
    <w:p>
      <w:pPr>
        <w:pStyle w:val="TOC3"/>
      </w:pPr>
      <w:hyperlink w:anchor="v7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45</w:t>
        </w:r>
      </w:hyperlink>
    </w:p>
    <w:p>
      <w:pPr>
        <w:pStyle w:val="TOC3"/>
      </w:pPr>
      <w:hyperlink w:anchor="v7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47</w:t>
        </w:r>
      </w:hyperlink>
    </w:p>
    <w:p>
      <w:pPr>
        <w:pStyle w:val="TOC3"/>
      </w:pPr>
      <w:hyperlink w:anchor="v7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48</w:t>
        </w:r>
      </w:hyperlink>
    </w:p>
    <w:p>
      <w:pPr>
        <w:pStyle w:val="TOC3"/>
      </w:pPr>
      <w:hyperlink w:anchor="v7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48</w:t>
        </w:r>
      </w:hyperlink>
    </w:p>
    <w:p>
      <w:pPr>
        <w:pStyle w:val="TOC2"/>
      </w:pPr>
      <w:hyperlink w:anchor="v7_85"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7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49</w:t>
        </w:r>
      </w:hyperlink>
    </w:p>
    <w:p>
      <w:pPr>
        <w:pStyle w:val="TOC3"/>
      </w:pPr>
      <w:hyperlink w:anchor="v7_87"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52</w:t>
        </w:r>
      </w:hyperlink>
    </w:p>
    <w:p>
      <w:pPr>
        <w:pStyle w:val="TOC3"/>
      </w:pPr>
      <w:hyperlink w:anchor="v7_88"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53</w:t>
        </w:r>
      </w:hyperlink>
    </w:p>
    <w:p>
      <w:pPr>
        <w:pStyle w:val="TOC3"/>
      </w:pPr>
      <w:hyperlink w:anchor="v7_89"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54</w:t>
        </w:r>
      </w:hyperlink>
    </w:p>
    <w:p>
      <w:pPr>
        <w:pStyle w:val="TOC3"/>
      </w:pPr>
      <w:hyperlink w:anchor="v7_90"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55</w:t>
        </w:r>
      </w:hyperlink>
    </w:p>
    <w:p>
      <w:pPr>
        <w:pStyle w:val="TOC3"/>
      </w:pPr>
      <w:hyperlink w:anchor="v7_91" w:history="1">
        <w:r>
          <w:rPr>
            <w:rFonts w:ascii="Times New Roman" w:hAnsi="Times New Roman" w:eastAsia="Songti SC"/>
            <w:color w:val="000000"/>
            <w:sz w:val="22"/>
          </w:rPr>
          <w:t>4.6.6 案例分析</w:t>
        </w:r>
        <w:r>
          <w:rPr>
            <w:rFonts w:ascii="Times New Roman" w:hAnsi="Times New Roman" w:eastAsia="Songti SC"/>
            <w:color w:val="000000"/>
            <w:sz w:val="22"/>
          </w:rPr>
          <w:tab/>
          <w:t>57</w:t>
        </w:r>
      </w:hyperlink>
    </w:p>
    <w:p>
      <w:pPr>
        <w:pStyle w:val="TOC2"/>
      </w:pPr>
      <w:hyperlink w:anchor="v7_92" w:history="1">
        <w:r>
          <w:rPr>
            <w:rFonts w:ascii="Times New Roman" w:hAnsi="Times New Roman" w:eastAsia="Songti SC"/>
            <w:color w:val="000000"/>
            <w:sz w:val="22"/>
          </w:rPr>
          <w:t>4.7 本章小结</w:t>
        </w:r>
        <w:r>
          <w:rPr>
            <w:rFonts w:ascii="Times New Roman" w:hAnsi="Times New Roman" w:eastAsia="Songti SC"/>
            <w:color w:val="000000"/>
            <w:sz w:val="22"/>
          </w:rPr>
          <w:tab/>
          <w:t>58</w:t>
        </w:r>
      </w:hyperlink>
    </w:p>
    <w:p>
      <w:pPr>
        <w:pStyle w:val="TOC1"/>
        <w:keepNext/>
        <w:spacing w:before="120"/>
      </w:pPr>
      <w:hyperlink w:anchor="v7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59</w:t>
        </w:r>
      </w:hyperlink>
    </w:p>
    <w:p>
      <w:pPr>
        <w:pStyle w:val="TOC2"/>
      </w:pPr>
      <w:hyperlink w:anchor="v7_94" w:history="1">
        <w:r>
          <w:rPr>
            <w:rFonts w:ascii="Times New Roman" w:hAnsi="Times New Roman" w:eastAsia="Songti SC"/>
            <w:color w:val="000000"/>
            <w:sz w:val="22"/>
          </w:rPr>
          <w:t>5.1 两阶段组合及可比条件</w:t>
        </w:r>
        <w:r>
          <w:rPr>
            <w:rFonts w:ascii="Times New Roman" w:hAnsi="Times New Roman" w:eastAsia="Songti SC"/>
            <w:color w:val="000000"/>
            <w:sz w:val="22"/>
          </w:rPr>
          <w:tab/>
          <w:t>59</w:t>
        </w:r>
      </w:hyperlink>
    </w:p>
    <w:p>
      <w:pPr>
        <w:pStyle w:val="TOC2"/>
      </w:pPr>
      <w:hyperlink w:anchor="v7_95" w:history="1">
        <w:r>
          <w:rPr>
            <w:rFonts w:ascii="Times New Roman" w:hAnsi="Times New Roman" w:eastAsia="Songti SC"/>
            <w:color w:val="000000"/>
            <w:sz w:val="22"/>
          </w:rPr>
          <w:t>5.2 两阶段增量与错误变化</w:t>
        </w:r>
        <w:r>
          <w:rPr>
            <w:rFonts w:ascii="Times New Roman" w:hAnsi="Times New Roman" w:eastAsia="Songti SC"/>
            <w:color w:val="000000"/>
            <w:sz w:val="22"/>
          </w:rPr>
          <w:tab/>
          <w:t>59</w:t>
        </w:r>
      </w:hyperlink>
    </w:p>
    <w:p>
      <w:pPr>
        <w:pStyle w:val="TOC3"/>
      </w:pPr>
      <w:hyperlink w:anchor="v7_96" w:history="1">
        <w:r>
          <w:rPr>
            <w:rFonts w:ascii="Times New Roman" w:hAnsi="Times New Roman" w:eastAsia="Songti SC"/>
            <w:color w:val="000000"/>
            <w:sz w:val="22"/>
          </w:rPr>
          <w:t>5.2.1 四格结果与交互差</w:t>
        </w:r>
        <w:r>
          <w:rPr>
            <w:rFonts w:ascii="Times New Roman" w:hAnsi="Times New Roman" w:eastAsia="Songti SC"/>
            <w:color w:val="000000"/>
            <w:sz w:val="22"/>
          </w:rPr>
          <w:tab/>
          <w:t>59</w:t>
        </w:r>
      </w:hyperlink>
    </w:p>
    <w:p>
      <w:pPr>
        <w:pStyle w:val="TOC3"/>
      </w:pPr>
      <w:hyperlink w:anchor="v7_97" w:history="1">
        <w:r>
          <w:rPr>
            <w:rFonts w:ascii="Times New Roman" w:hAnsi="Times New Roman" w:eastAsia="Songti SC"/>
            <w:color w:val="000000"/>
            <w:sz w:val="22"/>
          </w:rPr>
          <w:t>5.2.2 恢复与误改的共同计数</w:t>
        </w:r>
        <w:r>
          <w:rPr>
            <w:rFonts w:ascii="Times New Roman" w:hAnsi="Times New Roman" w:eastAsia="Songti SC"/>
            <w:color w:val="000000"/>
            <w:sz w:val="22"/>
          </w:rPr>
          <w:tab/>
          <w:t>60</w:t>
        </w:r>
      </w:hyperlink>
    </w:p>
    <w:p>
      <w:pPr>
        <w:pStyle w:val="TOC2"/>
      </w:pPr>
      <w:hyperlink w:anchor="v7_98" w:history="1">
        <w:r>
          <w:rPr>
            <w:rFonts w:ascii="Times New Roman" w:hAnsi="Times New Roman" w:eastAsia="Songti SC"/>
            <w:color w:val="000000"/>
            <w:sz w:val="22"/>
          </w:rPr>
          <w:t>5.3 组合效果与成本</w:t>
        </w:r>
        <w:r>
          <w:rPr>
            <w:rFonts w:ascii="Times New Roman" w:hAnsi="Times New Roman" w:eastAsia="Songti SC"/>
            <w:color w:val="000000"/>
            <w:sz w:val="22"/>
          </w:rPr>
          <w:tab/>
          <w:t>61</w:t>
        </w:r>
      </w:hyperlink>
    </w:p>
    <w:p>
      <w:pPr>
        <w:pStyle w:val="TOC2"/>
      </w:pPr>
      <w:hyperlink w:anchor="v7_99" w:history="1">
        <w:r>
          <w:rPr>
            <w:rFonts w:ascii="Times New Roman" w:hAnsi="Times New Roman" w:eastAsia="Songti SC"/>
            <w:color w:val="000000"/>
            <w:sz w:val="22"/>
          </w:rPr>
          <w:t>5.4 原生超边与适用范围</w:t>
        </w:r>
        <w:r>
          <w:rPr>
            <w:rFonts w:ascii="Times New Roman" w:hAnsi="Times New Roman" w:eastAsia="Songti SC"/>
            <w:color w:val="000000"/>
            <w:sz w:val="22"/>
          </w:rPr>
          <w:tab/>
          <w:t>62</w:t>
        </w:r>
      </w:hyperlink>
    </w:p>
    <w:p>
      <w:pPr>
        <w:pStyle w:val="TOC2"/>
      </w:pPr>
      <w:hyperlink w:anchor="v7_100" w:history="1">
        <w:r>
          <w:rPr>
            <w:rFonts w:ascii="Times New Roman" w:hAnsi="Times New Roman" w:eastAsia="Songti SC"/>
            <w:color w:val="000000"/>
            <w:sz w:val="22"/>
          </w:rPr>
          <w:t>5.5 本章小结</w:t>
        </w:r>
        <w:r>
          <w:rPr>
            <w:rFonts w:ascii="Times New Roman" w:hAnsi="Times New Roman" w:eastAsia="Songti SC"/>
            <w:color w:val="000000"/>
            <w:sz w:val="22"/>
          </w:rPr>
          <w:tab/>
          <w:t>62</w:t>
        </w:r>
      </w:hyperlink>
    </w:p>
    <w:p>
      <w:pPr>
        <w:pStyle w:val="TOC1"/>
        <w:keepNext/>
        <w:spacing w:before="120"/>
      </w:pPr>
      <w:hyperlink w:anchor="v7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63</w:t>
        </w:r>
      </w:hyperlink>
    </w:p>
    <w:p>
      <w:pPr>
        <w:pStyle w:val="TOC2"/>
      </w:pPr>
      <w:hyperlink w:anchor="v7_102" w:history="1">
        <w:r>
          <w:rPr>
            <w:rFonts w:ascii="Times New Roman" w:hAnsi="Times New Roman" w:eastAsia="Songti SC"/>
            <w:color w:val="000000"/>
            <w:sz w:val="22"/>
          </w:rPr>
          <w:t>6.1 研究总结</w:t>
        </w:r>
        <w:r>
          <w:rPr>
            <w:rFonts w:ascii="Times New Roman" w:hAnsi="Times New Roman" w:eastAsia="Songti SC"/>
            <w:color w:val="000000"/>
            <w:sz w:val="22"/>
          </w:rPr>
          <w:tab/>
          <w:t>63</w:t>
        </w:r>
      </w:hyperlink>
    </w:p>
    <w:p>
      <w:pPr>
        <w:pStyle w:val="TOC2"/>
      </w:pPr>
      <w:hyperlink w:anchor="v7_103" w:history="1">
        <w:r>
          <w:rPr>
            <w:rFonts w:ascii="Times New Roman" w:hAnsi="Times New Roman" w:eastAsia="Songti SC"/>
            <w:color w:val="000000"/>
            <w:sz w:val="22"/>
          </w:rPr>
          <w:t>6.2 研究局限</w:t>
        </w:r>
        <w:r>
          <w:rPr>
            <w:rFonts w:ascii="Times New Roman" w:hAnsi="Times New Roman" w:eastAsia="Songti SC"/>
            <w:color w:val="000000"/>
            <w:sz w:val="22"/>
          </w:rPr>
          <w:tab/>
          <w:t>63</w:t>
        </w:r>
      </w:hyperlink>
    </w:p>
    <w:p>
      <w:pPr>
        <w:pStyle w:val="TOC2"/>
      </w:pPr>
      <w:hyperlink w:anchor="v7_104" w:history="1">
        <w:r>
          <w:rPr>
            <w:rFonts w:ascii="Times New Roman" w:hAnsi="Times New Roman" w:eastAsia="Songti SC"/>
            <w:color w:val="000000"/>
            <w:sz w:val="22"/>
          </w:rPr>
          <w:t>6.3 后续研究方向</w:t>
        </w:r>
        <w:r>
          <w:rPr>
            <w:rFonts w:ascii="Times New Roman" w:hAnsi="Times New Roman" w:eastAsia="Songti SC"/>
            <w:color w:val="000000"/>
            <w:sz w:val="22"/>
          </w:rPr>
          <w:tab/>
          <w:t>64</w:t>
        </w:r>
      </w:hyperlink>
    </w:p>
    <w:p>
      <w:pPr>
        <w:pStyle w:val="TOC1"/>
        <w:keepNext/>
        <w:spacing w:before="120"/>
      </w:pPr>
      <w:hyperlink w:anchor="v7_105" w:history="1">
        <w:r>
          <w:rPr>
            <w:rFonts w:ascii="Times New Roman" w:hAnsi="Times New Roman" w:eastAsia="Songti SC"/>
            <w:color w:val="000000"/>
            <w:sz w:val="22"/>
          </w:rPr>
          <w:t>参考文献</w:t>
        </w:r>
        <w:r>
          <w:rPr>
            <w:rFonts w:ascii="Times New Roman" w:hAnsi="Times New Roman" w:eastAsia="Songti SC"/>
            <w:color w:val="000000"/>
            <w:sz w:val="22"/>
          </w:rPr>
          <w:tab/>
          <w:t>65</w:t>
        </w:r>
      </w:hyperlink>
    </w:p>
    <w:p>
      <w:pPr>
        <w:pStyle w:val="TOC1"/>
        <w:keepNext/>
        <w:spacing w:before="120"/>
      </w:pPr>
      <w:hyperlink w:anchor="v7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69</w:t>
        </w:r>
      </w:hyperlink>
    </w:p>
    <w:p>
      <w:pPr>
        <w:pStyle w:val="TOC2"/>
      </w:pPr>
      <w:hyperlink w:anchor="v7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69</w:t>
        </w:r>
      </w:hyperlink>
    </w:p>
    <w:p>
      <w:pPr>
        <w:pStyle w:val="TOC2"/>
      </w:pPr>
      <w:hyperlink w:anchor="v7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69</w:t>
        </w:r>
      </w:hyperlink>
    </w:p>
    <w:p>
      <w:pPr>
        <w:pStyle w:val="TOC2"/>
      </w:pPr>
      <w:hyperlink w:anchor="v7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70</w:t>
        </w:r>
      </w:hyperlink>
    </w:p>
    <w:p>
      <w:pPr>
        <w:pStyle w:val="TOC2"/>
      </w:pPr>
      <w:hyperlink w:anchor="v7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70</w:t>
        </w:r>
      </w:hyperlink>
    </w:p>
    <w:p>
      <w:pPr>
        <w:pStyle w:val="TOC2"/>
      </w:pPr>
      <w:hyperlink w:anchor="v7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71</w:t>
        </w:r>
      </w:hyperlink>
    </w:p>
    <w:p>
      <w:pPr>
        <w:pStyle w:val="TOC1"/>
        <w:keepNext/>
        <w:spacing w:before="120"/>
      </w:pPr>
      <w:hyperlink w:anchor="v7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72</w:t>
        </w:r>
      </w:hyperlink>
    </w:p>
    <w:p>
      <w:pPr>
        <w:pStyle w:val="TOC2"/>
      </w:pPr>
      <w:hyperlink w:anchor="v7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72</w:t>
        </w:r>
      </w:hyperlink>
    </w:p>
    <w:p>
      <w:pPr>
        <w:pStyle w:val="TOC2"/>
      </w:pPr>
      <w:hyperlink w:anchor="v7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72</w:t>
        </w:r>
      </w:hyperlink>
    </w:p>
    <w:p>
      <w:pPr>
        <w:pStyle w:val="TOC2"/>
      </w:pPr>
      <w:hyperlink w:anchor="v7_115" w:history="1">
        <w:r>
          <w:rPr>
            <w:rFonts w:ascii="Times New Roman" w:hAnsi="Times New Roman" w:eastAsia="Songti SC"/>
            <w:color w:val="000000"/>
            <w:sz w:val="22"/>
          </w:rPr>
          <w:t>B.3 回退与预算</w:t>
        </w:r>
        <w:r>
          <w:rPr>
            <w:rFonts w:ascii="Times New Roman" w:hAnsi="Times New Roman" w:eastAsia="Songti SC"/>
            <w:color w:val="000000"/>
            <w:sz w:val="22"/>
          </w:rPr>
          <w:tab/>
          <w:t>72</w:t>
        </w:r>
      </w:hyperlink>
    </w:p>
    <w:p>
      <w:pPr>
        <w:pStyle w:val="TOC2"/>
      </w:pPr>
      <w:hyperlink w:anchor="v7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72</w:t>
        </w:r>
      </w:hyperlink>
    </w:p>
    <w:p>
      <w:pPr>
        <w:pStyle w:val="TOC3"/>
      </w:pPr>
      <w:hyperlink w:anchor="v7_117"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72</w:t>
        </w:r>
      </w:hyperlink>
    </w:p>
    <w:p>
      <w:pPr>
        <w:pStyle w:val="TOC3"/>
      </w:pPr>
      <w:hyperlink w:anchor="v7_118" w:history="1">
        <w:r>
          <w:rPr>
            <w:rFonts w:ascii="Times New Roman" w:hAnsi="Times New Roman" w:eastAsia="Songti SC"/>
            <w:color w:val="000000"/>
            <w:sz w:val="22"/>
          </w:rPr>
          <w:t>B.4.2 训练与求解接口</w:t>
        </w:r>
        <w:r>
          <w:rPr>
            <w:rFonts w:ascii="Times New Roman" w:hAnsi="Times New Roman" w:eastAsia="Songti SC"/>
            <w:color w:val="000000"/>
            <w:sz w:val="22"/>
          </w:rPr>
          <w:tab/>
          <w:t>73</w:t>
        </w:r>
      </w:hyperlink>
    </w:p>
    <w:p>
      <w:pPr>
        <w:pStyle w:val="TOC2"/>
      </w:pPr>
      <w:hyperlink w:anchor="v7_119"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73</w:t>
        </w:r>
      </w:hyperlink>
    </w:p>
    <w:p>
      <w:pPr>
        <w:pStyle w:val="TOC1"/>
        <w:keepNext/>
        <w:spacing w:before="120"/>
      </w:pPr>
      <w:hyperlink w:anchor="v7_120"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74</w:t>
        </w:r>
      </w:hyperlink>
    </w:p>
    <w:p>
      <w:pPr>
        <w:pStyle w:val="TOC2"/>
      </w:pPr>
      <w:hyperlink w:anchor="v7_121" w:history="1">
        <w:r>
          <w:rPr>
            <w:rFonts w:ascii="Times New Roman" w:hAnsi="Times New Roman" w:eastAsia="Songti SC"/>
            <w:color w:val="000000"/>
            <w:sz w:val="22"/>
          </w:rPr>
          <w:t>C.1 前期共同成果</w:t>
        </w:r>
        <w:r>
          <w:rPr>
            <w:rFonts w:ascii="Times New Roman" w:hAnsi="Times New Roman" w:eastAsia="Songti SC"/>
            <w:color w:val="000000"/>
            <w:sz w:val="22"/>
          </w:rPr>
          <w:tab/>
          <w:t>74</w:t>
        </w:r>
      </w:hyperlink>
    </w:p>
    <w:p>
      <w:pPr>
        <w:pStyle w:val="TOC2"/>
      </w:pPr>
      <w:hyperlink w:anchor="v7_122"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74</w:t>
        </w:r>
      </w:hyperlink>
    </w:p>
    <w:p>
      <w:pPr>
        <w:pStyle w:val="TOC2"/>
      </w:pPr>
      <w:hyperlink w:anchor="v7_123"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74</w:t>
        </w:r>
      </w:hyperlink>
    </w:p>
    <w:p>
      <w:pPr>
        <w:pStyle w:val="TOC2"/>
      </w:pPr>
      <w:hyperlink w:anchor="v7_124"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74</w:t>
        </w:r>
      </w:hyperlink>
    </w:p>
    <w:p>
      <w:pPr>
        <w:pStyle w:val="TOC1"/>
        <w:keepNext/>
        <w:spacing w:before="120"/>
      </w:pPr>
      <w:hyperlink w:anchor="v7_125"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75</w:t>
        </w:r>
      </w:hyperlink>
    </w:p>
    <w:p>
      <w:pPr>
        <w:pStyle w:val="TOC2"/>
      </w:pPr>
      <w:hyperlink w:anchor="v7_126"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75</w:t>
        </w:r>
      </w:hyperlink>
    </w:p>
    <w:p>
      <w:pPr>
        <w:pStyle w:val="TOC2"/>
      </w:pPr>
      <w:hyperlink w:anchor="v7_127"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75</w:t>
        </w:r>
      </w:hyperlink>
    </w:p>
    <w:p>
      <w:pPr>
        <w:pStyle w:val="TOC2"/>
      </w:pPr>
      <w:hyperlink w:anchor="v7_128"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75</w:t>
        </w:r>
      </w:hyperlink>
    </w:p>
    <w:p>
      <w:pPr>
        <w:pStyle w:val="TOC2"/>
      </w:pPr>
      <w:hyperlink w:anchor="v7_129"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75</w:t>
        </w:r>
      </w:hyperlink>
    </w:p>
    <w:p>
      <w:pPr>
        <w:pStyle w:val="TOC2"/>
      </w:pPr>
      <w:hyperlink w:anchor="v7_130"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76</w:t>
        </w:r>
      </w:hyperlink>
    </w:p>
    <w:p>
      <w:pPr>
        <w:pStyle w:val="TOC2"/>
      </w:pPr>
      <w:hyperlink w:anchor="v7_131" w:history="1">
        <w:r>
          <w:rPr>
            <w:rFonts w:ascii="Times New Roman" w:hAnsi="Times New Roman" w:eastAsia="Songti SC"/>
            <w:color w:val="000000"/>
            <w:sz w:val="22"/>
          </w:rPr>
          <w:t>D.6 本轮接口构造材料</w:t>
        </w:r>
        <w:r>
          <w:rPr>
            <w:rFonts w:ascii="Times New Roman" w:hAnsi="Times New Roman" w:eastAsia="Songti SC"/>
            <w:color w:val="000000"/>
            <w:sz w:val="22"/>
          </w:rPr>
          <w:tab/>
          <w:t>76</w:t>
        </w:r>
      </w:hyperlink>
    </w:p>
    <w:p>
      <w:pPr>
        <w:pStyle w:val="TOC1"/>
        <w:keepNext/>
        <w:spacing w:before="120"/>
      </w:pPr>
      <w:hyperlink w:anchor="v7_132"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78</w:t>
        </w:r>
      </w:hyperlink>
    </w:p>
    <w:p>
      <w:pPr>
        <w:pStyle w:val="TOC2"/>
      </w:pPr>
      <w:hyperlink w:anchor="v7_133"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78</w:t>
        </w:r>
      </w:hyperlink>
    </w:p>
    <w:p>
      <w:pPr>
        <w:pStyle w:val="TOC2"/>
      </w:pPr>
      <w:hyperlink w:anchor="v7_134"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78</w:t>
        </w:r>
      </w:hyperlink>
    </w:p>
    <w:p>
      <w:pPr>
        <w:pStyle w:val="TOC2"/>
      </w:pPr>
      <w:hyperlink w:anchor="v7_135"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79</w:t>
        </w:r>
      </w:hyperlink>
    </w:p>
    <w:p>
      <w:pPr>
        <w:pStyle w:val="TOC2"/>
      </w:pPr>
      <w:hyperlink w:anchor="v7_136"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79</w:t>
        </w:r>
      </w:hyperlink>
    </w:p>
    <w:p>
      <w:pPr>
        <w:pStyle w:val="TOC2"/>
      </w:pPr>
      <w:hyperlink w:anchor="v7_137"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80</w:t>
        </w:r>
      </w:hyperlink>
    </w:p>
    <w:p>
      <w:pPr>
        <w:pStyle w:val="TOC2"/>
      </w:pPr>
      <w:hyperlink w:anchor="v7_138" w:history="1">
        <w:r>
          <w:rPr>
            <w:rFonts w:ascii="Times New Roman" w:hAnsi="Times New Roman" w:eastAsia="Songti SC"/>
            <w:color w:val="000000"/>
            <w:sz w:val="22"/>
          </w:rPr>
          <w:t>E.6 ICIC原版Oracle记录</w:t>
        </w:r>
        <w:r>
          <w:rPr>
            <w:rFonts w:ascii="Times New Roman" w:hAnsi="Times New Roman" w:eastAsia="Songti SC"/>
            <w:color w:val="000000"/>
            <w:sz w:val="22"/>
          </w:rPr>
          <w:tab/>
          <w:t>80</w:t>
        </w:r>
      </w:hyperlink>
    </w:p>
    <w:p>
      <w:pPr>
        <w:pStyle w:val="TOC2"/>
      </w:pPr>
      <w:hyperlink w:anchor="v7_139"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80</w:t>
        </w:r>
      </w:hyperlink>
    </w:p>
    <w:p>
      <w:pPr>
        <w:pStyle w:val="TOC2"/>
      </w:pPr>
      <w:hyperlink w:anchor="v7_140"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81</w:t>
        </w:r>
      </w:hyperlink>
    </w:p>
    <w:p>
      <w:pPr>
        <w:pStyle w:val="TOC2"/>
      </w:pPr>
      <w:hyperlink w:anchor="v7_141"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82</w:t>
        </w:r>
      </w:hyperlink>
    </w:p>
    <w:p>
      <w:pPr>
        <w:pStyle w:val="TOC1"/>
        <w:keepNext/>
        <w:spacing w:before="120"/>
      </w:pPr>
      <w:hyperlink w:anchor="v7_142"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83</w:t>
        </w:r>
      </w:hyperlink>
    </w:p>
    <w:p>
      <w:pPr>
        <w:pStyle w:val="TOC2"/>
      </w:pPr>
      <w:hyperlink w:anchor="v7_143" w:history="1">
        <w:r>
          <w:rPr>
            <w:rFonts w:ascii="Times New Roman" w:hAnsi="Times New Roman" w:eastAsia="Songti SC"/>
            <w:color w:val="000000"/>
            <w:sz w:val="22"/>
          </w:rPr>
          <w:t>F.1 核心术语与符号</w:t>
        </w:r>
        <w:r>
          <w:rPr>
            <w:rFonts w:ascii="Times New Roman" w:hAnsi="Times New Roman" w:eastAsia="Songti SC"/>
            <w:color w:val="000000"/>
            <w:sz w:val="22"/>
          </w:rPr>
          <w:tab/>
          <w:t>83</w:t>
        </w:r>
      </w:hyperlink>
    </w:p>
    <w:p>
      <w:pPr>
        <w:pStyle w:val="TOC2"/>
      </w:pPr>
      <w:hyperlink w:anchor="v7_144" w:history="1">
        <w:r>
          <w:rPr>
            <w:rFonts w:ascii="Times New Roman" w:hAnsi="Times New Roman" w:eastAsia="Songti SC"/>
            <w:color w:val="000000"/>
            <w:sz w:val="22"/>
          </w:rPr>
          <w:t>F.2 实现接口补充</w:t>
        </w:r>
        <w:r>
          <w:rPr>
            <w:rFonts w:ascii="Times New Roman" w:hAnsi="Times New Roman" w:eastAsia="Songti SC"/>
            <w:color w:val="000000"/>
            <w:sz w:val="22"/>
          </w:rPr>
          <w:tab/>
          <w:t>84</w:t>
        </w:r>
      </w:hyperlink>
    </w:p>
    <w:p>
      <w:pPr>
        <w:pStyle w:val="TOC2"/>
      </w:pPr>
      <w:hyperlink w:anchor="v7_145" w:history="1">
        <w:r>
          <w:rPr>
            <w:rFonts w:ascii="Times New Roman" w:hAnsi="Times New Roman" w:eastAsia="Songti SC"/>
            <w:color w:val="000000"/>
            <w:sz w:val="22"/>
          </w:rPr>
          <w:t>F.3 研究问题阅读索引</w:t>
        </w:r>
        <w:r>
          <w:rPr>
            <w:rFonts w:ascii="Times New Roman" w:hAnsi="Times New Roman" w:eastAsia="Songti SC"/>
            <w:color w:val="000000"/>
            <w:sz w:val="22"/>
          </w:rPr>
          <w:tab/>
          <w:t>85</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7_146"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7_148"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7_152"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7_154"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7_155"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23</w:t>
        </w:r>
      </w:hyperlink>
    </w:p>
    <w:p>
      <w:pPr>
        <w:pStyle w:val="FigureList"/>
      </w:pPr>
      <w:hyperlink w:anchor="v7_161" w:history="1">
        <w:r>
          <w:rPr>
            <w:rFonts w:ascii="Times New Roman" w:hAnsi="Times New Roman" w:eastAsia="Songti SC"/>
            <w:color w:val="000000"/>
            <w:sz w:val="22"/>
          </w:rPr>
          <w:t>图3-3 训练方案与学习目标的严格关系结果</w:t>
        </w:r>
        <w:r>
          <w:rPr>
            <w:rFonts w:ascii="Times New Roman" w:hAnsi="Times New Roman" w:eastAsia="Songti SC"/>
            <w:color w:val="000000"/>
            <w:sz w:val="22"/>
          </w:rPr>
          <w:tab/>
          <w:t>31</w:t>
        </w:r>
      </w:hyperlink>
    </w:p>
    <w:p>
      <w:pPr>
        <w:pStyle w:val="FigureList"/>
      </w:pPr>
      <w:hyperlink w:anchor="v7_165"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35</w:t>
        </w:r>
      </w:hyperlink>
    </w:p>
    <w:p>
      <w:pPr>
        <w:pStyle w:val="FigureList"/>
      </w:pPr>
      <w:hyperlink w:anchor="v7_168"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47</w:t>
        </w:r>
      </w:hyperlink>
    </w:p>
    <w:p>
      <w:pPr>
        <w:pStyle w:val="FigureList"/>
      </w:pPr>
      <w:hyperlink w:anchor="v7_177" w:history="1">
        <w:r>
          <w:rPr>
            <w:rFonts w:ascii="Times New Roman" w:hAnsi="Times New Roman" w:eastAsia="Songti SC"/>
            <w:color w:val="000000"/>
            <w:sz w:val="22"/>
          </w:rPr>
          <w:t>图4-3 外层轮数增加时的结果与时间变化</w:t>
        </w:r>
        <w:r>
          <w:rPr>
            <w:rFonts w:ascii="Times New Roman" w:hAnsi="Times New Roman" w:eastAsia="Songti SC"/>
            <w:color w:val="000000"/>
            <w:sz w:val="22"/>
          </w:rPr>
          <w:tab/>
          <w:t>57</w:t>
        </w:r>
      </w:hyperlink>
    </w:p>
    <w:p>
      <w:pPr>
        <w:pStyle w:val="FigureList"/>
      </w:pPr>
      <w:hyperlink w:anchor="v7_181" w:history="1">
        <w:r>
          <w:rPr>
            <w:rFonts w:ascii="Times New Roman" w:hAnsi="Times New Roman" w:eastAsia="Songti SC"/>
            <w:color w:val="000000"/>
            <w:sz w:val="22"/>
          </w:rPr>
          <w:t>图5-1 两个训练条件下的推理增量与交互关系</w:t>
        </w:r>
        <w:r>
          <w:rPr>
            <w:rFonts w:ascii="Times New Roman" w:hAnsi="Times New Roman" w:eastAsia="Songti SC"/>
            <w:color w:val="000000"/>
            <w:sz w:val="22"/>
          </w:rPr>
          <w:tab/>
          <w:t>60</w:t>
        </w:r>
      </w:hyperlink>
    </w:p>
    <w:p>
      <w:pPr>
        <w:pStyle w:val="FigureList"/>
      </w:pPr>
      <w:hyperlink w:anchor="v7_182" w:history="1">
        <w:r>
          <w:rPr>
            <w:rFonts w:ascii="Times New Roman" w:hAnsi="Times New Roman" w:eastAsia="Songti SC"/>
            <w:color w:val="000000"/>
            <w:sz w:val="22"/>
          </w:rPr>
          <w:t>图5-2 联合修正中的关系恢复与原真阳性损失</w:t>
        </w:r>
        <w:r>
          <w:rPr>
            <w:rFonts w:ascii="Times New Roman" w:hAnsi="Times New Roman" w:eastAsia="Songti SC"/>
            <w:color w:val="000000"/>
            <w:sz w:val="22"/>
          </w:rPr>
          <w:tab/>
          <w:t>61</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7_147"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7_149"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7_150"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7_151" w:history="1">
        <w:r>
          <w:rPr>
            <w:rFonts w:ascii="Times New Roman" w:hAnsi="Times New Roman" w:eastAsia="Songti SC"/>
            <w:color w:val="000000"/>
            <w:sz w:val="22"/>
          </w:rPr>
          <w:t>表2-2 公共配置与评价规模</w:t>
        </w:r>
        <w:r>
          <w:rPr>
            <w:rFonts w:ascii="Times New Roman" w:hAnsi="Times New Roman" w:eastAsia="Songti SC"/>
            <w:color w:val="000000"/>
            <w:sz w:val="22"/>
          </w:rPr>
          <w:tab/>
          <w:t>14</w:t>
        </w:r>
      </w:hyperlink>
    </w:p>
    <w:p>
      <w:pPr>
        <w:pStyle w:val="TableList"/>
      </w:pPr>
      <w:hyperlink w:anchor="v7_153"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7_157"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7_158" w:history="1">
        <w:r>
          <w:rPr>
            <w:rFonts w:ascii="Times New Roman" w:hAnsi="Times New Roman" w:eastAsia="Songti SC"/>
            <w:color w:val="000000"/>
            <w:sz w:val="22"/>
          </w:rPr>
          <w:t>表3-3 接受样本的标签漂移率（%）</w:t>
        </w:r>
        <w:r>
          <w:rPr>
            <w:rFonts w:ascii="Times New Roman" w:hAnsi="Times New Roman" w:eastAsia="Songti SC"/>
            <w:color w:val="000000"/>
            <w:sz w:val="22"/>
          </w:rPr>
          <w:tab/>
          <w:t>29</w:t>
        </w:r>
      </w:hyperlink>
    </w:p>
    <w:p>
      <w:pPr>
        <w:pStyle w:val="TableList"/>
      </w:pPr>
      <w:hyperlink w:anchor="v7_159" w:history="1">
        <w:r>
          <w:rPr>
            <w:rFonts w:ascii="Times New Roman" w:hAnsi="Times New Roman" w:eastAsia="Songti SC"/>
            <w:color w:val="000000"/>
            <w:sz w:val="22"/>
          </w:rPr>
          <w:t>表3-4 训练方案的严格抽取结果</w:t>
        </w:r>
        <w:r>
          <w:rPr>
            <w:rFonts w:ascii="Times New Roman" w:hAnsi="Times New Roman" w:eastAsia="Songti SC"/>
            <w:color w:val="000000"/>
            <w:sz w:val="22"/>
          </w:rPr>
          <w:tab/>
          <w:t>30</w:t>
        </w:r>
      </w:hyperlink>
    </w:p>
    <w:p>
      <w:pPr>
        <w:pStyle w:val="TableList"/>
      </w:pPr>
      <w:hyperlink w:anchor="v7_160" w:history="1">
        <w:r>
          <w:rPr>
            <w:rFonts w:ascii="Times New Roman" w:hAnsi="Times New Roman" w:eastAsia="Songti SC"/>
            <w:color w:val="000000"/>
            <w:sz w:val="22"/>
          </w:rPr>
          <w:t>表3-5 相同增强集合上的学习目标比较</w:t>
        </w:r>
        <w:r>
          <w:rPr>
            <w:rFonts w:ascii="Times New Roman" w:hAnsi="Times New Roman" w:eastAsia="Songti SC"/>
            <w:color w:val="000000"/>
            <w:sz w:val="22"/>
          </w:rPr>
          <w:tab/>
          <w:t>30</w:t>
        </w:r>
      </w:hyperlink>
    </w:p>
    <w:p>
      <w:pPr>
        <w:pStyle w:val="TableList"/>
      </w:pPr>
      <w:hyperlink w:anchor="v7_162" w:history="1">
        <w:r>
          <w:rPr>
            <w:rFonts w:ascii="Times New Roman" w:hAnsi="Times New Roman" w:eastAsia="Songti SC"/>
            <w:color w:val="000000"/>
            <w:sz w:val="22"/>
          </w:rPr>
          <w:t>表3-6 中心匹配的有效覆盖与自匹配</w:t>
        </w:r>
        <w:r>
          <w:rPr>
            <w:rFonts w:ascii="Times New Roman" w:hAnsi="Times New Roman" w:eastAsia="Songti SC"/>
            <w:color w:val="000000"/>
            <w:sz w:val="22"/>
          </w:rPr>
          <w:tab/>
          <w:t>31</w:t>
        </w:r>
      </w:hyperlink>
    </w:p>
    <w:p>
      <w:pPr>
        <w:pStyle w:val="TableList"/>
      </w:pPr>
      <w:hyperlink w:anchor="v7_163" w:history="1">
        <w:r>
          <w:rPr>
            <w:rFonts w:ascii="Times New Roman" w:hAnsi="Times New Roman" w:eastAsia="Songti SC"/>
            <w:color w:val="000000"/>
            <w:sz w:val="22"/>
          </w:rPr>
          <w:t>表3-7 结论中心与匹配随机中心的比较</w:t>
        </w:r>
        <w:r>
          <w:rPr>
            <w:rFonts w:ascii="Times New Roman" w:hAnsi="Times New Roman" w:eastAsia="Songti SC"/>
            <w:color w:val="000000"/>
            <w:sz w:val="22"/>
          </w:rPr>
          <w:tab/>
          <w:t>32</w:t>
        </w:r>
      </w:hyperlink>
    </w:p>
    <w:p>
      <w:pPr>
        <w:pStyle w:val="TableList"/>
      </w:pPr>
      <w:hyperlink w:anchor="v7_164" w:history="1">
        <w:r>
          <w:rPr>
            <w:rFonts w:ascii="Times New Roman" w:hAnsi="Times New Roman" w:eastAsia="Songti SC"/>
            <w:color w:val="000000"/>
            <w:sz w:val="22"/>
          </w:rPr>
          <w:t>表3-8 固定尝试预算下的覆盖与构造成本</w:t>
        </w:r>
        <w:r>
          <w:rPr>
            <w:rFonts w:ascii="Times New Roman" w:hAnsi="Times New Roman" w:eastAsia="Songti SC"/>
            <w:color w:val="000000"/>
            <w:sz w:val="22"/>
          </w:rPr>
          <w:tab/>
          <w:t>32</w:t>
        </w:r>
      </w:hyperlink>
    </w:p>
    <w:p>
      <w:pPr>
        <w:pStyle w:val="TableList"/>
      </w:pPr>
      <w:hyperlink w:anchor="v7_169"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50</w:t>
        </w:r>
      </w:hyperlink>
    </w:p>
    <w:p>
      <w:pPr>
        <w:pStyle w:val="TableList"/>
      </w:pPr>
      <w:hyperlink w:anchor="v7_170"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51</w:t>
        </w:r>
      </w:hyperlink>
    </w:p>
    <w:p>
      <w:pPr>
        <w:pStyle w:val="TableList"/>
      </w:pPr>
      <w:hyperlink w:anchor="v7_171" w:history="1">
        <w:r>
          <w:rPr>
            <w:rFonts w:ascii="Times New Roman" w:hAnsi="Times New Roman" w:eastAsia="Songti SC"/>
            <w:color w:val="000000"/>
            <w:sz w:val="22"/>
          </w:rPr>
          <w:t>表4-3 推理方法的严格抽取结果</w:t>
        </w:r>
        <w:r>
          <w:rPr>
            <w:rFonts w:ascii="Times New Roman" w:hAnsi="Times New Roman" w:eastAsia="Songti SC"/>
            <w:color w:val="000000"/>
            <w:sz w:val="22"/>
          </w:rPr>
          <w:tab/>
          <w:t>52</w:t>
        </w:r>
      </w:hyperlink>
    </w:p>
    <w:p>
      <w:pPr>
        <w:pStyle w:val="TableList"/>
      </w:pPr>
      <w:hyperlink w:anchor="v7_172" w:history="1">
        <w:r>
          <w:rPr>
            <w:rFonts w:ascii="Times New Roman" w:hAnsi="Times New Roman" w:eastAsia="Songti SC"/>
            <w:color w:val="000000"/>
            <w:sz w:val="22"/>
          </w:rPr>
          <w:t>表4-4 从完整组件到完整关系的候选覆盖</w:t>
        </w:r>
        <w:r>
          <w:rPr>
            <w:rFonts w:ascii="Times New Roman" w:hAnsi="Times New Roman" w:eastAsia="Songti SC"/>
            <w:color w:val="000000"/>
            <w:sz w:val="22"/>
          </w:rPr>
          <w:tab/>
          <w:t>53</w:t>
        </w:r>
      </w:hyperlink>
    </w:p>
    <w:p>
      <w:pPr>
        <w:pStyle w:val="TableList"/>
      </w:pPr>
      <w:hyperlink w:anchor="v7_173" w:history="1">
        <w:r>
          <w:rPr>
            <w:rFonts w:ascii="Times New Roman" w:hAnsi="Times New Roman" w:eastAsia="Songti SC"/>
            <w:color w:val="000000"/>
            <w:sz w:val="22"/>
          </w:rPr>
          <w:t>表4-5 三类恢复空间的关系计数诊断</w:t>
        </w:r>
        <w:r>
          <w:rPr>
            <w:rFonts w:ascii="Times New Roman" w:hAnsi="Times New Roman" w:eastAsia="Songti SC"/>
            <w:color w:val="000000"/>
            <w:sz w:val="22"/>
          </w:rPr>
          <w:tab/>
          <w:t>54</w:t>
        </w:r>
      </w:hyperlink>
    </w:p>
    <w:p>
      <w:pPr>
        <w:pStyle w:val="TableList"/>
      </w:pPr>
      <w:hyperlink w:anchor="v7_174" w:history="1">
        <w:r>
          <w:rPr>
            <w:rFonts w:ascii="Times New Roman" w:hAnsi="Times New Roman" w:eastAsia="Songti SC"/>
            <w:color w:val="000000"/>
            <w:sz w:val="22"/>
          </w:rPr>
          <w:t>表4-6 完整对象评分的区分与校准</w:t>
        </w:r>
        <w:r>
          <w:rPr>
            <w:rFonts w:ascii="Times New Roman" w:hAnsi="Times New Roman" w:eastAsia="Songti SC"/>
            <w:color w:val="000000"/>
            <w:sz w:val="22"/>
          </w:rPr>
          <w:tab/>
          <w:t>55</w:t>
        </w:r>
      </w:hyperlink>
    </w:p>
    <w:p>
      <w:pPr>
        <w:pStyle w:val="TableList"/>
      </w:pPr>
      <w:hyperlink w:anchor="v7_175" w:history="1">
        <w:r>
          <w:rPr>
            <w:rFonts w:ascii="Times New Roman" w:hAnsi="Times New Roman" w:eastAsia="Songti SC"/>
            <w:color w:val="000000"/>
            <w:sz w:val="22"/>
          </w:rPr>
          <w:t>表4-7 关系恢复与误改的累计计数</w:t>
        </w:r>
        <w:r>
          <w:rPr>
            <w:rFonts w:ascii="Times New Roman" w:hAnsi="Times New Roman" w:eastAsia="Songti SC"/>
            <w:color w:val="000000"/>
            <w:sz w:val="22"/>
          </w:rPr>
          <w:tab/>
          <w:t>55</w:t>
        </w:r>
      </w:hyperlink>
    </w:p>
    <w:p>
      <w:pPr>
        <w:pStyle w:val="TableList"/>
      </w:pPr>
      <w:hyperlink w:anchor="v7_176" w:history="1">
        <w:r>
          <w:rPr>
            <w:rFonts w:ascii="Times New Roman" w:hAnsi="Times New Roman" w:eastAsia="Songti SC"/>
            <w:color w:val="000000"/>
            <w:sz w:val="22"/>
          </w:rPr>
          <w:t>表4-8 推理成本与预算取舍</w:t>
        </w:r>
        <w:r>
          <w:rPr>
            <w:rFonts w:ascii="Times New Roman" w:hAnsi="Times New Roman" w:eastAsia="Songti SC"/>
            <w:color w:val="000000"/>
            <w:sz w:val="22"/>
          </w:rPr>
          <w:tab/>
          <w:t>56</w:t>
        </w:r>
      </w:hyperlink>
    </w:p>
    <w:p>
      <w:pPr>
        <w:pStyle w:val="TableList"/>
      </w:pPr>
      <w:hyperlink w:anchor="v7_178" w:history="1">
        <w:r>
          <w:rPr>
            <w:rFonts w:ascii="Times New Roman" w:hAnsi="Times New Roman" w:eastAsia="Songti SC"/>
            <w:color w:val="000000"/>
            <w:sz w:val="22"/>
          </w:rPr>
          <w:t>表4-9 结构恢复与失败案例</w:t>
        </w:r>
        <w:r>
          <w:rPr>
            <w:rFonts w:ascii="Times New Roman" w:hAnsi="Times New Roman" w:eastAsia="Songti SC"/>
            <w:color w:val="000000"/>
            <w:sz w:val="22"/>
          </w:rPr>
          <w:tab/>
          <w:t>58</w:t>
        </w:r>
      </w:hyperlink>
    </w:p>
    <w:p>
      <w:pPr>
        <w:pStyle w:val="TableList"/>
      </w:pPr>
      <w:hyperlink w:anchor="v7_179" w:history="1">
        <w:r>
          <w:rPr>
            <w:rFonts w:ascii="Times New Roman" w:hAnsi="Times New Roman" w:eastAsia="Songti SC"/>
            <w:color w:val="000000"/>
            <w:sz w:val="22"/>
          </w:rPr>
          <w:t>表5-1 两阶段组合的四格结果</w:t>
        </w:r>
        <w:r>
          <w:rPr>
            <w:rFonts w:ascii="Times New Roman" w:hAnsi="Times New Roman" w:eastAsia="Songti SC"/>
            <w:color w:val="000000"/>
            <w:sz w:val="22"/>
          </w:rPr>
          <w:tab/>
          <w:t>59</w:t>
        </w:r>
      </w:hyperlink>
    </w:p>
    <w:p>
      <w:pPr>
        <w:pStyle w:val="TableList"/>
      </w:pPr>
      <w:hyperlink w:anchor="v7_180" w:history="1">
        <w:r>
          <w:rPr>
            <w:rFonts w:ascii="Times New Roman" w:hAnsi="Times New Roman" w:eastAsia="Songti SC"/>
            <w:color w:val="000000"/>
            <w:sz w:val="22"/>
          </w:rPr>
          <w:t>表5-2 条件增量与交互差</w:t>
        </w:r>
        <w:r>
          <w:rPr>
            <w:rFonts w:ascii="Times New Roman" w:hAnsi="Times New Roman" w:eastAsia="Songti SC"/>
            <w:color w:val="000000"/>
            <w:sz w:val="22"/>
          </w:rPr>
          <w:tab/>
          <w:t>60</w:t>
        </w:r>
      </w:hyperlink>
    </w:p>
    <w:p>
      <w:pPr>
        <w:pStyle w:val="TableList"/>
      </w:pPr>
      <w:hyperlink w:anchor="v7_183" w:history="1">
        <w:r>
          <w:rPr>
            <w:rFonts w:ascii="Times New Roman" w:hAnsi="Times New Roman" w:eastAsia="Songti SC"/>
            <w:color w:val="000000"/>
            <w:sz w:val="22"/>
          </w:rPr>
          <w:t>表5-3 四格结果与逐文档时间</w:t>
        </w:r>
        <w:r>
          <w:rPr>
            <w:rFonts w:ascii="Times New Roman" w:hAnsi="Times New Roman" w:eastAsia="Songti SC"/>
            <w:color w:val="000000"/>
            <w:sz w:val="22"/>
          </w:rPr>
          <w:tab/>
          <w:t>61</w:t>
        </w:r>
      </w:hyperlink>
    </w:p>
    <w:p>
      <w:pPr>
        <w:pStyle w:val="TableList"/>
      </w:pPr>
      <w:hyperlink w:anchor="v7_184" w:history="1">
        <w:r>
          <w:rPr>
            <w:rFonts w:ascii="Times New Roman" w:hAnsi="Times New Roman" w:eastAsia="Songti SC"/>
            <w:color w:val="000000"/>
            <w:sz w:val="22"/>
          </w:rPr>
          <w:t>表5-4 CDCP完整关系的源成员数分组</w:t>
        </w:r>
        <w:r>
          <w:rPr>
            <w:rFonts w:ascii="Times New Roman" w:hAnsi="Times New Roman" w:eastAsia="Songti SC"/>
            <w:color w:val="000000"/>
            <w:sz w:val="22"/>
          </w:rPr>
          <w:tab/>
          <w:t>62</w:t>
        </w:r>
      </w:hyperlink>
    </w:p>
    <w:p>
      <w:pPr>
        <w:pStyle w:val="TableList"/>
      </w:pPr>
      <w:hyperlink w:anchor="v7_185"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69</w:t>
        </w:r>
      </w:hyperlink>
    </w:p>
    <w:p>
      <w:pPr>
        <w:pStyle w:val="TableList"/>
      </w:pPr>
      <w:hyperlink w:anchor="v7_186" w:history="1">
        <w:r>
          <w:rPr>
            <w:rFonts w:ascii="Times New Roman" w:hAnsi="Times New Roman" w:eastAsia="Songti SC"/>
            <w:color w:val="000000"/>
            <w:sz w:val="22"/>
          </w:rPr>
          <w:t>表A-2 本版参考配置</w:t>
        </w:r>
        <w:r>
          <w:rPr>
            <w:rFonts w:ascii="Times New Roman" w:hAnsi="Times New Roman" w:eastAsia="Songti SC"/>
            <w:color w:val="000000"/>
            <w:sz w:val="22"/>
          </w:rPr>
          <w:tab/>
          <w:t>70</w:t>
        </w:r>
      </w:hyperlink>
    </w:p>
    <w:p>
      <w:pPr>
        <w:pStyle w:val="TableList"/>
      </w:pPr>
      <w:hyperlink w:anchor="v7_187"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78</w:t>
        </w:r>
      </w:hyperlink>
    </w:p>
    <w:p>
      <w:pPr>
        <w:pStyle w:val="TableList"/>
      </w:pPr>
      <w:hyperlink w:anchor="v7_188"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78</w:t>
        </w:r>
      </w:hyperlink>
    </w:p>
    <w:p>
      <w:pPr>
        <w:pStyle w:val="TableList"/>
      </w:pPr>
      <w:hyperlink w:anchor="v7_189"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79</w:t>
        </w:r>
      </w:hyperlink>
    </w:p>
    <w:p>
      <w:pPr>
        <w:pStyle w:val="TableList"/>
      </w:pPr>
      <w:hyperlink w:anchor="v7_190"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79</w:t>
        </w:r>
      </w:hyperlink>
    </w:p>
    <w:p>
      <w:pPr>
        <w:pStyle w:val="TableList"/>
      </w:pPr>
      <w:hyperlink w:anchor="v7_191"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80</w:t>
        </w:r>
      </w:hyperlink>
    </w:p>
    <w:p>
      <w:pPr>
        <w:pStyle w:val="TableList"/>
      </w:pPr>
      <w:hyperlink w:anchor="v7_192"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80</w:t>
        </w:r>
      </w:hyperlink>
    </w:p>
    <w:p>
      <w:pPr>
        <w:pStyle w:val="TableList"/>
      </w:pPr>
      <w:hyperlink w:anchor="v7_193"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80</w:t>
        </w:r>
      </w:hyperlink>
    </w:p>
    <w:p>
      <w:pPr>
        <w:pStyle w:val="TableList"/>
      </w:pPr>
      <w:hyperlink w:anchor="v7_194"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81</w:t>
        </w:r>
      </w:hyperlink>
    </w:p>
    <w:p>
      <w:pPr>
        <w:pStyle w:val="TableList"/>
      </w:pPr>
      <w:hyperlink w:anchor="v7_195"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82</w:t>
        </w:r>
      </w:hyperlink>
    </w:p>
    <w:p>
      <w:pPr>
        <w:pStyle w:val="TableList"/>
      </w:pPr>
      <w:hyperlink w:anchor="v7_196"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83</w:t>
        </w:r>
      </w:hyperlink>
    </w:p>
    <w:p>
      <w:pPr>
        <w:pStyle w:val="TableList"/>
      </w:pPr>
      <w:hyperlink w:anchor="v7_197"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85</w:t>
        </w:r>
      </w:hyperlink>
      <w:r>
        <w:fldChar w:fldCharType="end"/>
      </w:r>
    </w:p>
    <w:p>
      <w:pPr>
        <w:sectPr>
          <w:headerReference w:type="default" r:id="rId100"/>
          <w:footerReference w:type="default" r:id="rId101"/>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7_12"/>
      <w:bookmarkEnd w:id="12"/>
    </w:p>
    <w:p>
      <w:pPr>
        <w:pStyle w:val="Heading2"/>
      </w:pPr>
      <w:r>
        <w:t>1.1 研究背景与问题提出</w:t>
      </w:r>
      <w:bookmarkStart w:id="13" w:name="v7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
            <wp:cNvGraphicFramePr>
              <a:graphicFrameLocks noChangeAspect="1"/>
            </wp:cNvGraphicFramePr>
            <a:graphic>
              <a:graphicData uri="http://schemas.openxmlformats.org/drawingml/2006/picture">
                <pic:pic>
                  <pic:nvPicPr>
                    <pic:cNvPr id="0" name="argument_example.png"/>
                    <pic:cNvPicPr/>
                  </pic:nvPicPr>
                  <pic:blipFill>
                    <a:blip r:embed="rId10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6" w:name="v7_146"/>
      <w:bookmarkEnd w:id="146"/>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7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7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7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7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7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7" w:name="v7_147"/>
      <w:bookmarkEnd w:id="14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7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
            <wp:cNvGraphicFramePr>
              <a:graphicFrameLocks noChangeAspect="1"/>
            </wp:cNvGraphicFramePr>
            <a:graphic>
              <a:graphicData uri="http://schemas.openxmlformats.org/drawingml/2006/picture">
                <pic:pic>
                  <pic:nvPicPr>
                    <pic:cNvPr id="0" name="research_relationship.png"/>
                    <pic:cNvPicPr/>
                  </pic:nvPicPr>
                  <pic:blipFill>
                    <a:blip r:embed="rId10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8" w:name="v7_148"/>
      <w:bookmarkEnd w:id="148"/>
    </w:p>
    <w:p>
      <w:pPr>
        <w:pStyle w:val="Heading3"/>
      </w:pPr>
      <w:r>
        <w:t>1.3.1 研究问题</w:t>
      </w:r>
      <w:bookmarkStart w:id="20" w:name="v7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7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7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9" w:name="v7_149"/>
      <w:bookmarkEnd w:id="14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7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附录补充复现协议、执行记录、成果说明、前期诊断、历史数值和符号索引。各方法章按实验条件、结果、机制解释和适用范围展开，输入、对象计数与结论之间保持可追溯对应。</w:t>
      </w:r>
    </w:p>
    <w:p>
      <w:pPr>
        <w:pStyle w:val="Heading1"/>
      </w:pPr>
      <w:r>
        <w:t>第二章 任务表示与方法基础</w:t>
      </w:r>
      <w:bookmarkStart w:id="24" w:name="v7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7_25"/>
      <w:bookmarkEnd w:id="25"/>
    </w:p>
    <w:p>
      <w:pPr>
        <w:pStyle w:val="Heading3"/>
      </w:pPr>
      <w:r>
        <w:t>2.1.1 组件及二元关系</w:t>
      </w:r>
      <w:bookmarkStart w:id="26" w:name="v7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7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50" w:name="v7_150"/>
      <w:bookmarkEnd w:id="15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跨语料分析采用另行声明的粗粒度映射，该映射不反向改变域内金标。</w:t>
      </w:r>
    </w:p>
    <w:p>
      <w:pPr>
        <w:pStyle w:val="Heading2"/>
      </w:pPr>
      <w:r>
        <w:t>2.2 合法结构与对象身份</w:t>
      </w:r>
      <w:bookmarkStart w:id="28" w:name="v7_28"/>
      <w:bookmarkEnd w:id="28"/>
    </w:p>
    <w:p>
      <w:pPr>
        <w:pStyle w:val="Heading3"/>
      </w:pPr>
      <w:r>
        <w:t>2.2.1 语料约束与候选范围</w:t>
      </w:r>
      <w:bookmarkStart w:id="29" w:name="v7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7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7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7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7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7_34"/>
      <w:bookmarkEnd w:id="34"/>
    </w:p>
    <w:p>
      <w:pPr>
        <w:pStyle w:val="Heading3"/>
      </w:pPr>
      <w:r>
        <w:t>2.6.1 数据划分与使用范围</w:t>
      </w:r>
      <w:bookmarkStart w:id="35" w:name="v7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7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w:t>
      </w:r>
      <w:bookmarkStart w:id="151" w:name="v7_151"/>
      <w:bookmarkEnd w:id="15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AAEC训练源320、评价80；CDCP训练源580、评价148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变体和重复文本按源文档共同分组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评分数据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训练内三折OOF，开发校准与策略选择分开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7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每文档总求解时间预算；另列每次调用上限和实际调用次数。相同单次上限不能替代相同总计算量。充分求解结果与等资源结果分列，超时报告可行解、有效界或gap，运行到时限不等于求得最优。文档级区间采用配对重采样，每次重新汇总TP、FP、FN；跨种子的标准差描述训练随机性，二者分别报告。区间跨零只表示未建立稳定增量，不能据此认定等效。主比较事先确定，多重探索比较另行标识并说明调整方法。只有与实际运行绑定的统计量才能进入效果结论。</w:t>
      </w:r>
    </w:p>
    <w:p>
      <w:pPr>
        <w:pStyle w:val="Heading2"/>
      </w:pPr>
      <w:r>
        <w:t>2.7 训练与推理的接口</w:t>
      </w:r>
      <w:bookmarkStart w:id="38" w:name="v7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
            <wp:cNvGraphicFramePr>
              <a:graphicFrameLocks noChangeAspect="1"/>
            </wp:cNvGraphicFramePr>
            <a:graphic>
              <a:graphicData uri="http://schemas.openxmlformats.org/drawingml/2006/picture">
                <pic:pic>
                  <pic:nvPicPr>
                    <pic:cNvPr id="0" name="framework.png"/>
                    <pic:cNvPicPr/>
                  </pic:nvPicPr>
                  <pic:blipFill>
                    <a:blip r:embed="rId10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52" w:name="v7_152"/>
      <w:bookmarkEnd w:id="152"/>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7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7_40"/>
      <w:bookmarkEnd w:id="40"/>
    </w:p>
    <w:p>
      <w:pPr>
        <w:pStyle w:val="Heading2"/>
      </w:pPr>
      <w:r>
        <w:t>3.1 引言</w:t>
      </w:r>
      <w:bookmarkStart w:id="41" w:name="v7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7_42"/>
      <w:bookmarkEnd w:id="42"/>
    </w:p>
    <w:p>
      <w:pPr>
        <w:pStyle w:val="Heading3"/>
      </w:pPr>
      <w:r>
        <w:t>3.2.1 类型条件低秩适配</w:t>
      </w:r>
      <w:bookmarkStart w:id="43" w:name="v7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7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7_45"/>
      <w:bookmarkEnd w:id="45"/>
    </w:p>
    <w:p>
      <w:pPr>
        <w:pStyle w:val="Heading3"/>
      </w:pPr>
      <w:r>
        <w:t>3.3.1 改写区域与关系因素</w:t>
      </w:r>
      <w:bookmarkStart w:id="46" w:name="v7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53" w:name="v7_153"/>
      <w:bookmarkEnd w:id="15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
            <wp:cNvGraphicFramePr>
              <a:graphicFrameLocks noChangeAspect="1"/>
            </wp:cNvGraphicFramePr>
            <a:graphic>
              <a:graphicData uri="http://schemas.openxmlformats.org/drawingml/2006/picture">
                <pic:pic>
                  <pic:nvPicPr>
                    <pic:cNvPr id="0" name="augmentation.png"/>
                    <pic:cNvPicPr/>
                  </pic:nvPicPr>
                  <pic:blipFill>
                    <a:blip r:embed="rId10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54" w:name="v7_154"/>
      <w:bookmarkEnd w:id="154"/>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7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7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7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training_architecture.png"/>
                    <pic:cNvPicPr/>
                  </pic:nvPicPr>
                  <pic:blipFill>
                    <a:blip r:embed="rId10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5" w:name="v7_155"/>
      <w:bookmarkEnd w:id="155"/>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7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7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7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7_53"/>
      <w:bookmarkEnd w:id="53"/>
    </w:p>
    <w:p>
      <w:pPr>
        <w:pStyle w:val="Heading3"/>
      </w:pPr>
      <w:r>
        <w:t>3.5.1 数据构造与参数学习</w:t>
      </w:r>
      <w:bookmarkStart w:id="54" w:name="v7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6" w:name="v7_156"/>
      <w:bookmarkEnd w:id="15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7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7_56"/>
      <w:bookmarkEnd w:id="56"/>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7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57" w:name="v7_157"/>
      <w:bookmarkEnd w:id="15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共同接口、评价及资源轨道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数据构造策略的差异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生成侧同时保留固定尝试预算和匹配训练规模两条轨道。前者每篇源文档最多尝试4次、接受2个变体；后者在AAEC与CDCP分别使用500和900个变体，并保持相同源文档采样、有效更新次数及增强token预算。两轨结果共同说明筛选质量和数据覆盖的取舍，单一接受总数不作为资源完全等价的证明。</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7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w:t>
      </w:r>
      <w:bookmarkStart w:id="158" w:name="v7_158"/>
      <w:bookmarkEnd w:id="15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列出接受样本的四类漂移率。完整方案在AAEC和CDCP上的平均漂移率分别为3.62%和5.75%，均低于普通增强及QOS式适配。跨边界正关系和跨边界NONE仍比内部因素更容易发生变化，说明只审核可改写集合内部的关系会遗漏部分监督风险。完整方案的改善同时伴随接受覆盖下降，因此不能仅凭更低漂移率判断它对所有训练文档都更有利。</w:t>
      </w:r>
    </w:p>
    <w:p>
      <w:r>
        <w:rPr>
          <w:rFonts w:ascii="Times New Roman" w:hAnsi="Times New Roman" w:eastAsia="Songti SC"/>
          <w:color w:val="000000"/>
        </w:rPr>
        <w:t>完整判定集合共16000个因素，原始两路判定一致率为96.31%，Cohen κ为0.902。这些统计描述判定一致性；语义保持还依赖判定准则和裁决质量。拒绝样本中存在标签保持的改写，接受样本中也存在漂移，故自动筛选是质量与覆盖的折中。程序的坐标和引用检查为语义审计提供结构前提，两者不能相互替代。</w:t>
      </w:r>
    </w:p>
    <w:p>
      <w:pPr>
        <w:pStyle w:val="Heading3"/>
      </w:pPr>
      <w:r>
        <w:t>3.6.3 抽取结果与学习目标消融</w:t>
      </w:r>
      <w:bookmarkStart w:id="59" w:name="v7_59"/>
      <w:bookmarkEnd w:id="59"/>
    </w:p>
    <w:p>
      <w:pPr>
        <w:pStyle w:val="TableCaption"/>
      </w:pPr>
      <w:r>
        <w:rPr>
          <w:rFonts w:ascii="Times New Roman" w:hAnsi="Times New Roman" w:eastAsia="Songti SC"/>
          <w:color w:val="000000"/>
          <w:sz w:val="21"/>
        </w:rPr>
        <w:t>表3-4 训练方案的严格抽取结果</w:t>
      </w:r>
      <w:bookmarkStart w:id="159" w:name="v7_159"/>
      <w:bookmarkEnd w:id="15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在AAEC与CDCP上的严格关系F1分别增加7.32和7.21个百分点，组件F1分别增加4.19和4.39个百分点。普通增强的增量较小，完整关系条件与筛选进一步提高了关系结果。去跨边界正关系或去NONE检查都会减弱关系收益，这与表3-3中跨边界因素更容易漂移的现象相符。该一致性支持在本比较条件下保留两类约束，但不证明每个被拒绝样本都对训练有害。</w:t>
      </w:r>
    </w:p>
    <w:p>
      <w:pPr>
        <w:pStyle w:val="TableCaption"/>
      </w:pPr>
      <w:r>
        <w:rPr>
          <w:rFonts w:ascii="Times New Roman" w:hAnsi="Times New Roman" w:eastAsia="Songti SC"/>
          <w:color w:val="000000"/>
          <w:sz w:val="21"/>
        </w:rPr>
        <w:t>表3-5 相同增强集合上的学习目标比较</w:t>
      </w:r>
      <w:bookmarkStart w:id="160" w:name="v7_160"/>
      <w:bookmarkEnd w:id="1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表3-5的三行使用完全相同的增强文本、来源权重和更新条件。增加头监督先建立组件与完整关系因素的输入表示；加入成对对齐后，AAEC与CDCP的关系F1分别再增加1.92和1.88个百分点，文档配对95%区间为[+1.17,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training_results.png"/>
                    <pic:cNvPicPr/>
                  </pic:nvPicPr>
                  <pic:blipFill>
                    <a:blip r:embed="rId109"/>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w:t>
      </w:r>
      <w:bookmarkStart w:id="161" w:name="v7_161"/>
      <w:bookmarkEnd w:id="161"/>
    </w:p>
    <w:p>
      <w:pPr>
        <w:pStyle w:val="Heading3"/>
      </w:pPr>
      <w:r>
        <w:t>3.6.4 中心选择与适用条件</w:t>
      </w:r>
      <w:bookmarkStart w:id="60" w:name="v7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表3-6 中心匹配的有效覆盖与自匹配</w:t>
      </w:r>
      <w:bookmarkStart w:id="162" w:name="v7_162"/>
      <w:bookmarkEnd w:id="1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表3-7 结论中心与匹配随机中心的比较</w:t>
      </w:r>
      <w:bookmarkStart w:id="163" w:name="v7_163"/>
      <w:bookmarkEnd w:id="16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结论中心相对匹配随机中心的关系差值较小：AAEC为0.50个百分点，配对95%区间[-0.22, +1.19]；CDCP为0.51个百分点，区间[-0.48, +1.47]。两者区间均包含0，因此该比较没有建立稳定的结论中心优势。结论优先仍是可解释的计算分配规则，但完整方案的主要增量不宜归因于中心角色本身。</w:t>
      </w:r>
    </w:p>
    <w:p>
      <w:pPr>
        <w:pStyle w:val="Heading3"/>
      </w:pPr>
      <w:r>
        <w:t>3.6.5 生成覆盖与计算成本</w:t>
      </w:r>
      <w:bookmarkStart w:id="61" w:name="v7_61"/>
      <w:bookmarkEnd w:id="61"/>
    </w:p>
    <w:p>
      <w:pPr>
        <w:pStyle w:val="TableCaption"/>
      </w:pPr>
      <w:r>
        <w:rPr>
          <w:rFonts w:ascii="Times New Roman" w:hAnsi="Times New Roman" w:eastAsia="Songti SC"/>
          <w:color w:val="000000"/>
          <w:sz w:val="21"/>
        </w:rPr>
        <w:t>表3-8 固定尝试预算下的覆盖与构造成本</w:t>
      </w:r>
      <w:bookmarkStart w:id="164" w:name="v7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 h</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表3-8记录固定尝试预算轨道的构造覆盖和成本，包括拒绝与失败尝试。完整方案在AAEC和CDCP分别接受520和940个变体，覆盖292和522篇源文档；其审核token较多，训练还增加了辅助头和成对目标的开销。匹配规模轨道从各自接受池按同一规则组织500和900个变体，增强token预算分别为0.82M和1.35M。逐文档接受数与来源权重随结果一并保存，避免少数容易改写的文档占据过多更新。</w:t>
      </w:r>
    </w:p>
    <w:p>
      <w:r>
        <w:rPr>
          <w:rFonts w:ascii="Times New Roman" w:hAnsi="Times New Roman" w:eastAsia="Songti SC"/>
          <w:color w:val="000000"/>
        </w:rPr>
        <w:t>增强成本是一次性数据投入，不能与第四章逐文档修正时间直接相加。减少监督漂移提高了数据质量，同时也丢弃一部分标签仍保持的变体；是否采用更严格筛选，应结合训练规模、审核预算和下游收益判断。原图书馆片段用于解释内部、跨边界与NONE变化，字符输运及完整长超边的数学检查保留在附录D，二者分别承担语义直观和结构可复算的作用。</w:t>
      </w:r>
    </w:p>
    <w:p>
      <w:pPr>
        <w:pStyle w:val="Heading2"/>
      </w:pPr>
      <w:r>
        <w:t>3.7 本章小结</w:t>
      </w:r>
      <w:bookmarkStart w:id="62" w:name="v7_62"/>
      <w:bookmarkEnd w:id="62"/>
    </w:p>
    <w:p>
      <w:r>
        <w:rPr>
          <w:rFonts w:ascii="Times New Roman" w:hAnsi="Times New Roman" w:eastAsia="Songti SC"/>
          <w:color w:val="000000"/>
        </w:rPr>
        <w:t>本章将单中心改写、完整关系影响域、标注输运及逐源归一化连接到组件和关系因素学习。结果分析表明，监督质量和增强覆盖需要同时评价；在相同增强集合下，头监督与成对对齐具有可分辨的增量。中心策略的差异较小且区间跨0，因而结论重点放在监督保持与学习目标，而非普遍的结论角色优势。下一章保持原文不变，研究预测组件变化后如何恢复关联结构。</w:t>
      </w:r>
    </w:p>
    <w:p>
      <w:pPr>
        <w:pStyle w:val="Heading1"/>
      </w:pPr>
      <w:r>
        <w:t>第四章 多候选驱动的依赖闭合论辩图修正</w:t>
      </w:r>
      <w:bookmarkStart w:id="63" w:name="v7_63"/>
      <w:bookmarkEnd w:id="63"/>
    </w:p>
    <w:p>
      <w:pPr>
        <w:pStyle w:val="Heading2"/>
      </w:pPr>
      <w:r>
        <w:t>4.1 引言</w:t>
      </w:r>
      <w:bookmarkStart w:id="64" w:name="v7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7" name="repair.png" descr="组件变更与关系重建的整体决策"/>
            <wp:cNvGraphicFramePr>
              <a:graphicFrameLocks noChangeAspect="1"/>
            </wp:cNvGraphicFramePr>
            <a:graphic>
              <a:graphicData uri="http://schemas.openxmlformats.org/drawingml/2006/picture">
                <pic:pic>
                  <pic:nvPicPr>
                    <pic:cNvPr id="0" name="repair.png"/>
                    <pic:cNvPicPr/>
                  </pic:nvPicPr>
                  <pic:blipFill>
                    <a:blip r:embed="rId110"/>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65" w:name="v7_165"/>
      <w:bookmarkEnd w:id="165"/>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7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7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7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7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rPr>
        <w:t>后才构造评价语义键。此分数仅用于候选召回与裁剪，不是完整对象正确率。跨度头不输入金标答案，在OOF时与生成器使用相同持出隔离。</w:t>
      </w:r>
    </w:p>
    <w:p>
      <w:r>
        <w:rPr>
          <w:rFonts w:ascii="Times New Roman" w:hAnsi="Times New Roman" w:eastAsia="Songti SC"/>
          <w:color w:val="000000"/>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rPr>
        <w:t>个；多来源并存，不只保留获胜来源。受保护长跨度不受补充长度上限裁掉。</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3"/>
      </w:pPr>
      <w:r>
        <w:t>4.2.4 完整关系候选与无边状态</w:t>
      </w:r>
      <w:bookmarkStart w:id="69" w:name="v7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2"/>
      </w:pPr>
      <w:r>
        <w:t>4.3 组件集合替换与受影响关系重建</w:t>
      </w:r>
      <w:bookmarkStart w:id="70" w:name="v7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7_71"/>
      <w:bookmarkEnd w:id="71"/>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7_72"/>
      <w:bookmarkEnd w:id="72"/>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7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7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7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7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7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7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7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7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1" w:name="v7_81"/>
      <w:bookmarkEnd w:id="81"/>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66" w:name="v7_166"/>
      <w:bookmarkEnd w:id="16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67" w:name="v7_167"/>
      <w:bookmarkEnd w:id="167"/>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8" name="bounded_execution.png" descr="候选生成至有界事务接受的执行流程"/>
            <wp:cNvGraphicFramePr>
              <a:graphicFrameLocks noChangeAspect="1"/>
            </wp:cNvGraphicFramePr>
            <a:graphic>
              <a:graphicData uri="http://schemas.openxmlformats.org/drawingml/2006/picture">
                <pic:pic>
                  <pic:nvPicPr>
                    <pic:cNvPr id="0" name="bounded_execution.png"/>
                    <pic:cNvPicPr/>
                  </pic:nvPicPr>
                  <pic:blipFill>
                    <a:blip r:embed="rId111"/>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68" w:name="v7_168"/>
      <w:bookmarkEnd w:id="168"/>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2" w:name="v7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7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7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7_85"/>
      <w:bookmarkEnd w:id="85"/>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6" w:name="v7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69" w:name="v7_169"/>
      <w:bookmarkEnd w:id="16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70" w:name="v7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局部事务的价值通过有限算力下的修正质量、过程可审计性与成本衡量。真实F1与预测效用具有不同目标：即使局部任务结果高于某个全局解，也不能据此声称其效用超越同目标全局最优。下文按共同完整对象计数比较各方法，并将覆盖、校准、误改与成本分别解释。</w:t>
      </w:r>
    </w:p>
    <w:p>
      <w:pPr>
        <w:pStyle w:val="Heading3"/>
      </w:pPr>
      <w:r>
        <w:t>4.6.2 系统结果与策略对照</w:t>
      </w:r>
      <w:bookmarkStart w:id="87" w:name="v7_87"/>
      <w:bookmarkEnd w:id="87"/>
    </w:p>
    <w:p>
      <w:pPr>
        <w:pStyle w:val="TableCaption"/>
      </w:pPr>
      <w:r>
        <w:rPr>
          <w:rFonts w:ascii="Times New Roman" w:hAnsi="Times New Roman" w:eastAsia="Songti SC"/>
          <w:color w:val="000000"/>
          <w:sz w:val="21"/>
        </w:rPr>
        <w:t>表4-3 推理方法的严格抽取结果</w:t>
      </w:r>
      <w:bookmarkStart w:id="171" w:name="v7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分步决策的风险可由4.4.5节与附录D的数学构造解释：旧、新组件效用为0.20和0.80，旧、新关系效用为0.90和0.20；第一阶段先删除旧关系并提交组件后，第二阶段即使成功，总效用仍可能由1.10降至1.00。联合门拒绝这一特定提议。该例只说明代理目标下的决策差异；若新关系在真实标签上正确而代理分偏低，联合门也可能错误拒绝，故误改必须另看完整对象计数。</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88" w:name="v7_88"/>
      <w:bookmarkEnd w:id="88"/>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w:t>
      </w:r>
      <w:bookmarkStart w:id="172" w:name="v7_172"/>
      <w:bookmarkEnd w:id="17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w:t>
      </w:r>
      <w:bookmarkStart w:id="173" w:name="v7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89" w:name="v7_89"/>
      <w:bookmarkEnd w:id="89"/>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w:t>
      </w:r>
      <w:bookmarkStart w:id="174" w:name="v7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0" w:name="v7_90"/>
      <w:bookmarkEnd w:id="90"/>
    </w:p>
    <w:p>
      <w:pPr>
        <w:pStyle w:val="TableCaption"/>
      </w:pPr>
      <w:r>
        <w:rPr>
          <w:rFonts w:ascii="Times New Roman" w:hAnsi="Times New Roman" w:eastAsia="Songti SC"/>
          <w:color w:val="000000"/>
          <w:sz w:val="21"/>
        </w:rPr>
        <w:t>表4-7 关系恢复与误改的累计计数</w:t>
      </w:r>
      <w:bookmarkStart w:id="175" w:name="v7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pStyle w:val="TableCaption"/>
      </w:pPr>
      <w:r>
        <w:rPr>
          <w:rFonts w:ascii="Times New Roman" w:hAnsi="Times New Roman" w:eastAsia="Songti SC"/>
          <w:color w:val="000000"/>
          <w:sz w:val="21"/>
        </w:rPr>
        <w:t>表4-8 推理成本与预算取舍</w:t>
      </w:r>
      <w:bookmarkStart w:id="176" w:name="v7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时限比较采用相同逐文档总求解上限及线程设置，单次时限另记；大预算全局结果允许更长求解时间。重生成与BR-J采用相同总token预算，解析失败与额外调用进入成本，实际调用组织可以不同。</w:t>
      </w:r>
    </w:p>
    <w:p>
      <w:r>
        <w:rPr>
          <w:rFonts w:ascii="Times New Roman" w:hAnsi="Times New Roman" w:eastAsia="Songti SC"/>
          <w:color w:val="000000"/>
        </w:rPr>
        <w:t>BR-J的平均总时间为32.00秒和45.16秒，低于大预算全局方案；全局等时限方案与其结果接近，说明局部策略的优势主要体现在预算分配与过程可解释性，而非所有成本指标都占优。冷启动、缓存复用、一次性OOF准备和逐文档执行分别计量，GPU小时、CPU秒和token不互相换算。</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9" name="budget_results.png" descr="不同外层轮数下的关系结果与逐文档时间"/>
            <wp:cNvGraphicFramePr>
              <a:graphicFrameLocks noChangeAspect="1"/>
            </wp:cNvGraphicFramePr>
            <a:graphic>
              <a:graphicData uri="http://schemas.openxmlformats.org/drawingml/2006/picture">
                <pic:pic>
                  <pic:nvPicPr>
                    <pic:cNvPr id="0" name="budget_results.png"/>
                    <pic:cNvPicPr/>
                  </pic:nvPicPr>
                  <pic:blipFill>
                    <a:blip r:embed="rId112"/>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图4-3 外层轮数增加时的结果与时间变化</w:t>
      </w:r>
      <w:bookmarkStart w:id="177" w:name="v7_177"/>
      <w:bookmarkEnd w:id="177"/>
    </w:p>
    <w:p>
      <w:r>
        <w:rPr>
          <w:rFonts w:ascii="Times New Roman" w:hAnsi="Times New Roman" w:eastAsia="Songti SC"/>
          <w:color w:val="000000"/>
        </w:rPr>
        <w:t>从一轮增加到两轮带来较明显改善，继续到四轮的边际增量较小。轮数改变的是最多尝试与接受的机会，实际停止仍由队列、接受条件和剩余资源共同决定。达到尝试上限后，已经评估合格的候选仍按4.5.2节的规则检查提交条件，不因不能启动新提议而被隐式丢弃。</w:t>
      </w:r>
    </w:p>
    <w:p>
      <w:pPr>
        <w:pStyle w:val="Heading3"/>
      </w:pPr>
      <w:r>
        <w:t>4.6.6 案例分析</w:t>
      </w:r>
      <w:bookmarkStart w:id="91" w:name="v7_91"/>
      <w:bookmarkEnd w:id="91"/>
    </w:p>
    <w:p>
      <w:r>
        <w:rPr>
          <w:rFonts w:ascii="Times New Roman" w:hAnsi="Times New Roman" w:eastAsia="Songti SC"/>
          <w:color w:val="000000"/>
        </w:rPr>
        <w:t>表4-9围绕组件边界、完整源集合和接受门展示四类轨迹。每例同时保留金标角色、初始错误、候选状态和最终决策，金标仅用于结果分析。</w:t>
      </w:r>
    </w:p>
    <w:p>
      <w:pPr>
        <w:pStyle w:val="TableCaption"/>
      </w:pPr>
      <w:r>
        <w:rPr>
          <w:rFonts w:ascii="Times New Roman" w:hAnsi="Times New Roman" w:eastAsia="Songti SC"/>
          <w:color w:val="000000"/>
          <w:sz w:val="21"/>
        </w:rPr>
        <w:t>表4-9 结构恢复与失败案例</w:t>
      </w:r>
      <w:bookmarkStart w:id="178" w:name="v7_178"/>
      <w:bookmarkEnd w:id="17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transport and safety jointly constrain the schedule.”需要完整三源集合</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这些轨迹分别对应表达能力、评分错误、接受门取舍和候选上限。它们解释为何完整系统应同时报告恢复与误改，以及为何单一F1差值不能给出唯一机制归因。原子提交和失败恢复保证返回完整合法图，合法性本身不等于语义正确。</w:t>
      </w:r>
    </w:p>
    <w:p>
      <w:pPr>
        <w:pStyle w:val="Heading2"/>
      </w:pPr>
      <w:r>
        <w:t>4.7 本章小结</w:t>
      </w:r>
      <w:bookmarkStart w:id="92" w:name="v7_92"/>
      <w:bookmarkEnd w:id="92"/>
    </w:p>
    <w:p>
      <w:r>
        <w:rPr>
          <w:rFonts w:ascii="Times New Roman" w:hAnsi="Times New Roman" w:eastAsia="Songti SC"/>
          <w:color w:val="000000"/>
        </w:rPr>
        <w:t>本章将组件集合替换与全部受影响关系重建组织为共同事务，并统一完整对象评分、整图约束、分项接受和累计编辑预算。实验对照显示联合策略相对于所定义的组件优先分步策略具有关系增量，同时保留误改和候选限制。覆盖、可达、评分与实际接受构成不同瓶颈；全局大预算可以取得更高结果，局部修正则提供有限预算内的可审计选择。上述比较支持策略层面的判断，不将其缩写为纯执行顺序的因果效果或真实F1单调保证。</w:t>
      </w:r>
    </w:p>
    <w:p>
      <w:pPr>
        <w:pStyle w:val="Heading1"/>
      </w:pPr>
      <w:r>
        <w:t>第五章 两阶段框架的综合分析</w:t>
      </w:r>
      <w:bookmarkStart w:id="93" w:name="v7_93"/>
      <w:bookmarkEnd w:id="93"/>
    </w:p>
    <w:p>
      <w:r>
        <w:rPr>
          <w:rFonts w:ascii="Times New Roman" w:hAnsi="Times New Roman" w:eastAsia="Songti SC"/>
          <w:color w:val="000000"/>
        </w:rPr>
        <w:t>本章通过四格比较分析训练与推理的组合效果，结合错误恢复、误改和计算成本，判断两阶段的互补与重叠。</w:t>
      </w:r>
    </w:p>
    <w:p>
      <w:pPr>
        <w:pStyle w:val="Heading2"/>
      </w:pPr>
      <w:r>
        <w:t>5.1 两阶段组合及可比条件</w:t>
      </w:r>
      <w:bookmarkStart w:id="94" w:name="v7_94"/>
      <w:bookmarkEnd w:id="94"/>
    </w:p>
    <w:p>
      <w:r>
        <w:rPr>
          <w:rFonts w:ascii="Times New Roman" w:hAnsi="Times New Roman" w:eastAsia="Songti SC"/>
          <w:color w:val="000000"/>
        </w:rPr>
        <w:t>四格为T0＋I0、T1＋I0、T0＋I1和T1＋I1，其中I1为BR-J。同一训练条件下，I0与I1共用检查点身份、初始图和候选集合；不同训练条件可以产生不同候选，因为候选变化属于训练效果。评分协议、结构约束和资源定义保持一致，评分适配计入对应训练条件的系统身份。</w:t>
      </w:r>
    </w:p>
    <w:p>
      <w:r>
        <w:rPr>
          <w:rFonts w:ascii="Times New Roman" w:hAnsi="Times New Roman" w:eastAsia="Songti SC"/>
          <w:color w:val="000000"/>
        </w:rPr>
        <w:t>第三章T1与第四章BR-J的主行分别复用于T1＋I0、T1＋I1，各语料的3个种子全部进入汇总。训练消融固定I0，推理消融固定T1；四格用于组合归因。</w:t>
      </w:r>
    </w:p>
    <w:p>
      <w:pPr>
        <w:pStyle w:val="Heading2"/>
      </w:pPr>
      <w:r>
        <w:t>5.2 两阶段增量与错误变化</w:t>
      </w:r>
      <w:bookmarkStart w:id="95" w:name="v7_95"/>
      <w:bookmarkEnd w:id="95"/>
    </w:p>
    <w:p>
      <w:pPr>
        <w:pStyle w:val="Heading3"/>
      </w:pPr>
      <w:r>
        <w:t>5.2.1 四格结果与交互差</w:t>
      </w:r>
      <w:bookmarkStart w:id="96" w:name="v7_96"/>
      <w:bookmarkEnd w:id="96"/>
    </w:p>
    <w:p>
      <w:pPr>
        <w:pStyle w:val="TableCaption"/>
      </w:pPr>
      <w:r>
        <w:rPr>
          <w:rFonts w:ascii="Times New Roman" w:hAnsi="Times New Roman" w:eastAsia="Songti SC"/>
          <w:color w:val="000000"/>
          <w:sz w:val="21"/>
        </w:rPr>
        <w:t>表5-1 两阶段组合的四格结果</w:t>
      </w:r>
      <w:bookmarkStart w:id="179" w:name="v7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T1＋I1在两个语料的组件与关系指标上均高于共同起点。相对T0＋I0，AAEC严格关系F1增加13.31个百分点，CDCP增加13.92个百分点。训练与推理在各自条件下都产生增量，但组合总增量不能简单解释为两个独立效果相加。</w:t>
      </w:r>
    </w:p>
    <w:p>
      <w:r>
        <w:rPr>
          <w:rFonts w:ascii="Times New Roman" w:hAnsi="Times New Roman" w:eastAsia="Songti SC"/>
          <w:color w:val="000000"/>
        </w:rPr>
        <w:t>令</w:t>
      </w:r>
      <m:oMath>
        <m:sSub>
          <m:e>
            <m:r>
              <m:t xml:space="preserve">F</m:t>
            </m:r>
          </m:e>
          <m:sub>
            <m:r>
              <m:t xml:space="preserve">t</m:t>
            </m:r>
            <m:r>
              <m:t xml:space="preserve">i</m:t>
            </m:r>
          </m:sub>
        </m:sSub>
      </m:oMath>
      <w:r>
        <w:rPr>
          <w:rFonts w:ascii="Times New Roman" w:hAnsi="Times New Roman" w:eastAsia="Songti SC"/>
          <w:color w:val="000000"/>
        </w:rPr>
        <w:t>表示同一指标、同一语料的四格结果，交互差为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。表5-2同时列出各条件下的差值，单位均为百分点，计算使用未四舍五入的原始结果。</w:t>
      </w:r>
    </w:p>
    <w:p>
      <w:pPr>
        <w:pStyle w:val="TableCaption"/>
      </w:pPr>
      <w:r>
        <w:rPr>
          <w:rFonts w:ascii="Times New Roman" w:hAnsi="Times New Roman" w:eastAsia="Songti SC"/>
          <w:color w:val="000000"/>
          <w:sz w:val="21"/>
        </w:rPr>
        <w:t>表5-2 条件增量与交互差</w:t>
      </w:r>
      <w:bookmarkStart w:id="180" w:name="v7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AAEC的关系交互差为-0.64，配对95%区间为[-1.71, +0.41]；CDCP为+0.40，区间为[-1.01, +1.80]。两条关系区间均包含0，因而没有建立稳定的超加性。AAEC组件交互差为负，表明训练和修正所覆盖的部分错误发生重叠。完整组合取得较高结果，与每个阶段都独立、同幅度地改善所有错误，是不同层面的判断。</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four_cell_results.png"/>
                    <pic:cNvPicPr/>
                  </pic:nvPicPr>
                  <pic:blipFill>
                    <a:blip r:embed="rId113"/>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w:t>
      </w:r>
      <w:bookmarkStart w:id="181" w:name="v7_181"/>
      <w:bookmarkEnd w:id="181"/>
    </w:p>
    <w:p>
      <w:pPr>
        <w:pStyle w:val="Heading3"/>
      </w:pPr>
      <w:r>
        <w:t>5.2.2 恢复与误改的共同计数</w:t>
      </w:r>
      <w:bookmarkStart w:id="97" w:name="v7_97"/>
      <w:bookmarkEnd w:id="97"/>
    </w:p>
    <w:p>
      <w:r>
        <w:rPr>
          <w:rFonts w:ascii="Times New Roman" w:hAnsi="Times New Roman" w:eastAsia="Songti SC"/>
          <w:color w:val="000000"/>
        </w:rPr>
        <w:t>训练使初始组件与关系错误减少，同时改变推理能够访问的恢复空间。BR-J针对剩余错误进行修正时，既增加新的真阳性，也可能丢失初始正确对象。表4-7按共同初始图统计这两类变化，避免把代理效用上涨当作真实指标单调的证据。</w:t>
      </w:r>
    </w:p>
    <w:p>
      <w:r>
        <w:rPr>
          <w:rFonts w:ascii="Times New Roman" w:hAnsi="Times New Roman" w:eastAsia="Songti SC"/>
          <w:color w:val="000000"/>
        </w:rPr>
        <w:t>AAEC的T1＋I1累计恢复289个关系真阳性，同时损失65个原有真阳性；CDCP分别为233和46个。这里累加的是文档与种子配对记录，重复种子不扩大独立文档样本量。错误关系的移除与新增也分别保留，净F1综合了召回和精确率的变化。仅报告恢复数会遮蔽误改，仅报告最终错误数则无法解释修正过程。</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11" name="recovery_risk.png" descr="联合修正的关系恢复与真阳性损失"/>
            <wp:cNvGraphicFramePr>
              <a:graphicFrameLocks noChangeAspect="1"/>
            </wp:cNvGraphicFramePr>
            <a:graphic>
              <a:graphicData uri="http://schemas.openxmlformats.org/drawingml/2006/picture">
                <pic:pic>
                  <pic:nvPicPr>
                    <pic:cNvPr id="0" name="recovery_risk.png"/>
                    <pic:cNvPicPr/>
                  </pic:nvPicPr>
                  <pic:blipFill>
                    <a:blip r:embed="rId11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图5-2 联合修正中的关系恢复与原真阳性损失</w:t>
      </w:r>
      <w:bookmarkStart w:id="182" w:name="v7_182"/>
      <w:bookmarkEnd w:id="182"/>
    </w:p>
    <w:p>
      <w:r>
        <w:rPr>
          <w:rFonts w:ascii="Times New Roman" w:hAnsi="Times New Roman" w:eastAsia="Songti SC"/>
          <w:color w:val="000000"/>
        </w:rPr>
        <w:t>对剩余错误的解释遵循候选缺失、动作范围、队列截断和接受门四层。候选不存在时提高评分精度不能补回对象；候选存在而动作不表达所需替换时扩大计算预算也不一定有效；具备可达路径仍可能被错误评分或资源限制阻断。由此，负交互可以与部分错误被训练提前修复相容，正交互也需要结合候选分布和评分适配解释，不能仅由一项差值推断普遍机制。</w:t>
      </w:r>
    </w:p>
    <w:p>
      <w:pPr>
        <w:pStyle w:val="Heading2"/>
      </w:pPr>
      <w:r>
        <w:t>5.3 组合效果与成本</w:t>
      </w:r>
      <w:bookmarkStart w:id="98" w:name="v7_98"/>
      <w:bookmarkEnd w:id="98"/>
    </w:p>
    <w:p>
      <w:pPr>
        <w:pStyle w:val="TableCaption"/>
      </w:pPr>
      <w:r>
        <w:rPr>
          <w:rFonts w:ascii="Times New Roman" w:hAnsi="Times New Roman" w:eastAsia="Songti SC"/>
          <w:color w:val="000000"/>
          <w:sz w:val="21"/>
        </w:rPr>
        <w:t>表5-3 四格结果与逐文档时间</w:t>
      </w:r>
      <w:bookmarkStart w:id="183" w:name="v7_183"/>
      <w:bookmarkEnd w:id="18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组合</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T0＋I0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17.00</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T1＋I0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T0＋I1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59.87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T0＋I0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70.18</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22.00</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T1＋I0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T0＋I1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44.16</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r>
    </w:tbl>
    <w:p>
      <w:pPr>
        <w:spacing w:after="0" w:line="240" w:lineRule="auto"/>
      </w:pPr>
    </w:p>
    <w:p>
      <w:r>
        <w:rPr>
          <w:rFonts w:ascii="Times New Roman" w:hAnsi="Times New Roman" w:eastAsia="Songti SC"/>
          <w:color w:val="000000"/>
        </w:rPr>
        <w:t>T1＋I1的逐文档耗时高于T0＋I0，增量来自评分和事务求解。增强生成、审核、训练及OOF准备按数据或检查点计费，候选生成、对象评分和修正按文档计费；表5-3只比较后一部分，避免把一次性投入平均到任意选择的文档数量后宣称成本优势。被拒绝提议、超时和失败调用均进入相应预算。</w:t>
      </w:r>
    </w:p>
    <w:p>
      <w:r>
        <w:rPr>
          <w:rFonts w:ascii="Times New Roman" w:hAnsi="Times New Roman" w:eastAsia="Songti SC"/>
          <w:color w:val="000000"/>
        </w:rPr>
        <w:t>全局等时限对照在关系F1上略高于BR-J，扩大求解预算进一步提高结果，但表4-8显示其时延明显增加。因此局部事务的价值是有限预算下的质量、延迟和可审计轨迹之间的取舍。它不意味着局部效用超过相同目标的全局最优，也不意味着专门修正在所有部署成本模型下都优于重生成。批量吞吐、缓存复用和设备并行会改变实际部署的排序。</w:t>
      </w:r>
    </w:p>
    <w:p>
      <w:pPr>
        <w:pStyle w:val="Heading2"/>
      </w:pPr>
      <w:r>
        <w:t>5.4 原生超边与适用范围</w:t>
      </w:r>
      <w:bookmarkStart w:id="99" w:name="v7_99"/>
      <w:bookmarkEnd w:id="99"/>
    </w:p>
    <w:p>
      <w:r>
        <w:rPr>
          <w:rFonts w:ascii="Times New Roman" w:hAnsi="Times New Roman" w:eastAsia="Songti SC"/>
          <w:color w:val="000000"/>
        </w:rPr>
        <w:t>CDCP关系按完整源集合评价。表5-4进一步按源成员数分组，三个组保留各自的TP、FP、FN，整体结果仍从全部计数重算，不取组F1的算术平均。</w:t>
      </w:r>
    </w:p>
    <w:p>
      <w:pPr>
        <w:pStyle w:val="TableCaption"/>
      </w:pPr>
      <w:r>
        <w:rPr>
          <w:rFonts w:ascii="Times New Roman" w:hAnsi="Times New Roman" w:eastAsia="Songti SC"/>
          <w:color w:val="000000"/>
          <w:sz w:val="21"/>
        </w:rPr>
        <w:t>表5-4 CDCP完整关系的源成员数分组</w:t>
      </w:r>
      <w:bookmarkStart w:id="184" w:name="v7_184"/>
      <w:bookmarkEnd w:id="18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1个源成员</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2个源成员</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3个及以上</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34.15±5.61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38.99±5.35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39.40±3.84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49.95±3.86</w:t>
            </w:r>
          </w:p>
        </w:tc>
      </w:tr>
    </w:tbl>
    <w:p>
      <w:pPr>
        <w:spacing w:after="0" w:line="240" w:lineRule="auto"/>
      </w:pPr>
    </w:p>
    <w:p>
      <w:r>
        <w:rPr>
          <w:rFonts w:ascii="Times New Roman" w:hAnsi="Times New Roman" w:eastAsia="Songti SC"/>
          <w:color w:val="000000"/>
        </w:rPr>
        <w:t>源成员增多时，严格匹配需要同时满足更多端点条件，因此长超边组的结果低于单源组。T1＋I1对各组均有改善，但没有消除长源集合的困难。扩展候选源成员数能够扩大潜在覆盖，同时增加组合规模和评分风险；保护已有长超边与枚举更多新长超边也具有不同成本。</w:t>
      </w:r>
    </w:p>
    <w:p>
      <w:r>
        <w:rPr>
          <w:rFonts w:ascii="Times New Roman" w:hAnsi="Times New Roman" w:eastAsia="Songti SC"/>
          <w:color w:val="000000"/>
        </w:rPr>
        <w:t>本章结论限定于AAEC与CDCP原生任务。附录E的粗粒度跨域Link-F1按原统计口径保留；中文、多语言、隐式论证及其他部署条件不在本章外推范围内。</w:t>
      </w:r>
    </w:p>
    <w:p>
      <w:pPr>
        <w:pStyle w:val="Heading2"/>
      </w:pPr>
      <w:r>
        <w:t>5.5 本章小结</w:t>
      </w:r>
      <w:bookmarkStart w:id="100" w:name="v7_100"/>
      <w:bookmarkEnd w:id="100"/>
    </w:p>
    <w:p>
      <w:r>
        <w:rPr>
          <w:rFonts w:ascii="Times New Roman" w:hAnsi="Times New Roman" w:eastAsia="Songti SC"/>
          <w:color w:val="000000"/>
        </w:rPr>
        <w:t>两阶段组合提高了共同起点的严格抽取结果，但关系交互区间包含0。综合判断应同时考虑恢复、误改和成本，不将分数提高直接解释为稳定超加性。</w:t>
      </w:r>
    </w:p>
    <w:p>
      <w:pPr>
        <w:pStyle w:val="Heading1"/>
      </w:pPr>
      <w:r>
        <w:t>第六章 总结与展望</w:t>
      </w:r>
      <w:bookmarkStart w:id="101" w:name="v7_101"/>
      <w:bookmarkEnd w:id="101"/>
    </w:p>
    <w:p>
      <w:pPr>
        <w:pStyle w:val="Heading2"/>
      </w:pPr>
      <w:r>
        <w:t>6.1 研究总结</w:t>
      </w:r>
      <w:bookmarkStart w:id="102" w:name="v7_102"/>
      <w:bookmarkEnd w:id="102"/>
    </w:p>
    <w:p>
      <w:r>
        <w:rPr>
          <w:rFonts w:ascii="Times New Roman" w:hAnsi="Times New Roman" w:eastAsia="Songti SC"/>
          <w:color w:val="000000"/>
        </w:rPr>
        <w:t>本文围绕论辩组件与关系之间的依赖，研究训练监督保持与推理结构恢复两个问题。训练阶段改变指定组件的表达并维护对应监督；推理阶段保持原文不变，协调修改预测组件及其关系。两项方法共享完整对象与严格评价的表示，同时分别作用于学习过程和结构决策过程。</w:t>
      </w:r>
    </w:p>
    <w:p>
      <w:r>
        <w:rPr>
          <w:rFonts w:ascii="Times New Roman" w:hAnsi="Times New Roman" w:eastAsia="Songti SC"/>
          <w:color w:val="000000"/>
        </w:rPr>
        <w:t>针对RQ1，关系感知增强显式覆盖内部、跨边界、正关系和NONE状态，通过标注输运建立两视图对应，并以源文档为单位组织辅助监督和成对学习。第三章分别讨论监督漂移、接受覆盖和同数据学习增量。完整方案的主要作用来自数据质量与学习目标的配合；中心策略差值较小且区间包含0，因此不将结论优先本身解释为普遍优势。</w:t>
      </w:r>
    </w:p>
    <w:p>
      <w:r>
        <w:rPr>
          <w:rFonts w:ascii="Times New Roman" w:hAnsi="Times New Roman" w:eastAsia="Songti SC"/>
          <w:color w:val="000000"/>
        </w:rPr>
        <w:t>针对RQ2，依赖闭合修正以兼容组件集合替换和全部受影响关系重建组成事务。固定完整对象评分、整图约束、分项接受门与累计编辑预算规定提交边界；允许尝试额度耗尽后提交已经评估合格的候选，并将提交条件与继续评估条件分开。BR-J相对于组件优先分步策略提高了关系结果，其差异同时涉及信息使用、接受门和批内排序，不能缩写为纯执行顺序的单因素因果效果。</w:t>
      </w:r>
    </w:p>
    <w:p>
      <w:r>
        <w:rPr>
          <w:rFonts w:ascii="Times New Roman" w:hAnsi="Times New Roman" w:eastAsia="Songti SC"/>
          <w:color w:val="000000"/>
        </w:rPr>
        <w:t>组合分析中，T1＋I1相对共同起点在AAEC与CDCP关系F1上分别增加13.31和13.92个百分点，关系交互区间均包含0。该结果强调阶段增量与超加性应分开解释。局部修正保留了较高比例的初始正确关系，同时仍存在误改；与全局大预算和重生成的比较体现质量、时延及轨迹可解释性的取舍。</w:t>
      </w:r>
    </w:p>
    <w:p>
      <w:pPr>
        <w:pStyle w:val="Heading2"/>
      </w:pPr>
      <w:r>
        <w:t>6.2 研究局限</w:t>
      </w:r>
      <w:bookmarkStart w:id="103" w:name="v7_103"/>
      <w:bookmarkEnd w:id="103"/>
    </w:p>
    <w:p>
      <w:r>
        <w:rPr>
          <w:rFonts w:ascii="Times New Roman" w:hAnsi="Times New Roman" w:eastAsia="Songti SC"/>
          <w:color w:val="000000"/>
        </w:rPr>
        <w:t>训练监督的可靠性受到语义检查和样本选择共同影响。更严格的筛选可能偏向容易改写、关系显式的文档，接受覆盖下降会改变训练分布；有限端点影响域不能覆盖任意篇章语义变化，NONE也可能包含标注不完备的情况。成对对齐约束辅助因素分布，不保证自回归生成的完整论辩图严格等变。</w:t>
      </w:r>
    </w:p>
    <w:p>
      <w:r>
        <w:rPr>
          <w:rFonts w:ascii="Times New Roman" w:hAnsi="Times New Roman" w:eastAsia="Songti SC"/>
          <w:color w:val="000000"/>
        </w:rPr>
        <w:t>推理修正受到候选、动作与评分三方面限制。正确对象未进入冻结候选时不可恢复，有限集合替换和预算不能表达任意结构变化；搜索反复选取高分对象可能放大评分偏差。分项非下降门也会拒绝某些真实有益但代理分量下降的提议。局部差值与有限终止性质均不构成真实F1单调或全局最优保证。</w:t>
      </w:r>
    </w:p>
    <w:p>
      <w:r>
        <w:rPr>
          <w:rFonts w:ascii="Times New Roman" w:hAnsi="Times New Roman" w:eastAsia="Songti SC"/>
          <w:color w:val="000000"/>
        </w:rPr>
        <w:t>统计比较受语料规模、标注体系和3个重复种子的范围限制。文档级配对区间刻画固定种子条件下的样本不确定性，跨种子标准差描述另一种变化来源，二者不能混为同一误差条。原生超边、二元关系和粗粒度跨域Link-F1分别解释；有限语料上的方法排序不直接推广至其他语言、领域或部署条件。</w:t>
      </w:r>
    </w:p>
    <w:p>
      <w:pPr>
        <w:pStyle w:val="Heading2"/>
      </w:pPr>
      <w:r>
        <w:t>6.3 后续研究方向</w:t>
      </w:r>
      <w:bookmarkStart w:id="104" w:name="v7_104"/>
      <w:bookmarkEnd w:id="104"/>
    </w:p>
    <w:p>
      <w:r>
        <w:rPr>
          <w:rFonts w:ascii="Times New Roman" w:hAnsi="Times New Roman" w:eastAsia="Songti SC"/>
          <w:color w:val="000000"/>
        </w:rPr>
        <w:t>候选空间与计算代价之间的关系值得继续研究。扩大跨度和源集合组合可能提高覆盖，也会增加评分、约束求解和错误选择的风险。可在固定资源条件下比较不同候选组织方式，联合观察覆盖、恢复、误改和时延，确定哪些扩展改善最终结构。</w:t>
      </w:r>
    </w:p>
    <w:p>
      <w:r>
        <w:rPr>
          <w:rFonts w:ascii="Times New Roman" w:hAnsi="Times New Roman" w:eastAsia="Songti SC"/>
          <w:color w:val="000000"/>
        </w:rPr>
        <w:t>语义检查与评分可靠性是另一方向。增强标签漂移与推理错误接受都受到模型判断影响，但二者的输入和监督目标不同。面向隐式关系、长超边、否定、模态和指代的分组分析，有助于确定错误在生成、审核、校准和事务决策之间的传播路径，并研究与任务代价相适应的拒绝策略。</w:t>
      </w:r>
    </w:p>
    <w:p>
      <w:pPr>
        <w:pStyle w:val="Heading1"/>
      </w:pPr>
      <w:r>
        <w:t>参考文献</w:t>
      </w:r>
      <w:bookmarkStart w:id="105" w:name="v7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6" w:name="v7_106"/>
      <w:bookmarkEnd w:id="106"/>
    </w:p>
    <w:p>
      <w:pPr>
        <w:pStyle w:val="Heading2"/>
      </w:pPr>
      <w:r>
        <w:t>A.1 坐标与结构数据</w:t>
      </w:r>
      <w:bookmarkStart w:id="107" w:name="v7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7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185" w:name="v7_185"/>
      <w:bookmarkEnd w:id="18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7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7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配置身份为1009-v3-simulation-s01-s02。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186" w:name="v7_186"/>
      <w:bookmarkEnd w:id="18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7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1"/>
      </w:pPr>
      <w:r>
        <w:t>附录B 评分与事务执行记录</w:t>
      </w:r>
      <w:bookmarkStart w:id="112" w:name="v7_112"/>
      <w:bookmarkEnd w:id="112"/>
    </w:p>
    <w:p>
      <w:pPr>
        <w:pStyle w:val="Heading2"/>
      </w:pPr>
      <w:r>
        <w:t>B.1 数据与模型身份</w:t>
      </w:r>
      <w:bookmarkStart w:id="113" w:name="v7_113"/>
      <w:bookmarkEnd w:id="113"/>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4" w:name="v7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7_115"/>
      <w:bookmarkEnd w:id="115"/>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6" w:name="v7_116"/>
      <w:bookmarkEnd w:id="116"/>
    </w:p>
    <w:p>
      <w:pPr>
        <w:pStyle w:val="Heading3"/>
      </w:pPr>
      <w:r>
        <w:t>B.4.1 已执行的构造检查</w:t>
      </w:r>
      <w:bookmarkStart w:id="117" w:name="v7_117"/>
      <w:bookmarkEnd w:id="117"/>
    </w:p>
    <w:p>
      <w:pPr>
        <w:spacing w:line="380" w:lineRule="exact"/>
      </w:pPr>
      <w:r>
        <w:rPr>
          <w:rFonts w:ascii="Times New Roman" w:hAnsi="Times New Roman" w:eastAsia="Songti SC"/>
          <w:color w:val="000000"/>
          <w:sz w:val="22"/>
        </w:rPr>
        <w:t>本版保留并原样复算v1机制程序，另运行中心匹配、条件反向、分阶段账本、带坐标拆合与状态队列的接口参考程序。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8" w:name="v7_118"/>
      <w:bookmarkEnd w:id="118"/>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2"/>
      </w:pPr>
      <w:r>
        <w:t>B.5 案例的统一记录格式</w:t>
      </w:r>
      <w:bookmarkStart w:id="119" w:name="v7_119"/>
      <w:bookmarkEnd w:id="119"/>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20" w:name="v7_120"/>
      <w:bookmarkEnd w:id="120"/>
    </w:p>
    <w:p>
      <w:pPr>
        <w:pStyle w:val="Heading2"/>
      </w:pPr>
      <w:r>
        <w:t>C.1 前期共同成果</w:t>
      </w:r>
      <w:bookmarkStart w:id="121" w:name="v7_121"/>
      <w:bookmarkEnd w:id="121"/>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2" w:name="v7_122"/>
      <w:bookmarkEnd w:id="122"/>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3" w:name="v7_123"/>
      <w:bookmarkEnd w:id="123"/>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4" w:name="v7_124"/>
      <w:bookmarkEnd w:id="124"/>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5" w:name="v7_125"/>
      <w:bookmarkEnd w:id="125"/>
    </w:p>
    <w:p>
      <w:pPr>
        <w:pStyle w:val="Heading2"/>
      </w:pPr>
      <w:r>
        <w:t>D.1 前期结果的使用范围</w:t>
      </w:r>
      <w:bookmarkStart w:id="126" w:name="v7_126"/>
      <w:bookmarkEnd w:id="126"/>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7" w:name="v7_127"/>
      <w:bookmarkEnd w:id="127"/>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8" w:name="v7_128"/>
      <w:bookmarkEnd w:id="128"/>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29" w:name="v7_129"/>
      <w:bookmarkEnd w:id="129"/>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0" w:name="v7_130"/>
      <w:bookmarkEnd w:id="130"/>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本轮接口构造材料</w:t>
      </w:r>
      <w:bookmarkStart w:id="131" w:name="v7_131"/>
      <w:bookmarkEnd w:id="131"/>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2" w:name="v7_132"/>
      <w:bookmarkEnd w:id="132"/>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3" w:name="v7_133"/>
      <w:bookmarkEnd w:id="133"/>
    </w:p>
    <w:p>
      <w:pPr>
        <w:pStyle w:val="TableCaption"/>
        <w:spacing w:line="380" w:lineRule="exact"/>
      </w:pPr>
      <w:r>
        <w:rPr>
          <w:rFonts w:ascii="Times New Roman" w:hAnsi="Times New Roman" w:eastAsia="Songti SC"/>
          <w:color w:val="000000"/>
          <w:sz w:val="21"/>
        </w:rPr>
        <w:t>表E-1 AAEC组件分类别旧稿记录</w:t>
      </w:r>
      <w:bookmarkStart w:id="187" w:name="v7_187"/>
      <w:bookmarkEnd w:id="18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4" w:name="v7_134"/>
      <w:bookmarkEnd w:id="134"/>
    </w:p>
    <w:p>
      <w:pPr>
        <w:pStyle w:val="TableCaption"/>
        <w:spacing w:line="380" w:lineRule="exact"/>
      </w:pPr>
      <w:r>
        <w:rPr>
          <w:rFonts w:ascii="Times New Roman" w:hAnsi="Times New Roman" w:eastAsia="Songti SC"/>
          <w:color w:val="000000"/>
          <w:sz w:val="21"/>
        </w:rPr>
        <w:t>表E-2 ICIC原版AAEC域内结果记录</w:t>
      </w:r>
      <w:bookmarkStart w:id="188" w:name="v7_188"/>
      <w:bookmarkEnd w:id="18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5" w:name="v7_135"/>
      <w:bookmarkEnd w:id="135"/>
    </w:p>
    <w:p>
      <w:pPr>
        <w:pStyle w:val="TableCaption"/>
        <w:spacing w:line="380" w:lineRule="exact"/>
      </w:pPr>
      <w:r>
        <w:rPr>
          <w:rFonts w:ascii="Times New Roman" w:hAnsi="Times New Roman" w:eastAsia="Songti SC"/>
          <w:color w:val="000000"/>
          <w:sz w:val="21"/>
        </w:rPr>
        <w:t>表E-3 ICIC原版CDCP域内结果记录</w:t>
      </w:r>
      <w:bookmarkStart w:id="189" w:name="v7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6" w:name="v7_136"/>
      <w:bookmarkEnd w:id="136"/>
    </w:p>
    <w:p>
      <w:pPr>
        <w:pStyle w:val="TableCaption"/>
        <w:spacing w:line="380" w:lineRule="exact"/>
      </w:pPr>
      <w:r>
        <w:rPr>
          <w:rFonts w:ascii="Times New Roman" w:hAnsi="Times New Roman" w:eastAsia="Songti SC"/>
          <w:color w:val="000000"/>
          <w:sz w:val="21"/>
        </w:rPr>
        <w:t>表E-4 ICIC原版模块消融记录</w:t>
      </w:r>
      <w:bookmarkStart w:id="190" w:name="v7_190"/>
      <w:bookmarkEnd w:id="19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7" w:name="v7_137"/>
      <w:bookmarkEnd w:id="137"/>
    </w:p>
    <w:p>
      <w:pPr>
        <w:pStyle w:val="TableCaption"/>
        <w:spacing w:line="380" w:lineRule="exact"/>
      </w:pPr>
      <w:r>
        <w:rPr>
          <w:rFonts w:ascii="Times New Roman" w:hAnsi="Times New Roman" w:eastAsia="Songti SC"/>
          <w:color w:val="000000"/>
          <w:sz w:val="21"/>
        </w:rPr>
        <w:t>表E-5 ICIC原版验证器替换记录</w:t>
      </w:r>
      <w:bookmarkStart w:id="191" w:name="v7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8" w:name="v7_138"/>
      <w:bookmarkEnd w:id="138"/>
    </w:p>
    <w:p>
      <w:pPr>
        <w:pStyle w:val="TableCaption"/>
        <w:spacing w:line="380" w:lineRule="exact"/>
      </w:pPr>
      <w:r>
        <w:rPr>
          <w:rFonts w:ascii="Times New Roman" w:hAnsi="Times New Roman" w:eastAsia="Songti SC"/>
          <w:color w:val="000000"/>
          <w:sz w:val="21"/>
        </w:rPr>
        <w:t>表E-6 ICIC原版Oracle记录</w:t>
      </w:r>
      <w:bookmarkStart w:id="192" w:name="v7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9" w:name="v7_139"/>
      <w:bookmarkEnd w:id="139"/>
    </w:p>
    <w:p>
      <w:pPr>
        <w:pStyle w:val="TableCaption"/>
        <w:spacing w:line="380" w:lineRule="exact"/>
      </w:pPr>
      <w:r>
        <w:rPr>
          <w:rFonts w:ascii="Times New Roman" w:hAnsi="Times New Roman" w:eastAsia="Songti SC"/>
          <w:color w:val="000000"/>
          <w:sz w:val="21"/>
        </w:rPr>
        <w:t>表E-7 ICIC原版修正行为记录</w:t>
      </w:r>
      <w:bookmarkStart w:id="193" w:name="v7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0" w:name="v7_140"/>
      <w:bookmarkEnd w:id="140"/>
    </w:p>
    <w:p>
      <w:pPr>
        <w:pStyle w:val="TableCaption"/>
        <w:spacing w:line="380" w:lineRule="exact"/>
      </w:pPr>
      <w:r>
        <w:rPr>
          <w:rFonts w:ascii="Times New Roman" w:hAnsi="Times New Roman" w:eastAsia="Songti SC"/>
          <w:color w:val="000000"/>
          <w:sz w:val="21"/>
        </w:rPr>
        <w:t>表E-8 前期粗粒度组件映射</w:t>
      </w:r>
      <w:bookmarkStart w:id="194" w:name="v7_194"/>
      <w:bookmarkEnd w:id="19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1" w:name="v7_141"/>
      <w:bookmarkEnd w:id="141"/>
    </w:p>
    <w:p>
      <w:pPr>
        <w:pStyle w:val="TableCaption"/>
        <w:spacing w:line="380" w:lineRule="exact"/>
      </w:pPr>
      <w:r>
        <w:rPr>
          <w:rFonts w:ascii="Times New Roman" w:hAnsi="Times New Roman" w:eastAsia="Songti SC"/>
          <w:color w:val="000000"/>
          <w:sz w:val="21"/>
        </w:rPr>
        <w:t>表E-9 ICIC原版AAEC到CDCP迁移记录</w:t>
      </w:r>
      <w:bookmarkStart w:id="195" w:name="v7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2" w:name="v7_142"/>
      <w:bookmarkEnd w:id="142"/>
    </w:p>
    <w:p>
      <w:pPr>
        <w:pStyle w:val="Heading2"/>
      </w:pPr>
      <w:r>
        <w:t>F.1 核心术语与符号</w:t>
      </w:r>
      <w:bookmarkStart w:id="143" w:name="v7_143"/>
      <w:bookmarkEnd w:id="143"/>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196" w:name="v7_196"/>
      <w:bookmarkEnd w:id="19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4" w:name="v7_144"/>
      <w:bookmarkEnd w:id="144"/>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5" w:name="v7_145"/>
      <w:bookmarkEnd w:id="145"/>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197" w:name="v7_197"/>
      <w:bookmarkEnd w:id="19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5.1至5.3四格结果、交互差与成本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102"/>
      <w:footerReference w:type="default" r:id="rId103"/>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1009-v3 模拟数据演示稿；统一声明见封面</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