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1009-v4 模拟数据演示稿</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模拟数据演示稿。除附录E历史存档和明示的数学构造外，新增实验表图、审计判定、运行配置、成本及案例均为人工设定并由程序汇总的计数级模拟情景，不代表真实实验记录或效果预测。全文采用完整论文的叙述方式，供结构与分析推敲；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8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面向结论组件的关系感知增强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以AAEC与CDCP任务表示开展比较，T1相对T0的严格关系F1分别增加7.32和7.21个百分点；BR-J相对T1初始图分别增加5.99和6.71个百分点。固定增强数据的比较区分了辅助监督与成对对齐的增量；同候选下的分步与联合策略比较揭示了不同信息和接受门的作用。四格组合相对共同起点分别增加13.31和13.92个百分点，但关系交互区间均包含0，不支持稳定的超加性。候选限制、长源集合及误改仍影响结果，局部修正与全局求解之间体现质量和计算成本的取舍。</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FrontContents"/>
      </w:pPr>
      <w:r>
        <w:t>Abstract</w:t>
      </w:r>
      <w:bookmarkStart w:id="11" w:name="v8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is relation-aware augmentation learning for conclusion components.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Under the AAEC and CDCP task representations, T1 improves strict relation F1 over T0 by 7.32 and 7.21 percentage points, respectively, while BR-J adds 5.99 and 6.71 points over the T1 initial predictions. Comparisons on identical augmentation sets separate the effects of auxiliary supervision and paired alignment. The sequential baseline and joint strategy differ in information use, acceptance conditions, and proposal ranking; their contrast does not isolate execution order alone. The full combination improves on the common starting point by 13.31 and 13.92 points, but the relation interaction intervals include zero. Candidate limitations, long source sets, and harmful edits remain relevant, and local repair trades quality and computation against global optimization.</w:t>
      </w:r>
    </w:p>
    <w:p>
      <w:pPr>
        <w:spacing w:line="320" w:lineRule="exact" w:after="100"/>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8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8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8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8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8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8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8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8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3</w:t>
        </w:r>
      </w:hyperlink>
    </w:p>
    <w:p>
      <w:pPr>
        <w:pStyle w:val="TOC3"/>
      </w:pPr>
      <w:hyperlink w:anchor="v8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4</w:t>
        </w:r>
      </w:hyperlink>
    </w:p>
    <w:p>
      <w:pPr>
        <w:pStyle w:val="TOC2"/>
      </w:pPr>
      <w:hyperlink w:anchor="v8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5</w:t>
        </w:r>
      </w:hyperlink>
    </w:p>
    <w:p>
      <w:pPr>
        <w:pStyle w:val="TOC3"/>
      </w:pPr>
      <w:hyperlink w:anchor="v8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8_21" w:history="1">
        <w:r>
          <w:rPr>
            <w:rFonts w:ascii="Times New Roman" w:hAnsi="Times New Roman" w:eastAsia="Songti SC"/>
            <w:color w:val="000000"/>
            <w:sz w:val="22"/>
          </w:rPr>
          <w:t>1.3.2 主要研究内容</w:t>
        </w:r>
        <w:r>
          <w:rPr>
            <w:rFonts w:ascii="Times New Roman" w:hAnsi="Times New Roman" w:eastAsia="Songti SC"/>
            <w:color w:val="000000"/>
            <w:sz w:val="22"/>
          </w:rPr>
          <w:tab/>
          <w:t>6</w:t>
        </w:r>
      </w:hyperlink>
    </w:p>
    <w:p>
      <w:pPr>
        <w:pStyle w:val="TOC3"/>
      </w:pPr>
      <w:hyperlink w:anchor="v8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8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8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8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8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8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8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8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8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11</w:t>
        </w:r>
      </w:hyperlink>
    </w:p>
    <w:p>
      <w:pPr>
        <w:pStyle w:val="TOC2"/>
      </w:pPr>
      <w:hyperlink w:anchor="v8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8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12</w:t>
        </w:r>
      </w:hyperlink>
    </w:p>
    <w:p>
      <w:pPr>
        <w:pStyle w:val="TOC2"/>
      </w:pPr>
      <w:hyperlink w:anchor="v8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8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8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8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8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8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8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8_40" w:history="1">
        <w:r>
          <w:rPr>
            <w:rFonts w:ascii="Times New Roman" w:hAnsi="Times New Roman" w:eastAsia="Songti SC"/>
            <w:color w:val="000000"/>
            <w:sz w:val="22"/>
          </w:rPr>
          <w:t>第三章 面向结论组件的关系感知增强学习</w:t>
        </w:r>
        <w:r>
          <w:rPr>
            <w:rFonts w:ascii="Times New Roman" w:hAnsi="Times New Roman" w:eastAsia="Songti SC"/>
            <w:color w:val="000000"/>
            <w:sz w:val="22"/>
          </w:rPr>
          <w:tab/>
          <w:t>17</w:t>
        </w:r>
      </w:hyperlink>
    </w:p>
    <w:p>
      <w:pPr>
        <w:pStyle w:val="TOC2"/>
      </w:pPr>
      <w:hyperlink w:anchor="v8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8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18</w:t>
        </w:r>
      </w:hyperlink>
    </w:p>
    <w:p>
      <w:pPr>
        <w:pStyle w:val="TOC3"/>
      </w:pPr>
      <w:hyperlink w:anchor="v8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18</w:t>
        </w:r>
      </w:hyperlink>
    </w:p>
    <w:p>
      <w:pPr>
        <w:pStyle w:val="TOC3"/>
      </w:pPr>
      <w:hyperlink w:anchor="v8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8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19</w:t>
        </w:r>
      </w:hyperlink>
    </w:p>
    <w:p>
      <w:pPr>
        <w:pStyle w:val="TOC3"/>
      </w:pPr>
      <w:hyperlink w:anchor="v8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19</w:t>
        </w:r>
      </w:hyperlink>
    </w:p>
    <w:p>
      <w:pPr>
        <w:pStyle w:val="TOC3"/>
      </w:pPr>
      <w:hyperlink w:anchor="v8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8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22</w:t>
        </w:r>
      </w:hyperlink>
    </w:p>
    <w:p>
      <w:pPr>
        <w:pStyle w:val="TOC2"/>
      </w:pPr>
      <w:hyperlink w:anchor="v8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23</w:t>
        </w:r>
      </w:hyperlink>
    </w:p>
    <w:p>
      <w:pPr>
        <w:pStyle w:val="TOC3"/>
      </w:pPr>
      <w:hyperlink w:anchor="v8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24</w:t>
        </w:r>
      </w:hyperlink>
    </w:p>
    <w:p>
      <w:pPr>
        <w:pStyle w:val="TOC3"/>
      </w:pPr>
      <w:hyperlink w:anchor="v8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8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8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8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8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8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8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8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8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30</w:t>
        </w:r>
      </w:hyperlink>
    </w:p>
    <w:p>
      <w:pPr>
        <w:pStyle w:val="TOC3"/>
      </w:pPr>
      <w:hyperlink w:anchor="v8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32</w:t>
        </w:r>
      </w:hyperlink>
    </w:p>
    <w:p>
      <w:pPr>
        <w:pStyle w:val="TOC3"/>
      </w:pPr>
      <w:hyperlink w:anchor="v8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33</w:t>
        </w:r>
      </w:hyperlink>
    </w:p>
    <w:p>
      <w:pPr>
        <w:pStyle w:val="TOC2"/>
      </w:pPr>
      <w:hyperlink w:anchor="v8_62" w:history="1">
        <w:r>
          <w:rPr>
            <w:rFonts w:ascii="Times New Roman" w:hAnsi="Times New Roman" w:eastAsia="Songti SC"/>
            <w:color w:val="000000"/>
            <w:sz w:val="22"/>
          </w:rPr>
          <w:t>3.7 本章小结</w:t>
        </w:r>
        <w:r>
          <w:rPr>
            <w:rFonts w:ascii="Times New Roman" w:hAnsi="Times New Roman" w:eastAsia="Songti SC"/>
            <w:color w:val="000000"/>
            <w:sz w:val="22"/>
          </w:rPr>
          <w:tab/>
          <w:t>34</w:t>
        </w:r>
      </w:hyperlink>
    </w:p>
    <w:p>
      <w:pPr>
        <w:pStyle w:val="TOC1"/>
        <w:keepNext/>
        <w:spacing w:before="120"/>
      </w:pPr>
      <w:hyperlink w:anchor="v8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35</w:t>
        </w:r>
      </w:hyperlink>
    </w:p>
    <w:p>
      <w:pPr>
        <w:pStyle w:val="TOC2"/>
      </w:pPr>
      <w:hyperlink w:anchor="v8_64" w:history="1">
        <w:r>
          <w:rPr>
            <w:rFonts w:ascii="Times New Roman" w:hAnsi="Times New Roman" w:eastAsia="Songti SC"/>
            <w:color w:val="000000"/>
            <w:sz w:val="22"/>
          </w:rPr>
          <w:t>4.1 引言</w:t>
        </w:r>
        <w:r>
          <w:rPr>
            <w:rFonts w:ascii="Times New Roman" w:hAnsi="Times New Roman" w:eastAsia="Songti SC"/>
            <w:color w:val="000000"/>
            <w:sz w:val="22"/>
          </w:rPr>
          <w:tab/>
          <w:t>35</w:t>
        </w:r>
      </w:hyperlink>
    </w:p>
    <w:p>
      <w:pPr>
        <w:pStyle w:val="TOC2"/>
      </w:pPr>
      <w:hyperlink w:anchor="v8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37</w:t>
        </w:r>
      </w:hyperlink>
    </w:p>
    <w:p>
      <w:pPr>
        <w:pStyle w:val="TOC3"/>
      </w:pPr>
      <w:hyperlink w:anchor="v8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37</w:t>
        </w:r>
      </w:hyperlink>
    </w:p>
    <w:p>
      <w:pPr>
        <w:pStyle w:val="TOC3"/>
      </w:pPr>
      <w:hyperlink w:anchor="v8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37</w:t>
        </w:r>
      </w:hyperlink>
    </w:p>
    <w:p>
      <w:pPr>
        <w:pStyle w:val="TOC3"/>
      </w:pPr>
      <w:hyperlink w:anchor="v8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38</w:t>
        </w:r>
      </w:hyperlink>
    </w:p>
    <w:p>
      <w:pPr>
        <w:pStyle w:val="TOC3"/>
      </w:pPr>
      <w:hyperlink w:anchor="v8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39</w:t>
        </w:r>
      </w:hyperlink>
    </w:p>
    <w:p>
      <w:pPr>
        <w:pStyle w:val="TOC2"/>
      </w:pPr>
      <w:hyperlink w:anchor="v8_70"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39</w:t>
        </w:r>
      </w:hyperlink>
    </w:p>
    <w:p>
      <w:pPr>
        <w:pStyle w:val="TOC3"/>
      </w:pPr>
      <w:hyperlink w:anchor="v8_71"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39</w:t>
        </w:r>
      </w:hyperlink>
    </w:p>
    <w:p>
      <w:pPr>
        <w:pStyle w:val="TOC3"/>
      </w:pPr>
      <w:hyperlink w:anchor="v8_72"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40</w:t>
        </w:r>
      </w:hyperlink>
    </w:p>
    <w:p>
      <w:pPr>
        <w:pStyle w:val="TOC2"/>
      </w:pPr>
      <w:hyperlink w:anchor="v8_73"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41</w:t>
        </w:r>
      </w:hyperlink>
    </w:p>
    <w:p>
      <w:pPr>
        <w:pStyle w:val="TOC3"/>
      </w:pPr>
      <w:hyperlink w:anchor="v8_74"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41</w:t>
        </w:r>
      </w:hyperlink>
    </w:p>
    <w:p>
      <w:pPr>
        <w:pStyle w:val="TOC3"/>
      </w:pPr>
      <w:hyperlink w:anchor="v8_75"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42</w:t>
        </w:r>
      </w:hyperlink>
    </w:p>
    <w:p>
      <w:pPr>
        <w:pStyle w:val="TOC3"/>
      </w:pPr>
      <w:hyperlink w:anchor="v8_76" w:history="1">
        <w:r>
          <w:rPr>
            <w:rFonts w:ascii="Times New Roman" w:hAnsi="Times New Roman" w:eastAsia="Songti SC"/>
            <w:color w:val="000000"/>
            <w:sz w:val="22"/>
          </w:rPr>
          <w:t>4.4.3 固定计数效用</w:t>
        </w:r>
        <w:r>
          <w:rPr>
            <w:rFonts w:ascii="Times New Roman" w:hAnsi="Times New Roman" w:eastAsia="Songti SC"/>
            <w:color w:val="000000"/>
            <w:sz w:val="22"/>
          </w:rPr>
          <w:tab/>
          <w:t>42</w:t>
        </w:r>
      </w:hyperlink>
    </w:p>
    <w:p>
      <w:pPr>
        <w:pStyle w:val="TOC3"/>
      </w:pPr>
      <w:hyperlink w:anchor="v8_77"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43</w:t>
        </w:r>
      </w:hyperlink>
    </w:p>
    <w:p>
      <w:pPr>
        <w:pStyle w:val="TOC3"/>
      </w:pPr>
      <w:hyperlink w:anchor="v8_78"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43</w:t>
        </w:r>
      </w:hyperlink>
    </w:p>
    <w:p>
      <w:pPr>
        <w:pStyle w:val="TOC2"/>
      </w:pPr>
      <w:hyperlink w:anchor="v8_79" w:history="1">
        <w:r>
          <w:rPr>
            <w:rFonts w:ascii="Times New Roman" w:hAnsi="Times New Roman" w:eastAsia="Songti SC"/>
            <w:color w:val="000000"/>
            <w:sz w:val="22"/>
          </w:rPr>
          <w:t>4.5 求解算法及性质</w:t>
        </w:r>
        <w:r>
          <w:rPr>
            <w:rFonts w:ascii="Times New Roman" w:hAnsi="Times New Roman" w:eastAsia="Songti SC"/>
            <w:color w:val="000000"/>
            <w:sz w:val="22"/>
          </w:rPr>
          <w:tab/>
          <w:t>44</w:t>
        </w:r>
      </w:hyperlink>
    </w:p>
    <w:p>
      <w:pPr>
        <w:pStyle w:val="TOC3"/>
      </w:pPr>
      <w:hyperlink w:anchor="v8_80"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45</w:t>
        </w:r>
      </w:hyperlink>
    </w:p>
    <w:p>
      <w:pPr>
        <w:pStyle w:val="TOC3"/>
      </w:pPr>
      <w:hyperlink w:anchor="v8_81"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46</w:t>
        </w:r>
      </w:hyperlink>
    </w:p>
    <w:p>
      <w:pPr>
        <w:pStyle w:val="TOC3"/>
      </w:pPr>
      <w:hyperlink w:anchor="v8_82"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48</w:t>
        </w:r>
      </w:hyperlink>
    </w:p>
    <w:p>
      <w:pPr>
        <w:pStyle w:val="TOC3"/>
      </w:pPr>
      <w:hyperlink w:anchor="v8_83"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49</w:t>
        </w:r>
      </w:hyperlink>
    </w:p>
    <w:p>
      <w:pPr>
        <w:pStyle w:val="TOC3"/>
      </w:pPr>
      <w:hyperlink w:anchor="v8_84"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49</w:t>
        </w:r>
      </w:hyperlink>
    </w:p>
    <w:p>
      <w:pPr>
        <w:pStyle w:val="TOC2"/>
      </w:pPr>
      <w:hyperlink w:anchor="v8_85" w:history="1">
        <w:r>
          <w:rPr>
            <w:rFonts w:ascii="Times New Roman" w:hAnsi="Times New Roman" w:eastAsia="Songti SC"/>
            <w:color w:val="000000"/>
            <w:sz w:val="22"/>
          </w:rPr>
          <w:t>4.6 实验与分析</w:t>
        </w:r>
        <w:r>
          <w:rPr>
            <w:rFonts w:ascii="Times New Roman" w:hAnsi="Times New Roman" w:eastAsia="Songti SC"/>
            <w:color w:val="000000"/>
            <w:sz w:val="22"/>
          </w:rPr>
          <w:tab/>
          <w:t>50</w:t>
        </w:r>
      </w:hyperlink>
    </w:p>
    <w:p>
      <w:pPr>
        <w:pStyle w:val="TOC3"/>
      </w:pPr>
      <w:hyperlink w:anchor="v8_86"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50</w:t>
        </w:r>
      </w:hyperlink>
    </w:p>
    <w:p>
      <w:pPr>
        <w:pStyle w:val="TOC3"/>
      </w:pPr>
      <w:hyperlink w:anchor="v8_87"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53</w:t>
        </w:r>
      </w:hyperlink>
    </w:p>
    <w:p>
      <w:pPr>
        <w:pStyle w:val="TOC3"/>
      </w:pPr>
      <w:hyperlink w:anchor="v8_88"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54</w:t>
        </w:r>
      </w:hyperlink>
    </w:p>
    <w:p>
      <w:pPr>
        <w:pStyle w:val="TOC3"/>
      </w:pPr>
      <w:hyperlink w:anchor="v8_89"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55</w:t>
        </w:r>
      </w:hyperlink>
    </w:p>
    <w:p>
      <w:pPr>
        <w:pStyle w:val="TOC3"/>
      </w:pPr>
      <w:hyperlink w:anchor="v8_90"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56</w:t>
        </w:r>
      </w:hyperlink>
    </w:p>
    <w:p>
      <w:pPr>
        <w:pStyle w:val="TOC3"/>
      </w:pPr>
      <w:hyperlink w:anchor="v8_91" w:history="1">
        <w:r>
          <w:rPr>
            <w:rFonts w:ascii="Times New Roman" w:hAnsi="Times New Roman" w:eastAsia="Songti SC"/>
            <w:color w:val="000000"/>
            <w:sz w:val="22"/>
          </w:rPr>
          <w:t>4.6.6 案例分析</w:t>
        </w:r>
        <w:r>
          <w:rPr>
            <w:rFonts w:ascii="Times New Roman" w:hAnsi="Times New Roman" w:eastAsia="Songti SC"/>
            <w:color w:val="000000"/>
            <w:sz w:val="22"/>
          </w:rPr>
          <w:tab/>
          <w:t>58</w:t>
        </w:r>
      </w:hyperlink>
    </w:p>
    <w:p>
      <w:pPr>
        <w:pStyle w:val="TOC2"/>
      </w:pPr>
      <w:hyperlink w:anchor="v8_92" w:history="1">
        <w:r>
          <w:rPr>
            <w:rFonts w:ascii="Times New Roman" w:hAnsi="Times New Roman" w:eastAsia="Songti SC"/>
            <w:color w:val="000000"/>
            <w:sz w:val="22"/>
          </w:rPr>
          <w:t>4.7 本章小结</w:t>
        </w:r>
        <w:r>
          <w:rPr>
            <w:rFonts w:ascii="Times New Roman" w:hAnsi="Times New Roman" w:eastAsia="Songti SC"/>
            <w:color w:val="000000"/>
            <w:sz w:val="22"/>
          </w:rPr>
          <w:tab/>
          <w:t>59</w:t>
        </w:r>
      </w:hyperlink>
    </w:p>
    <w:p>
      <w:pPr>
        <w:pStyle w:val="TOC1"/>
        <w:keepNext/>
        <w:spacing w:before="120"/>
      </w:pPr>
      <w:hyperlink w:anchor="v8_93"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60</w:t>
        </w:r>
      </w:hyperlink>
    </w:p>
    <w:p>
      <w:pPr>
        <w:pStyle w:val="TOC2"/>
      </w:pPr>
      <w:hyperlink w:anchor="v8_94" w:history="1">
        <w:r>
          <w:rPr>
            <w:rFonts w:ascii="Times New Roman" w:hAnsi="Times New Roman" w:eastAsia="Songti SC"/>
            <w:color w:val="000000"/>
            <w:sz w:val="22"/>
          </w:rPr>
          <w:t>5.1 两阶段组合及可比条件</w:t>
        </w:r>
        <w:r>
          <w:rPr>
            <w:rFonts w:ascii="Times New Roman" w:hAnsi="Times New Roman" w:eastAsia="Songti SC"/>
            <w:color w:val="000000"/>
            <w:sz w:val="22"/>
          </w:rPr>
          <w:tab/>
          <w:t>60</w:t>
        </w:r>
      </w:hyperlink>
    </w:p>
    <w:p>
      <w:pPr>
        <w:pStyle w:val="TOC2"/>
      </w:pPr>
      <w:hyperlink w:anchor="v8_95" w:history="1">
        <w:r>
          <w:rPr>
            <w:rFonts w:ascii="Times New Roman" w:hAnsi="Times New Roman" w:eastAsia="Songti SC"/>
            <w:color w:val="000000"/>
            <w:sz w:val="22"/>
          </w:rPr>
          <w:t>5.2 两阶段增量与错误变化</w:t>
        </w:r>
        <w:r>
          <w:rPr>
            <w:rFonts w:ascii="Times New Roman" w:hAnsi="Times New Roman" w:eastAsia="Songti SC"/>
            <w:color w:val="000000"/>
            <w:sz w:val="22"/>
          </w:rPr>
          <w:tab/>
          <w:t>60</w:t>
        </w:r>
      </w:hyperlink>
    </w:p>
    <w:p>
      <w:pPr>
        <w:pStyle w:val="TOC3"/>
      </w:pPr>
      <w:hyperlink w:anchor="v8_96" w:history="1">
        <w:r>
          <w:rPr>
            <w:rFonts w:ascii="Times New Roman" w:hAnsi="Times New Roman" w:eastAsia="Songti SC"/>
            <w:color w:val="000000"/>
            <w:sz w:val="22"/>
          </w:rPr>
          <w:t>5.2.1 四格结果与交互差</w:t>
        </w:r>
        <w:r>
          <w:rPr>
            <w:rFonts w:ascii="Times New Roman" w:hAnsi="Times New Roman" w:eastAsia="Songti SC"/>
            <w:color w:val="000000"/>
            <w:sz w:val="22"/>
          </w:rPr>
          <w:tab/>
          <w:t>60</w:t>
        </w:r>
      </w:hyperlink>
    </w:p>
    <w:p>
      <w:pPr>
        <w:pStyle w:val="TOC3"/>
      </w:pPr>
      <w:hyperlink w:anchor="v8_97" w:history="1">
        <w:r>
          <w:rPr>
            <w:rFonts w:ascii="Times New Roman" w:hAnsi="Times New Roman" w:eastAsia="Songti SC"/>
            <w:color w:val="000000"/>
            <w:sz w:val="22"/>
          </w:rPr>
          <w:t>5.2.2 恢复与误改的共同计数</w:t>
        </w:r>
        <w:r>
          <w:rPr>
            <w:rFonts w:ascii="Times New Roman" w:hAnsi="Times New Roman" w:eastAsia="Songti SC"/>
            <w:color w:val="000000"/>
            <w:sz w:val="22"/>
          </w:rPr>
          <w:tab/>
          <w:t>61</w:t>
        </w:r>
      </w:hyperlink>
    </w:p>
    <w:p>
      <w:pPr>
        <w:pStyle w:val="TOC2"/>
      </w:pPr>
      <w:hyperlink w:anchor="v8_98" w:history="1">
        <w:r>
          <w:rPr>
            <w:rFonts w:ascii="Times New Roman" w:hAnsi="Times New Roman" w:eastAsia="Songti SC"/>
            <w:color w:val="000000"/>
            <w:sz w:val="22"/>
          </w:rPr>
          <w:t>5.3 组合效果与成本</w:t>
        </w:r>
        <w:r>
          <w:rPr>
            <w:rFonts w:ascii="Times New Roman" w:hAnsi="Times New Roman" w:eastAsia="Songti SC"/>
            <w:color w:val="000000"/>
            <w:sz w:val="22"/>
          </w:rPr>
          <w:tab/>
          <w:t>63</w:t>
        </w:r>
      </w:hyperlink>
    </w:p>
    <w:p>
      <w:pPr>
        <w:pStyle w:val="TOC2"/>
      </w:pPr>
      <w:hyperlink w:anchor="v8_99" w:history="1">
        <w:r>
          <w:rPr>
            <w:rFonts w:ascii="Times New Roman" w:hAnsi="Times New Roman" w:eastAsia="Songti SC"/>
            <w:color w:val="000000"/>
            <w:sz w:val="22"/>
          </w:rPr>
          <w:t>5.4 原生超边与适用范围</w:t>
        </w:r>
        <w:r>
          <w:rPr>
            <w:rFonts w:ascii="Times New Roman" w:hAnsi="Times New Roman" w:eastAsia="Songti SC"/>
            <w:color w:val="000000"/>
            <w:sz w:val="22"/>
          </w:rPr>
          <w:tab/>
          <w:t>63</w:t>
        </w:r>
      </w:hyperlink>
    </w:p>
    <w:p>
      <w:pPr>
        <w:pStyle w:val="TOC2"/>
      </w:pPr>
      <w:hyperlink w:anchor="v8_100" w:history="1">
        <w:r>
          <w:rPr>
            <w:rFonts w:ascii="Times New Roman" w:hAnsi="Times New Roman" w:eastAsia="Songti SC"/>
            <w:color w:val="000000"/>
            <w:sz w:val="22"/>
          </w:rPr>
          <w:t>5.5 本章小结</w:t>
        </w:r>
        <w:r>
          <w:rPr>
            <w:rFonts w:ascii="Times New Roman" w:hAnsi="Times New Roman" w:eastAsia="Songti SC"/>
            <w:color w:val="000000"/>
            <w:sz w:val="22"/>
          </w:rPr>
          <w:tab/>
          <w:t>64</w:t>
        </w:r>
      </w:hyperlink>
    </w:p>
    <w:p>
      <w:pPr>
        <w:pStyle w:val="TOC1"/>
        <w:keepNext/>
        <w:spacing w:before="120"/>
      </w:pPr>
      <w:hyperlink w:anchor="v8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65</w:t>
        </w:r>
      </w:hyperlink>
    </w:p>
    <w:p>
      <w:pPr>
        <w:pStyle w:val="TOC2"/>
      </w:pPr>
      <w:hyperlink w:anchor="v8_102" w:history="1">
        <w:r>
          <w:rPr>
            <w:rFonts w:ascii="Times New Roman" w:hAnsi="Times New Roman" w:eastAsia="Songti SC"/>
            <w:color w:val="000000"/>
            <w:sz w:val="22"/>
          </w:rPr>
          <w:t>6.1 研究总结</w:t>
        </w:r>
        <w:r>
          <w:rPr>
            <w:rFonts w:ascii="Times New Roman" w:hAnsi="Times New Roman" w:eastAsia="Songti SC"/>
            <w:color w:val="000000"/>
            <w:sz w:val="22"/>
          </w:rPr>
          <w:tab/>
          <w:t>65</w:t>
        </w:r>
      </w:hyperlink>
    </w:p>
    <w:p>
      <w:pPr>
        <w:pStyle w:val="TOC2"/>
      </w:pPr>
      <w:hyperlink w:anchor="v8_103" w:history="1">
        <w:r>
          <w:rPr>
            <w:rFonts w:ascii="Times New Roman" w:hAnsi="Times New Roman" w:eastAsia="Songti SC"/>
            <w:color w:val="000000"/>
            <w:sz w:val="22"/>
          </w:rPr>
          <w:t>6.2 研究局限</w:t>
        </w:r>
        <w:r>
          <w:rPr>
            <w:rFonts w:ascii="Times New Roman" w:hAnsi="Times New Roman" w:eastAsia="Songti SC"/>
            <w:color w:val="000000"/>
            <w:sz w:val="22"/>
          </w:rPr>
          <w:tab/>
          <w:t>65</w:t>
        </w:r>
      </w:hyperlink>
    </w:p>
    <w:p>
      <w:pPr>
        <w:pStyle w:val="TOC2"/>
      </w:pPr>
      <w:hyperlink w:anchor="v8_104" w:history="1">
        <w:r>
          <w:rPr>
            <w:rFonts w:ascii="Times New Roman" w:hAnsi="Times New Roman" w:eastAsia="Songti SC"/>
            <w:color w:val="000000"/>
            <w:sz w:val="22"/>
          </w:rPr>
          <w:t>6.3 后续研究方向</w:t>
        </w:r>
        <w:r>
          <w:rPr>
            <w:rFonts w:ascii="Times New Roman" w:hAnsi="Times New Roman" w:eastAsia="Songti SC"/>
            <w:color w:val="000000"/>
            <w:sz w:val="22"/>
          </w:rPr>
          <w:tab/>
          <w:t>66</w:t>
        </w:r>
      </w:hyperlink>
    </w:p>
    <w:p>
      <w:pPr>
        <w:pStyle w:val="TOC1"/>
        <w:keepNext/>
        <w:spacing w:before="120"/>
      </w:pPr>
      <w:hyperlink w:anchor="v8_105" w:history="1">
        <w:r>
          <w:rPr>
            <w:rFonts w:ascii="Times New Roman" w:hAnsi="Times New Roman" w:eastAsia="Songti SC"/>
            <w:color w:val="000000"/>
            <w:sz w:val="22"/>
          </w:rPr>
          <w:t>参考文献</w:t>
        </w:r>
        <w:r>
          <w:rPr>
            <w:rFonts w:ascii="Times New Roman" w:hAnsi="Times New Roman" w:eastAsia="Songti SC"/>
            <w:color w:val="000000"/>
            <w:sz w:val="22"/>
          </w:rPr>
          <w:tab/>
          <w:t>67</w:t>
        </w:r>
      </w:hyperlink>
    </w:p>
    <w:p>
      <w:pPr>
        <w:pStyle w:val="TOC1"/>
        <w:keepNext/>
        <w:spacing w:before="120"/>
      </w:pPr>
      <w:hyperlink w:anchor="v8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71</w:t>
        </w:r>
      </w:hyperlink>
    </w:p>
    <w:p>
      <w:pPr>
        <w:pStyle w:val="TOC2"/>
      </w:pPr>
      <w:hyperlink w:anchor="v8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71</w:t>
        </w:r>
      </w:hyperlink>
    </w:p>
    <w:p>
      <w:pPr>
        <w:pStyle w:val="TOC2"/>
      </w:pPr>
      <w:hyperlink w:anchor="v8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71</w:t>
        </w:r>
      </w:hyperlink>
    </w:p>
    <w:p>
      <w:pPr>
        <w:pStyle w:val="TOC2"/>
      </w:pPr>
      <w:hyperlink w:anchor="v8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72</w:t>
        </w:r>
      </w:hyperlink>
    </w:p>
    <w:p>
      <w:pPr>
        <w:pStyle w:val="TOC2"/>
      </w:pPr>
      <w:hyperlink w:anchor="v8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72</w:t>
        </w:r>
      </w:hyperlink>
    </w:p>
    <w:p>
      <w:pPr>
        <w:pStyle w:val="TOC2"/>
      </w:pPr>
      <w:hyperlink w:anchor="v8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73</w:t>
        </w:r>
      </w:hyperlink>
    </w:p>
    <w:p>
      <w:pPr>
        <w:pStyle w:val="TOC1"/>
        <w:keepNext/>
        <w:spacing w:before="120"/>
      </w:pPr>
      <w:hyperlink w:anchor="v8_112"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74</w:t>
        </w:r>
      </w:hyperlink>
    </w:p>
    <w:p>
      <w:pPr>
        <w:pStyle w:val="TOC2"/>
      </w:pPr>
      <w:hyperlink w:anchor="v8_113" w:history="1">
        <w:r>
          <w:rPr>
            <w:rFonts w:ascii="Times New Roman" w:hAnsi="Times New Roman" w:eastAsia="Songti SC"/>
            <w:color w:val="000000"/>
            <w:sz w:val="22"/>
          </w:rPr>
          <w:t>B.1 数据与模型身份</w:t>
        </w:r>
        <w:r>
          <w:rPr>
            <w:rFonts w:ascii="Times New Roman" w:hAnsi="Times New Roman" w:eastAsia="Songti SC"/>
            <w:color w:val="000000"/>
            <w:sz w:val="22"/>
          </w:rPr>
          <w:tab/>
          <w:t>74</w:t>
        </w:r>
      </w:hyperlink>
    </w:p>
    <w:p>
      <w:pPr>
        <w:pStyle w:val="TOC2"/>
      </w:pPr>
      <w:hyperlink w:anchor="v8_114" w:history="1">
        <w:r>
          <w:rPr>
            <w:rFonts w:ascii="Times New Roman" w:hAnsi="Times New Roman" w:eastAsia="Songti SC"/>
            <w:color w:val="000000"/>
            <w:sz w:val="22"/>
          </w:rPr>
          <w:t>B.2 评分与接受轨迹</w:t>
        </w:r>
        <w:r>
          <w:rPr>
            <w:rFonts w:ascii="Times New Roman" w:hAnsi="Times New Roman" w:eastAsia="Songti SC"/>
            <w:color w:val="000000"/>
            <w:sz w:val="22"/>
          </w:rPr>
          <w:tab/>
          <w:t>74</w:t>
        </w:r>
      </w:hyperlink>
    </w:p>
    <w:p>
      <w:pPr>
        <w:pStyle w:val="TOC2"/>
      </w:pPr>
      <w:hyperlink w:anchor="v8_115" w:history="1">
        <w:r>
          <w:rPr>
            <w:rFonts w:ascii="Times New Roman" w:hAnsi="Times New Roman" w:eastAsia="Songti SC"/>
            <w:color w:val="000000"/>
            <w:sz w:val="22"/>
          </w:rPr>
          <w:t>B.3 回退与预算</w:t>
        </w:r>
        <w:r>
          <w:rPr>
            <w:rFonts w:ascii="Times New Roman" w:hAnsi="Times New Roman" w:eastAsia="Songti SC"/>
            <w:color w:val="000000"/>
            <w:sz w:val="22"/>
          </w:rPr>
          <w:tab/>
          <w:t>74</w:t>
        </w:r>
      </w:hyperlink>
    </w:p>
    <w:p>
      <w:pPr>
        <w:pStyle w:val="TOC2"/>
      </w:pPr>
      <w:hyperlink w:anchor="v8_116" w:history="1">
        <w:r>
          <w:rPr>
            <w:rFonts w:ascii="Times New Roman" w:hAnsi="Times New Roman" w:eastAsia="Songti SC"/>
            <w:color w:val="000000"/>
            <w:sz w:val="22"/>
          </w:rPr>
          <w:t>B.4 实现一致性测试</w:t>
        </w:r>
        <w:r>
          <w:rPr>
            <w:rFonts w:ascii="Times New Roman" w:hAnsi="Times New Roman" w:eastAsia="Songti SC"/>
            <w:color w:val="000000"/>
            <w:sz w:val="22"/>
          </w:rPr>
          <w:tab/>
          <w:t>74</w:t>
        </w:r>
      </w:hyperlink>
    </w:p>
    <w:p>
      <w:pPr>
        <w:pStyle w:val="TOC3"/>
      </w:pPr>
      <w:hyperlink w:anchor="v8_117"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74</w:t>
        </w:r>
      </w:hyperlink>
    </w:p>
    <w:p>
      <w:pPr>
        <w:pStyle w:val="TOC3"/>
      </w:pPr>
      <w:hyperlink w:anchor="v8_118" w:history="1">
        <w:r>
          <w:rPr>
            <w:rFonts w:ascii="Times New Roman" w:hAnsi="Times New Roman" w:eastAsia="Songti SC"/>
            <w:color w:val="000000"/>
            <w:sz w:val="22"/>
          </w:rPr>
          <w:t>B.4.2 训练与求解接口</w:t>
        </w:r>
        <w:r>
          <w:rPr>
            <w:rFonts w:ascii="Times New Roman" w:hAnsi="Times New Roman" w:eastAsia="Songti SC"/>
            <w:color w:val="000000"/>
            <w:sz w:val="22"/>
          </w:rPr>
          <w:tab/>
          <w:t>75</w:t>
        </w:r>
      </w:hyperlink>
    </w:p>
    <w:p>
      <w:pPr>
        <w:pStyle w:val="TOC3"/>
      </w:pPr>
      <w:hyperlink w:anchor="v8_119"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75</w:t>
        </w:r>
      </w:hyperlink>
    </w:p>
    <w:p>
      <w:pPr>
        <w:pStyle w:val="TOC2"/>
      </w:pPr>
      <w:hyperlink w:anchor="v8_120"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76</w:t>
        </w:r>
      </w:hyperlink>
    </w:p>
    <w:p>
      <w:pPr>
        <w:pStyle w:val="TOC1"/>
        <w:keepNext/>
        <w:spacing w:before="120"/>
      </w:pPr>
      <w:hyperlink w:anchor="v8_121"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77</w:t>
        </w:r>
      </w:hyperlink>
    </w:p>
    <w:p>
      <w:pPr>
        <w:pStyle w:val="TOC2"/>
      </w:pPr>
      <w:hyperlink w:anchor="v8_122" w:history="1">
        <w:r>
          <w:rPr>
            <w:rFonts w:ascii="Times New Roman" w:hAnsi="Times New Roman" w:eastAsia="Songti SC"/>
            <w:color w:val="000000"/>
            <w:sz w:val="22"/>
          </w:rPr>
          <w:t>C.1 前期共同成果</w:t>
        </w:r>
        <w:r>
          <w:rPr>
            <w:rFonts w:ascii="Times New Roman" w:hAnsi="Times New Roman" w:eastAsia="Songti SC"/>
            <w:color w:val="000000"/>
            <w:sz w:val="22"/>
          </w:rPr>
          <w:tab/>
          <w:t>77</w:t>
        </w:r>
      </w:hyperlink>
    </w:p>
    <w:p>
      <w:pPr>
        <w:pStyle w:val="TOC2"/>
      </w:pPr>
      <w:hyperlink w:anchor="v8_123" w:history="1">
        <w:r>
          <w:rPr>
            <w:rFonts w:ascii="Times New Roman" w:hAnsi="Times New Roman" w:eastAsia="Songti SC"/>
            <w:color w:val="000000"/>
            <w:sz w:val="22"/>
          </w:rPr>
          <w:t>C.2 数据与材料可得性</w:t>
        </w:r>
        <w:r>
          <w:rPr>
            <w:rFonts w:ascii="Times New Roman" w:hAnsi="Times New Roman" w:eastAsia="Songti SC"/>
            <w:color w:val="000000"/>
            <w:sz w:val="22"/>
          </w:rPr>
          <w:tab/>
          <w:t>77</w:t>
        </w:r>
      </w:hyperlink>
    </w:p>
    <w:p>
      <w:pPr>
        <w:pStyle w:val="TOC2"/>
      </w:pPr>
      <w:hyperlink w:anchor="v8_124"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77</w:t>
        </w:r>
      </w:hyperlink>
    </w:p>
    <w:p>
      <w:pPr>
        <w:pStyle w:val="TOC2"/>
      </w:pPr>
      <w:hyperlink w:anchor="v8_125"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77</w:t>
        </w:r>
      </w:hyperlink>
    </w:p>
    <w:p>
      <w:pPr>
        <w:pStyle w:val="TOC1"/>
        <w:keepNext/>
        <w:spacing w:before="120"/>
      </w:pPr>
      <w:hyperlink w:anchor="v8_126"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78</w:t>
        </w:r>
      </w:hyperlink>
    </w:p>
    <w:p>
      <w:pPr>
        <w:pStyle w:val="TOC2"/>
      </w:pPr>
      <w:hyperlink w:anchor="v8_127"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78</w:t>
        </w:r>
      </w:hyperlink>
    </w:p>
    <w:p>
      <w:pPr>
        <w:pStyle w:val="TOC2"/>
      </w:pPr>
      <w:hyperlink w:anchor="v8_128" w:history="1">
        <w:r>
          <w:rPr>
            <w:rFonts w:ascii="Times New Roman" w:hAnsi="Times New Roman" w:eastAsia="Songti SC"/>
            <w:color w:val="000000"/>
            <w:sz w:val="22"/>
          </w:rPr>
          <w:t>D.2 训练集内诊断设置</w:t>
        </w:r>
        <w:r>
          <w:rPr>
            <w:rFonts w:ascii="Times New Roman" w:hAnsi="Times New Roman" w:eastAsia="Songti SC"/>
            <w:color w:val="000000"/>
            <w:sz w:val="22"/>
          </w:rPr>
          <w:tab/>
          <w:t>78</w:t>
        </w:r>
      </w:hyperlink>
    </w:p>
    <w:p>
      <w:pPr>
        <w:pStyle w:val="TOC2"/>
      </w:pPr>
      <w:hyperlink w:anchor="v8_129" w:history="1">
        <w:r>
          <w:rPr>
            <w:rFonts w:ascii="Times New Roman" w:hAnsi="Times New Roman" w:eastAsia="Songti SC"/>
            <w:color w:val="000000"/>
            <w:sz w:val="22"/>
          </w:rPr>
          <w:t>D.3 诊断的启示与限制</w:t>
        </w:r>
        <w:r>
          <w:rPr>
            <w:rFonts w:ascii="Times New Roman" w:hAnsi="Times New Roman" w:eastAsia="Songti SC"/>
            <w:color w:val="000000"/>
            <w:sz w:val="22"/>
          </w:rPr>
          <w:tab/>
          <w:t>78</w:t>
        </w:r>
      </w:hyperlink>
    </w:p>
    <w:p>
      <w:pPr>
        <w:pStyle w:val="TOC2"/>
      </w:pPr>
      <w:hyperlink w:anchor="v8_130"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78</w:t>
        </w:r>
      </w:hyperlink>
    </w:p>
    <w:p>
      <w:pPr>
        <w:pStyle w:val="TOC2"/>
      </w:pPr>
      <w:hyperlink w:anchor="v8_131"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79</w:t>
        </w:r>
      </w:hyperlink>
    </w:p>
    <w:p>
      <w:pPr>
        <w:pStyle w:val="TOC2"/>
      </w:pPr>
      <w:hyperlink w:anchor="v8_132" w:history="1">
        <w:r>
          <w:rPr>
            <w:rFonts w:ascii="Times New Roman" w:hAnsi="Times New Roman" w:eastAsia="Songti SC"/>
            <w:color w:val="000000"/>
            <w:sz w:val="22"/>
          </w:rPr>
          <w:t>D.6 本轮接口构造材料</w:t>
        </w:r>
        <w:r>
          <w:rPr>
            <w:rFonts w:ascii="Times New Roman" w:hAnsi="Times New Roman" w:eastAsia="Songti SC"/>
            <w:color w:val="000000"/>
            <w:sz w:val="22"/>
          </w:rPr>
          <w:tab/>
          <w:t>79</w:t>
        </w:r>
      </w:hyperlink>
    </w:p>
    <w:p>
      <w:pPr>
        <w:pStyle w:val="TOC1"/>
        <w:keepNext/>
        <w:spacing w:before="120"/>
      </w:pPr>
      <w:hyperlink w:anchor="v8_133"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81</w:t>
        </w:r>
      </w:hyperlink>
    </w:p>
    <w:p>
      <w:pPr>
        <w:pStyle w:val="TOC2"/>
      </w:pPr>
      <w:hyperlink w:anchor="v8_134"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81</w:t>
        </w:r>
      </w:hyperlink>
    </w:p>
    <w:p>
      <w:pPr>
        <w:pStyle w:val="TOC2"/>
      </w:pPr>
      <w:hyperlink w:anchor="v8_135"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81</w:t>
        </w:r>
      </w:hyperlink>
    </w:p>
    <w:p>
      <w:pPr>
        <w:pStyle w:val="TOC2"/>
      </w:pPr>
      <w:hyperlink w:anchor="v8_136"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82</w:t>
        </w:r>
      </w:hyperlink>
    </w:p>
    <w:p>
      <w:pPr>
        <w:pStyle w:val="TOC2"/>
      </w:pPr>
      <w:hyperlink w:anchor="v8_137"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82</w:t>
        </w:r>
      </w:hyperlink>
    </w:p>
    <w:p>
      <w:pPr>
        <w:pStyle w:val="TOC2"/>
      </w:pPr>
      <w:hyperlink w:anchor="v8_138"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83</w:t>
        </w:r>
      </w:hyperlink>
    </w:p>
    <w:p>
      <w:pPr>
        <w:pStyle w:val="TOC2"/>
      </w:pPr>
      <w:hyperlink w:anchor="v8_139" w:history="1">
        <w:r>
          <w:rPr>
            <w:rFonts w:ascii="Times New Roman" w:hAnsi="Times New Roman" w:eastAsia="Songti SC"/>
            <w:color w:val="000000"/>
            <w:sz w:val="22"/>
          </w:rPr>
          <w:t>E.6 ICIC原版Oracle记录</w:t>
        </w:r>
        <w:r>
          <w:rPr>
            <w:rFonts w:ascii="Times New Roman" w:hAnsi="Times New Roman" w:eastAsia="Songti SC"/>
            <w:color w:val="000000"/>
            <w:sz w:val="22"/>
          </w:rPr>
          <w:tab/>
          <w:t>83</w:t>
        </w:r>
      </w:hyperlink>
    </w:p>
    <w:p>
      <w:pPr>
        <w:pStyle w:val="TOC2"/>
      </w:pPr>
      <w:hyperlink w:anchor="v8_140"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83</w:t>
        </w:r>
      </w:hyperlink>
    </w:p>
    <w:p>
      <w:pPr>
        <w:pStyle w:val="TOC2"/>
      </w:pPr>
      <w:hyperlink w:anchor="v8_141"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84</w:t>
        </w:r>
      </w:hyperlink>
    </w:p>
    <w:p>
      <w:pPr>
        <w:pStyle w:val="TOC2"/>
      </w:pPr>
      <w:hyperlink w:anchor="v8_142"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85</w:t>
        </w:r>
      </w:hyperlink>
    </w:p>
    <w:p>
      <w:pPr>
        <w:pStyle w:val="TOC1"/>
        <w:keepNext/>
        <w:spacing w:before="120"/>
      </w:pPr>
      <w:hyperlink w:anchor="v8_143"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86</w:t>
        </w:r>
      </w:hyperlink>
    </w:p>
    <w:p>
      <w:pPr>
        <w:pStyle w:val="TOC2"/>
      </w:pPr>
      <w:hyperlink w:anchor="v8_144" w:history="1">
        <w:r>
          <w:rPr>
            <w:rFonts w:ascii="Times New Roman" w:hAnsi="Times New Roman" w:eastAsia="Songti SC"/>
            <w:color w:val="000000"/>
            <w:sz w:val="22"/>
          </w:rPr>
          <w:t>F.1 核心术语与符号</w:t>
        </w:r>
        <w:r>
          <w:rPr>
            <w:rFonts w:ascii="Times New Roman" w:hAnsi="Times New Roman" w:eastAsia="Songti SC"/>
            <w:color w:val="000000"/>
            <w:sz w:val="22"/>
          </w:rPr>
          <w:tab/>
          <w:t>86</w:t>
        </w:r>
      </w:hyperlink>
    </w:p>
    <w:p>
      <w:pPr>
        <w:pStyle w:val="TOC2"/>
      </w:pPr>
      <w:hyperlink w:anchor="v8_145" w:history="1">
        <w:r>
          <w:rPr>
            <w:rFonts w:ascii="Times New Roman" w:hAnsi="Times New Roman" w:eastAsia="Songti SC"/>
            <w:color w:val="000000"/>
            <w:sz w:val="22"/>
          </w:rPr>
          <w:t>F.2 实现接口补充</w:t>
        </w:r>
        <w:r>
          <w:rPr>
            <w:rFonts w:ascii="Times New Roman" w:hAnsi="Times New Roman" w:eastAsia="Songti SC"/>
            <w:color w:val="000000"/>
            <w:sz w:val="22"/>
          </w:rPr>
          <w:tab/>
          <w:t>87</w:t>
        </w:r>
      </w:hyperlink>
    </w:p>
    <w:p>
      <w:pPr>
        <w:pStyle w:val="TOC2"/>
      </w:pPr>
      <w:hyperlink w:anchor="v8_146" w:history="1">
        <w:r>
          <w:rPr>
            <w:rFonts w:ascii="Times New Roman" w:hAnsi="Times New Roman" w:eastAsia="Songti SC"/>
            <w:color w:val="000000"/>
            <w:sz w:val="22"/>
          </w:rPr>
          <w:t>F.3 研究问题阅读索引</w:t>
        </w:r>
        <w:r>
          <w:rPr>
            <w:rFonts w:ascii="Times New Roman" w:hAnsi="Times New Roman" w:eastAsia="Songti SC"/>
            <w:color w:val="000000"/>
            <w:sz w:val="22"/>
          </w:rPr>
          <w:tab/>
          <w:t>88</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8_147"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8_149"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8_153"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8_155"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20</w:t>
        </w:r>
      </w:hyperlink>
    </w:p>
    <w:p>
      <w:pPr>
        <w:pStyle w:val="FigureList"/>
      </w:pPr>
      <w:hyperlink w:anchor="v8_156" w:history="1">
        <w:r>
          <w:rPr>
            <w:rFonts w:ascii="Times New Roman" w:hAnsi="Times New Roman" w:eastAsia="Songti SC"/>
            <w:color w:val="000000"/>
            <w:sz w:val="22"/>
          </w:rPr>
          <w:t>图3-2 关系感知增强学习的训练架构</w:t>
        </w:r>
        <w:r>
          <w:rPr>
            <w:rFonts w:ascii="Times New Roman" w:hAnsi="Times New Roman" w:eastAsia="Songti SC"/>
            <w:color w:val="000000"/>
            <w:sz w:val="22"/>
          </w:rPr>
          <w:tab/>
          <w:t>23</w:t>
        </w:r>
      </w:hyperlink>
    </w:p>
    <w:p>
      <w:pPr>
        <w:pStyle w:val="FigureList"/>
      </w:pPr>
      <w:hyperlink w:anchor="v8_163" w:history="1">
        <w:r>
          <w:rPr>
            <w:rFonts w:ascii="Times New Roman" w:hAnsi="Times New Roman" w:eastAsia="Songti SC"/>
            <w:color w:val="000000"/>
            <w:sz w:val="22"/>
          </w:rPr>
          <w:t>图3-3 训练方案与学习目标的严格关系结果</w:t>
        </w:r>
        <w:r>
          <w:rPr>
            <w:rFonts w:ascii="Times New Roman" w:hAnsi="Times New Roman" w:eastAsia="Songti SC"/>
            <w:color w:val="000000"/>
            <w:sz w:val="22"/>
          </w:rPr>
          <w:tab/>
          <w:t>32</w:t>
        </w:r>
      </w:hyperlink>
    </w:p>
    <w:p>
      <w:pPr>
        <w:pStyle w:val="FigureList"/>
      </w:pPr>
      <w:hyperlink w:anchor="v8_167"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36</w:t>
        </w:r>
      </w:hyperlink>
    </w:p>
    <w:p>
      <w:pPr>
        <w:pStyle w:val="FigureList"/>
      </w:pPr>
      <w:hyperlink w:anchor="v8_170"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48</w:t>
        </w:r>
      </w:hyperlink>
    </w:p>
    <w:p>
      <w:pPr>
        <w:pStyle w:val="FigureList"/>
      </w:pPr>
      <w:hyperlink w:anchor="v8_179" w:history="1">
        <w:r>
          <w:rPr>
            <w:rFonts w:ascii="Times New Roman" w:hAnsi="Times New Roman" w:eastAsia="Songti SC"/>
            <w:color w:val="000000"/>
            <w:sz w:val="22"/>
          </w:rPr>
          <w:t>图4-3 外层轮数增加时的结果与时间变化</w:t>
        </w:r>
        <w:r>
          <w:rPr>
            <w:rFonts w:ascii="Times New Roman" w:hAnsi="Times New Roman" w:eastAsia="Songti SC"/>
            <w:color w:val="000000"/>
            <w:sz w:val="22"/>
          </w:rPr>
          <w:tab/>
          <w:t>58</w:t>
        </w:r>
      </w:hyperlink>
    </w:p>
    <w:p>
      <w:pPr>
        <w:pStyle w:val="FigureList"/>
      </w:pPr>
      <w:hyperlink w:anchor="v8_183" w:history="1">
        <w:r>
          <w:rPr>
            <w:rFonts w:ascii="Times New Roman" w:hAnsi="Times New Roman" w:eastAsia="Songti SC"/>
            <w:color w:val="000000"/>
            <w:sz w:val="22"/>
          </w:rPr>
          <w:t>图5-1 两个训练条件下的推理增量与交互关系</w:t>
        </w:r>
        <w:r>
          <w:rPr>
            <w:rFonts w:ascii="Times New Roman" w:hAnsi="Times New Roman" w:eastAsia="Songti SC"/>
            <w:color w:val="000000"/>
            <w:sz w:val="22"/>
          </w:rPr>
          <w:tab/>
          <w:t>61</w:t>
        </w:r>
      </w:hyperlink>
    </w:p>
    <w:p>
      <w:pPr>
        <w:pStyle w:val="FigureList"/>
      </w:pPr>
      <w:hyperlink w:anchor="v8_185" w:history="1">
        <w:r>
          <w:rPr>
            <w:rFonts w:ascii="Times New Roman" w:hAnsi="Times New Roman" w:eastAsia="Songti SC"/>
            <w:color w:val="000000"/>
            <w:sz w:val="22"/>
          </w:rPr>
          <w:t>图5-2 联合修正中的关系恢复与原真阳性损失</w:t>
        </w:r>
        <w:r>
          <w:rPr>
            <w:rFonts w:ascii="Times New Roman" w:hAnsi="Times New Roman" w:eastAsia="Songti SC"/>
            <w:color w:val="000000"/>
            <w:sz w:val="22"/>
          </w:rPr>
          <w:tab/>
          <w:t>62</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8_148"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8_150"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7</w:t>
        </w:r>
      </w:hyperlink>
    </w:p>
    <w:p>
      <w:pPr>
        <w:pStyle w:val="TableList"/>
      </w:pPr>
      <w:hyperlink w:anchor="v8_151"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8_152" w:history="1">
        <w:r>
          <w:rPr>
            <w:rFonts w:ascii="Times New Roman" w:hAnsi="Times New Roman" w:eastAsia="Songti SC"/>
            <w:color w:val="000000"/>
            <w:sz w:val="22"/>
          </w:rPr>
          <w:t>表2-2 公共配置与评价规模</w:t>
        </w:r>
        <w:r>
          <w:rPr>
            <w:rFonts w:ascii="Times New Roman" w:hAnsi="Times New Roman" w:eastAsia="Songti SC"/>
            <w:color w:val="000000"/>
            <w:sz w:val="22"/>
          </w:rPr>
          <w:tab/>
          <w:t>14</w:t>
        </w:r>
      </w:hyperlink>
    </w:p>
    <w:p>
      <w:pPr>
        <w:pStyle w:val="TableList"/>
      </w:pPr>
      <w:hyperlink w:anchor="v8_154"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8_158"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8_159" w:history="1">
        <w:r>
          <w:rPr>
            <w:rFonts w:ascii="Times New Roman" w:hAnsi="Times New Roman" w:eastAsia="Songti SC"/>
            <w:color w:val="000000"/>
            <w:sz w:val="22"/>
          </w:rPr>
          <w:t>表3-3 接受样本的标签漂移率（%）</w:t>
        </w:r>
        <w:r>
          <w:rPr>
            <w:rFonts w:ascii="Times New Roman" w:hAnsi="Times New Roman" w:eastAsia="Songti SC"/>
            <w:color w:val="000000"/>
            <w:sz w:val="22"/>
          </w:rPr>
          <w:tab/>
          <w:t>29</w:t>
        </w:r>
      </w:hyperlink>
    </w:p>
    <w:p>
      <w:pPr>
        <w:pStyle w:val="TableList"/>
      </w:pPr>
      <w:hyperlink w:anchor="v8_160" w:history="1">
        <w:r>
          <w:rPr>
            <w:rFonts w:ascii="Times New Roman" w:hAnsi="Times New Roman" w:eastAsia="Songti SC"/>
            <w:color w:val="000000"/>
            <w:sz w:val="22"/>
          </w:rPr>
          <w:t>表3-4 接受与拒绝样本的因素漂移审计</w:t>
        </w:r>
        <w:r>
          <w:rPr>
            <w:rFonts w:ascii="Times New Roman" w:hAnsi="Times New Roman" w:eastAsia="Songti SC"/>
            <w:color w:val="000000"/>
            <w:sz w:val="22"/>
          </w:rPr>
          <w:tab/>
          <w:t>30</w:t>
        </w:r>
      </w:hyperlink>
    </w:p>
    <w:p>
      <w:pPr>
        <w:pStyle w:val="TableList"/>
      </w:pPr>
      <w:hyperlink w:anchor="v8_161" w:history="1">
        <w:r>
          <w:rPr>
            <w:rFonts w:ascii="Times New Roman" w:hAnsi="Times New Roman" w:eastAsia="Songti SC"/>
            <w:color w:val="000000"/>
            <w:sz w:val="22"/>
          </w:rPr>
          <w:t>表3-5 训练方案的严格抽取结果</w:t>
        </w:r>
        <w:r>
          <w:rPr>
            <w:rFonts w:ascii="Times New Roman" w:hAnsi="Times New Roman" w:eastAsia="Songti SC"/>
            <w:color w:val="000000"/>
            <w:sz w:val="22"/>
          </w:rPr>
          <w:tab/>
          <w:t>30</w:t>
        </w:r>
      </w:hyperlink>
    </w:p>
    <w:p>
      <w:pPr>
        <w:pStyle w:val="TableList"/>
      </w:pPr>
      <w:hyperlink w:anchor="v8_162" w:history="1">
        <w:r>
          <w:rPr>
            <w:rFonts w:ascii="Times New Roman" w:hAnsi="Times New Roman" w:eastAsia="Songti SC"/>
            <w:color w:val="000000"/>
            <w:sz w:val="22"/>
          </w:rPr>
          <w:t>表3-6 相同增强集合上的学习目标比较</w:t>
        </w:r>
        <w:r>
          <w:rPr>
            <w:rFonts w:ascii="Times New Roman" w:hAnsi="Times New Roman" w:eastAsia="Songti SC"/>
            <w:color w:val="000000"/>
            <w:sz w:val="22"/>
          </w:rPr>
          <w:tab/>
          <w:t>31</w:t>
        </w:r>
      </w:hyperlink>
    </w:p>
    <w:p>
      <w:pPr>
        <w:pStyle w:val="TableList"/>
      </w:pPr>
      <w:hyperlink w:anchor="v8_164" w:history="1">
        <w:r>
          <w:rPr>
            <w:rFonts w:ascii="Times New Roman" w:hAnsi="Times New Roman" w:eastAsia="Songti SC"/>
            <w:color w:val="000000"/>
            <w:sz w:val="22"/>
          </w:rPr>
          <w:t>表3-7 中心匹配的有效覆盖与自匹配</w:t>
        </w:r>
        <w:r>
          <w:rPr>
            <w:rFonts w:ascii="Times New Roman" w:hAnsi="Times New Roman" w:eastAsia="Songti SC"/>
            <w:color w:val="000000"/>
            <w:sz w:val="22"/>
          </w:rPr>
          <w:tab/>
          <w:t>32</w:t>
        </w:r>
      </w:hyperlink>
    </w:p>
    <w:p>
      <w:pPr>
        <w:pStyle w:val="TableList"/>
      </w:pPr>
      <w:hyperlink w:anchor="v8_165" w:history="1">
        <w:r>
          <w:rPr>
            <w:rFonts w:ascii="Times New Roman" w:hAnsi="Times New Roman" w:eastAsia="Songti SC"/>
            <w:color w:val="000000"/>
            <w:sz w:val="22"/>
          </w:rPr>
          <w:t>表3-8 结论中心与匹配随机中心的比较</w:t>
        </w:r>
        <w:r>
          <w:rPr>
            <w:rFonts w:ascii="Times New Roman" w:hAnsi="Times New Roman" w:eastAsia="Songti SC"/>
            <w:color w:val="000000"/>
            <w:sz w:val="22"/>
          </w:rPr>
          <w:tab/>
          <w:t>32</w:t>
        </w:r>
      </w:hyperlink>
    </w:p>
    <w:p>
      <w:pPr>
        <w:pStyle w:val="TableList"/>
      </w:pPr>
      <w:hyperlink w:anchor="v8_166" w:history="1">
        <w:r>
          <w:rPr>
            <w:rFonts w:ascii="Times New Roman" w:hAnsi="Times New Roman" w:eastAsia="Songti SC"/>
            <w:color w:val="000000"/>
            <w:sz w:val="22"/>
          </w:rPr>
          <w:t>表3-9 固定尝试预算下的覆盖与构造成本</w:t>
        </w:r>
        <w:r>
          <w:rPr>
            <w:rFonts w:ascii="Times New Roman" w:hAnsi="Times New Roman" w:eastAsia="Songti SC"/>
            <w:color w:val="000000"/>
            <w:sz w:val="22"/>
          </w:rPr>
          <w:tab/>
          <w:t>33</w:t>
        </w:r>
      </w:hyperlink>
    </w:p>
    <w:p>
      <w:pPr>
        <w:pStyle w:val="TableList"/>
      </w:pPr>
      <w:hyperlink w:anchor="v8_171"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51</w:t>
        </w:r>
      </w:hyperlink>
    </w:p>
    <w:p>
      <w:pPr>
        <w:pStyle w:val="TableList"/>
      </w:pPr>
      <w:hyperlink w:anchor="v8_172"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52</w:t>
        </w:r>
      </w:hyperlink>
    </w:p>
    <w:p>
      <w:pPr>
        <w:pStyle w:val="TableList"/>
      </w:pPr>
      <w:hyperlink w:anchor="v8_173" w:history="1">
        <w:r>
          <w:rPr>
            <w:rFonts w:ascii="Times New Roman" w:hAnsi="Times New Roman" w:eastAsia="Songti SC"/>
            <w:color w:val="000000"/>
            <w:sz w:val="22"/>
          </w:rPr>
          <w:t>表4-3 推理方法的严格抽取结果</w:t>
        </w:r>
        <w:r>
          <w:rPr>
            <w:rFonts w:ascii="Times New Roman" w:hAnsi="Times New Roman" w:eastAsia="Songti SC"/>
            <w:color w:val="000000"/>
            <w:sz w:val="22"/>
          </w:rPr>
          <w:tab/>
          <w:t>53</w:t>
        </w:r>
      </w:hyperlink>
    </w:p>
    <w:p>
      <w:pPr>
        <w:pStyle w:val="TableList"/>
      </w:pPr>
      <w:hyperlink w:anchor="v8_174" w:history="1">
        <w:r>
          <w:rPr>
            <w:rFonts w:ascii="Times New Roman" w:hAnsi="Times New Roman" w:eastAsia="Songti SC"/>
            <w:color w:val="000000"/>
            <w:sz w:val="22"/>
          </w:rPr>
          <w:t>表4-4 从完整组件到完整关系的候选覆盖</w:t>
        </w:r>
        <w:r>
          <w:rPr>
            <w:rFonts w:ascii="Times New Roman" w:hAnsi="Times New Roman" w:eastAsia="Songti SC"/>
            <w:color w:val="000000"/>
            <w:sz w:val="22"/>
          </w:rPr>
          <w:tab/>
          <w:t>54</w:t>
        </w:r>
      </w:hyperlink>
    </w:p>
    <w:p>
      <w:pPr>
        <w:pStyle w:val="TableList"/>
      </w:pPr>
      <w:hyperlink w:anchor="v8_175" w:history="1">
        <w:r>
          <w:rPr>
            <w:rFonts w:ascii="Times New Roman" w:hAnsi="Times New Roman" w:eastAsia="Songti SC"/>
            <w:color w:val="000000"/>
            <w:sz w:val="22"/>
          </w:rPr>
          <w:t>表4-5 三类恢复空间的关系计数诊断</w:t>
        </w:r>
        <w:r>
          <w:rPr>
            <w:rFonts w:ascii="Times New Roman" w:hAnsi="Times New Roman" w:eastAsia="Songti SC"/>
            <w:color w:val="000000"/>
            <w:sz w:val="22"/>
          </w:rPr>
          <w:tab/>
          <w:t>55</w:t>
        </w:r>
      </w:hyperlink>
    </w:p>
    <w:p>
      <w:pPr>
        <w:pStyle w:val="TableList"/>
      </w:pPr>
      <w:hyperlink w:anchor="v8_176" w:history="1">
        <w:r>
          <w:rPr>
            <w:rFonts w:ascii="Times New Roman" w:hAnsi="Times New Roman" w:eastAsia="Songti SC"/>
            <w:color w:val="000000"/>
            <w:sz w:val="22"/>
          </w:rPr>
          <w:t>表4-6 完整对象评分的区分与校准</w:t>
        </w:r>
        <w:r>
          <w:rPr>
            <w:rFonts w:ascii="Times New Roman" w:hAnsi="Times New Roman" w:eastAsia="Songti SC"/>
            <w:color w:val="000000"/>
            <w:sz w:val="22"/>
          </w:rPr>
          <w:tab/>
          <w:t>56</w:t>
        </w:r>
      </w:hyperlink>
    </w:p>
    <w:p>
      <w:pPr>
        <w:pStyle w:val="TableList"/>
      </w:pPr>
      <w:hyperlink w:anchor="v8_177" w:history="1">
        <w:r>
          <w:rPr>
            <w:rFonts w:ascii="Times New Roman" w:hAnsi="Times New Roman" w:eastAsia="Songti SC"/>
            <w:color w:val="000000"/>
            <w:sz w:val="22"/>
          </w:rPr>
          <w:t>表4-7 关系恢复与误改的累计计数</w:t>
        </w:r>
        <w:r>
          <w:rPr>
            <w:rFonts w:ascii="Times New Roman" w:hAnsi="Times New Roman" w:eastAsia="Songti SC"/>
            <w:color w:val="000000"/>
            <w:sz w:val="22"/>
          </w:rPr>
          <w:tab/>
          <w:t>56</w:t>
        </w:r>
      </w:hyperlink>
    </w:p>
    <w:p>
      <w:pPr>
        <w:pStyle w:val="TableList"/>
      </w:pPr>
      <w:hyperlink w:anchor="v8_178" w:history="1">
        <w:r>
          <w:rPr>
            <w:rFonts w:ascii="Times New Roman" w:hAnsi="Times New Roman" w:eastAsia="Songti SC"/>
            <w:color w:val="000000"/>
            <w:sz w:val="22"/>
          </w:rPr>
          <w:t>表4-8 推理成本与预算取舍</w:t>
        </w:r>
        <w:r>
          <w:rPr>
            <w:rFonts w:ascii="Times New Roman" w:hAnsi="Times New Roman" w:eastAsia="Songti SC"/>
            <w:color w:val="000000"/>
            <w:sz w:val="22"/>
          </w:rPr>
          <w:tab/>
          <w:t>57</w:t>
        </w:r>
      </w:hyperlink>
    </w:p>
    <w:p>
      <w:pPr>
        <w:pStyle w:val="TableList"/>
      </w:pPr>
      <w:hyperlink w:anchor="v8_180" w:history="1">
        <w:r>
          <w:rPr>
            <w:rFonts w:ascii="Times New Roman" w:hAnsi="Times New Roman" w:eastAsia="Songti SC"/>
            <w:color w:val="000000"/>
            <w:sz w:val="22"/>
          </w:rPr>
          <w:t>表4-9 结构恢复与失败案例</w:t>
        </w:r>
        <w:r>
          <w:rPr>
            <w:rFonts w:ascii="Times New Roman" w:hAnsi="Times New Roman" w:eastAsia="Songti SC"/>
            <w:color w:val="000000"/>
            <w:sz w:val="22"/>
          </w:rPr>
          <w:tab/>
          <w:t>59</w:t>
        </w:r>
      </w:hyperlink>
    </w:p>
    <w:p>
      <w:pPr>
        <w:pStyle w:val="TableList"/>
      </w:pPr>
      <w:hyperlink w:anchor="v8_181" w:history="1">
        <w:r>
          <w:rPr>
            <w:rFonts w:ascii="Times New Roman" w:hAnsi="Times New Roman" w:eastAsia="Songti SC"/>
            <w:color w:val="000000"/>
            <w:sz w:val="22"/>
          </w:rPr>
          <w:t>表5-1 两阶段组合的四格结果</w:t>
        </w:r>
        <w:r>
          <w:rPr>
            <w:rFonts w:ascii="Times New Roman" w:hAnsi="Times New Roman" w:eastAsia="Songti SC"/>
            <w:color w:val="000000"/>
            <w:sz w:val="22"/>
          </w:rPr>
          <w:tab/>
          <w:t>60</w:t>
        </w:r>
      </w:hyperlink>
    </w:p>
    <w:p>
      <w:pPr>
        <w:pStyle w:val="TableList"/>
      </w:pPr>
      <w:hyperlink w:anchor="v8_182" w:history="1">
        <w:r>
          <w:rPr>
            <w:rFonts w:ascii="Times New Roman" w:hAnsi="Times New Roman" w:eastAsia="Songti SC"/>
            <w:color w:val="000000"/>
            <w:sz w:val="22"/>
          </w:rPr>
          <w:t>表5-2 条件增量与交互差</w:t>
        </w:r>
        <w:r>
          <w:rPr>
            <w:rFonts w:ascii="Times New Roman" w:hAnsi="Times New Roman" w:eastAsia="Songti SC"/>
            <w:color w:val="000000"/>
            <w:sz w:val="22"/>
          </w:rPr>
          <w:tab/>
          <w:t>61</w:t>
        </w:r>
      </w:hyperlink>
    </w:p>
    <w:p>
      <w:pPr>
        <w:pStyle w:val="TableList"/>
      </w:pPr>
      <w:hyperlink w:anchor="v8_184" w:history="1">
        <w:r>
          <w:rPr>
            <w:rFonts w:ascii="Times New Roman" w:hAnsi="Times New Roman" w:eastAsia="Songti SC"/>
            <w:color w:val="000000"/>
            <w:sz w:val="22"/>
          </w:rPr>
          <w:t>表5-3 四格比较的净错误计数变化</w:t>
        </w:r>
        <w:r>
          <w:rPr>
            <w:rFonts w:ascii="Times New Roman" w:hAnsi="Times New Roman" w:eastAsia="Songti SC"/>
            <w:color w:val="000000"/>
            <w:sz w:val="22"/>
          </w:rPr>
          <w:tab/>
          <w:t>62</w:t>
        </w:r>
      </w:hyperlink>
    </w:p>
    <w:p>
      <w:pPr>
        <w:pStyle w:val="TableList"/>
      </w:pPr>
      <w:hyperlink w:anchor="v8_186" w:history="1">
        <w:r>
          <w:rPr>
            <w:rFonts w:ascii="Times New Roman" w:hAnsi="Times New Roman" w:eastAsia="Songti SC"/>
            <w:color w:val="000000"/>
            <w:sz w:val="22"/>
          </w:rPr>
          <w:t>表5-4 四格结果与逐文档时间</w:t>
        </w:r>
        <w:r>
          <w:rPr>
            <w:rFonts w:ascii="Times New Roman" w:hAnsi="Times New Roman" w:eastAsia="Songti SC"/>
            <w:color w:val="000000"/>
            <w:sz w:val="22"/>
          </w:rPr>
          <w:tab/>
          <w:t>63</w:t>
        </w:r>
      </w:hyperlink>
    </w:p>
    <w:p>
      <w:pPr>
        <w:pStyle w:val="TableList"/>
      </w:pPr>
      <w:hyperlink w:anchor="v8_187" w:history="1">
        <w:r>
          <w:rPr>
            <w:rFonts w:ascii="Times New Roman" w:hAnsi="Times New Roman" w:eastAsia="Songti SC"/>
            <w:color w:val="000000"/>
            <w:sz w:val="22"/>
          </w:rPr>
          <w:t>表5-5 CDCP完整关系的源成员数分组</w:t>
        </w:r>
        <w:r>
          <w:rPr>
            <w:rFonts w:ascii="Times New Roman" w:hAnsi="Times New Roman" w:eastAsia="Songti SC"/>
            <w:color w:val="000000"/>
            <w:sz w:val="22"/>
          </w:rPr>
          <w:tab/>
          <w:t>64</w:t>
        </w:r>
      </w:hyperlink>
    </w:p>
    <w:p>
      <w:pPr>
        <w:pStyle w:val="TableList"/>
      </w:pPr>
      <w:hyperlink w:anchor="v8_188"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71</w:t>
        </w:r>
      </w:hyperlink>
    </w:p>
    <w:p>
      <w:pPr>
        <w:pStyle w:val="TableList"/>
      </w:pPr>
      <w:hyperlink w:anchor="v8_189" w:history="1">
        <w:r>
          <w:rPr>
            <w:rFonts w:ascii="Times New Roman" w:hAnsi="Times New Roman" w:eastAsia="Songti SC"/>
            <w:color w:val="000000"/>
            <w:sz w:val="22"/>
          </w:rPr>
          <w:t>表A-2 本版参考配置</w:t>
        </w:r>
        <w:r>
          <w:rPr>
            <w:rFonts w:ascii="Times New Roman" w:hAnsi="Times New Roman" w:eastAsia="Songti SC"/>
            <w:color w:val="000000"/>
            <w:sz w:val="22"/>
          </w:rPr>
          <w:tab/>
          <w:t>72</w:t>
        </w:r>
      </w:hyperlink>
    </w:p>
    <w:p>
      <w:pPr>
        <w:pStyle w:val="TableList"/>
      </w:pPr>
      <w:hyperlink w:anchor="v8_190"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75</w:t>
        </w:r>
      </w:hyperlink>
    </w:p>
    <w:p>
      <w:pPr>
        <w:pStyle w:val="TableList"/>
      </w:pPr>
      <w:hyperlink w:anchor="v8_191"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81</w:t>
        </w:r>
      </w:hyperlink>
    </w:p>
    <w:p>
      <w:pPr>
        <w:pStyle w:val="TableList"/>
      </w:pPr>
      <w:hyperlink w:anchor="v8_192"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81</w:t>
        </w:r>
      </w:hyperlink>
    </w:p>
    <w:p>
      <w:pPr>
        <w:pStyle w:val="TableList"/>
      </w:pPr>
      <w:hyperlink w:anchor="v8_193"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82</w:t>
        </w:r>
      </w:hyperlink>
    </w:p>
    <w:p>
      <w:pPr>
        <w:pStyle w:val="TableList"/>
      </w:pPr>
      <w:hyperlink w:anchor="v8_194"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82</w:t>
        </w:r>
      </w:hyperlink>
    </w:p>
    <w:p>
      <w:pPr>
        <w:pStyle w:val="TableList"/>
      </w:pPr>
      <w:hyperlink w:anchor="v8_195"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83</w:t>
        </w:r>
      </w:hyperlink>
    </w:p>
    <w:p>
      <w:pPr>
        <w:pStyle w:val="TableList"/>
      </w:pPr>
      <w:hyperlink w:anchor="v8_196"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83</w:t>
        </w:r>
      </w:hyperlink>
    </w:p>
    <w:p>
      <w:pPr>
        <w:pStyle w:val="TableList"/>
      </w:pPr>
      <w:hyperlink w:anchor="v8_197"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83</w:t>
        </w:r>
      </w:hyperlink>
    </w:p>
    <w:p>
      <w:pPr>
        <w:pStyle w:val="TableList"/>
      </w:pPr>
      <w:hyperlink w:anchor="v8_198"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84</w:t>
        </w:r>
      </w:hyperlink>
    </w:p>
    <w:p>
      <w:pPr>
        <w:pStyle w:val="TableList"/>
      </w:pPr>
      <w:hyperlink w:anchor="v8_199"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85</w:t>
        </w:r>
      </w:hyperlink>
    </w:p>
    <w:p>
      <w:pPr>
        <w:pStyle w:val="TableList"/>
      </w:pPr>
      <w:hyperlink w:anchor="v8_200"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86</w:t>
        </w:r>
      </w:hyperlink>
    </w:p>
    <w:p>
      <w:pPr>
        <w:pStyle w:val="TableList"/>
      </w:pPr>
      <w:hyperlink w:anchor="v8_201"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88</w:t>
        </w:r>
      </w:hyperlink>
      <w:r>
        <w:fldChar w:fldCharType="end"/>
      </w:r>
    </w:p>
    <w:p>
      <w:pPr>
        <w:sectPr>
          <w:headerReference w:type="default" r:id="rId115"/>
          <w:footerReference w:type="default" r:id="rId116"/>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8_12"/>
      <w:bookmarkEnd w:id="12"/>
    </w:p>
    <w:p>
      <w:pPr>
        <w:pStyle w:val="Heading2"/>
      </w:pPr>
      <w:r>
        <w:t>1.1 研究背景与问题提出</w:t>
      </w:r>
      <w:bookmarkStart w:id="13" w:name="v8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47" w:name="v8_147"/>
      <w:bookmarkEnd w:id="147"/>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pPr>
        <w:pStyle w:val="Heading2"/>
      </w:pPr>
      <w:r>
        <w:t>1.2 国内外研究现状</w:t>
      </w:r>
      <w:bookmarkStart w:id="14" w:name="v8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8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是本文的直接生成式基线[7]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8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8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8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48" w:name="v8_148"/>
      <w:bookmarkEnd w:id="14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表中的机制依据本章已说明的材料范围归纳，不表示各方法使用相同数据、输入或评价协议，也不据未核实信息断言其缺少某一细节。本文主实验限定为英文AAEC和CDCP，其他语言与任务资源的范围说明见附录A.3。</w:t>
      </w:r>
    </w:p>
    <w:p>
      <w:pPr>
        <w:pStyle w:val="Heading2"/>
      </w:pPr>
      <w:r>
        <w:t>1.3 研究问题与主要研究工作</w:t>
      </w:r>
      <w:bookmarkStart w:id="19" w:name="v8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49" w:name="v8_149"/>
      <w:bookmarkEnd w:id="149"/>
    </w:p>
    <w:p>
      <w:pPr>
        <w:pStyle w:val="Heading3"/>
      </w:pPr>
      <w:r>
        <w:t>1.3.1 研究问题</w:t>
      </w:r>
      <w:bookmarkStart w:id="20" w:name="v8_20"/>
      <w:bookmarkEnd w:id="20"/>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覆盖、评分可靠性与预算内搜索分别构成恢复能力的限制，需要独立诊断。</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8_21"/>
      <w:bookmarkEnd w:id="21"/>
    </w:p>
    <w:p>
      <w:r>
        <w:rPr>
          <w:rFonts w:ascii="Times New Roman" w:hAnsi="Times New Roman" w:eastAsia="Songti SC"/>
          <w:color w:val="000000"/>
        </w:rPr>
        <w:t>（1）面向结论组件的关系感知增强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8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50" w:name="v8_150"/>
      <w:bookmarkEnd w:id="15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8_23"/>
      <w:bookmarkEnd w:id="23"/>
    </w:p>
    <w:p>
      <w:r>
        <w:rPr>
          <w:rFonts w:ascii="Times New Roman" w:hAnsi="Times New Roman" w:eastAsia="Songti SC"/>
          <w:color w:val="000000"/>
        </w:rPr>
        <w:t>第一章介绍研究背景、相关工作与两项研究的关系。第二章统一任务表示、评价口径、公共实验协议和训练推理接口。第三章围绕关系感知增强学习，依次说明前期基础、影响域、标注迁移、成对学习及训练侧实验。第四章围绕依赖闭合修正，说明候选、事务、评分、求解及推理侧实验。第五章分析两阶段组合、整体成本、原生超边与适用范围。第六章总结方法与局限，并讨论后续研究方向。</w:t>
      </w:r>
    </w:p>
    <w:p>
      <w:r>
        <w:rPr>
          <w:rFonts w:ascii="Times New Roman" w:hAnsi="Times New Roman" w:eastAsia="Songti SC"/>
          <w:color w:val="000000"/>
        </w:rPr>
        <w:t>附录补充复现协议、执行记录、成果说明、前期诊断、历史数值和符号索引。各方法章按实验条件、结果、机制解释和适用范围展开，输入、对象计数与结论之间保持可追溯对应。</w:t>
      </w:r>
    </w:p>
    <w:p>
      <w:pPr>
        <w:pStyle w:val="Heading1"/>
      </w:pPr>
      <w:r>
        <w:t>第二章 任务表示与方法基础</w:t>
      </w:r>
      <w:bookmarkStart w:id="24" w:name="v8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8_25"/>
      <w:bookmarkEnd w:id="25"/>
    </w:p>
    <w:p>
      <w:pPr>
        <w:pStyle w:val="Heading3"/>
      </w:pPr>
      <w:r>
        <w:t>2.1.1 组件及二元关系</w:t>
      </w:r>
      <w:bookmarkStart w:id="26" w:name="v8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8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51" w:name="v8_151"/>
      <w:bookmarkEnd w:id="15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8_28"/>
      <w:bookmarkEnd w:id="28"/>
    </w:p>
    <w:p>
      <w:pPr>
        <w:pStyle w:val="Heading3"/>
      </w:pPr>
      <w:r>
        <w:t>2.2.1 语料约束与候选范围</w:t>
      </w:r>
      <w:bookmarkStart w:id="29" w:name="v8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8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pStyle w:val="Heading2"/>
      </w:pPr>
      <w:r>
        <w:t>2.3 生成建模与参数高效适配</w:t>
      </w:r>
      <w:bookmarkStart w:id="31" w:name="v8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8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8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8_34"/>
      <w:bookmarkEnd w:id="34"/>
    </w:p>
    <w:p>
      <w:pPr>
        <w:pStyle w:val="Heading3"/>
      </w:pPr>
      <w:r>
        <w:t>2.6.1 数据划分与使用范围</w:t>
      </w:r>
      <w:bookmarkStart w:id="35" w:name="v8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8_36"/>
      <w:bookmarkEnd w:id="36"/>
    </w:p>
    <w:p>
      <w:r>
        <w:rPr>
          <w:rFonts w:ascii="Times New Roman" w:hAnsi="Times New Roman" w:eastAsia="Songti SC"/>
          <w:color w:val="000000"/>
        </w:rPr>
        <w:t>实验采用统一骨干、源文档分组与严格评价，各种方法的变化集中在增强条件、学习目标或修正策略。表2-2固定计算配置和数据规模，全部结果按语料、方法和种子关联，跨章复用相同记录。</w:t>
      </w:r>
    </w:p>
    <w:p>
      <w:pPr>
        <w:pStyle w:val="TableCaption"/>
      </w:pPr>
      <w:r>
        <w:rPr>
          <w:rFonts w:ascii="Times New Roman" w:hAnsi="Times New Roman" w:eastAsia="Songti SC"/>
          <w:color w:val="000000"/>
          <w:sz w:val="21"/>
        </w:rPr>
        <w:t>表2-2 公共配置与评价规模</w:t>
      </w:r>
      <w:bookmarkStart w:id="152" w:name="v8_152"/>
      <w:bookmarkEnd w:id="15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表中参数定义比较条件，不由测试结果反向选择。数据、配置、候选、结果和统计身份分别存放；正文只复用统一汇总入口。评价记录采用文档与种子配对，组件和关系分别保留TP、FP、FN，成本保留模型生成、对象评分及求解分项。附录A列出字段与复算关系。</w:t>
      </w:r>
    </w:p>
    <w:p>
      <w:pPr>
        <w:pStyle w:val="Heading3"/>
      </w:pPr>
      <w:r>
        <w:t>2.6.3 统计分析与计算成本</w:t>
      </w:r>
      <w:bookmarkStart w:id="37" w:name="v8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采用一致的软件、线程和每文档总求解时间预算；另列每次调用上限和实际调用次数。相同单次上限不能替代相同总计算量。等资源结果、大预算可行解和已证明最优的结果分别标识；超时报告可行解、有效界或gap。增加时限不等于证明最优。文档级区间采用配对重采样，每次重新汇总TP、FP、FN；跨种子的标准差描述训练随机性，二者分别报告。区间跨零只表示未建立稳定增量，不能据此认定等效。核心对比为相同增强集合下成对项的增量，以及BR-J与所定义分步策略的差异；其余消融、中心策略与交互分析用于探索机制。文中的95%区间均为逐比较的边际区间，未作多重比较校正，不提供跨所有表格的同时覆盖保证，也不据此逐项宣称统计显著。</w:t>
      </w:r>
    </w:p>
    <w:p>
      <w:pPr>
        <w:pStyle w:val="Heading2"/>
      </w:pPr>
      <w:r>
        <w:t>2.7 训练与推理的接口</w:t>
      </w:r>
      <w:bookmarkStart w:id="38" w:name="v8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53" w:name="v8_153"/>
      <w:bookmarkEnd w:id="153"/>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8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面向结论组件的关系感知增强学习</w:t>
      </w:r>
      <w:bookmarkStart w:id="40" w:name="v8_40"/>
      <w:bookmarkEnd w:id="40"/>
    </w:p>
    <w:p>
      <w:pPr>
        <w:pStyle w:val="Heading2"/>
      </w:pPr>
      <w:r>
        <w:t>3.1 引言</w:t>
      </w:r>
      <w:bookmarkStart w:id="41" w:name="v8_41"/>
      <w:bookmarkEnd w:id="41"/>
    </w:p>
    <w:p>
      <w:r>
        <w:rPr>
          <w:rFonts w:ascii="Times New Roman" w:hAnsi="Times New Roman" w:eastAsia="Songti SC"/>
          <w:color w:val="000000"/>
        </w:rPr>
        <w:t>训练文本的表达变化会同时影响组件识别和关系判断。一个结论即使被改写为意思相近的句子，也可能改变原有论据与它之间的支持方向、关系类型或适用条件。改写涉及多个组件时，这种变化还可能传递到未被改写的其他组件。因此，结构化标注的直接复制需要明确前提：哪些组件发生了变化，哪些关系状态必须重新检查，以及通过检查的对应关系如何参与模型学习。</w:t>
      </w:r>
    </w:p>
    <w:p>
      <w:r>
        <w:rPr>
          <w:rFonts w:ascii="Times New Roman" w:hAnsi="Times New Roman" w:eastAsia="Songti SC"/>
          <w:color w:val="000000"/>
        </w:rPr>
        <w:t xml:space="preserve">组件与关系的依赖也体现在端到端评价中。在组件集合固定的预测条件下，令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它说明组件学习会限制关系恢复的候选空间，但并不保证可达关系被正确识别，也不足以单独证明结论类组件应当优先增强。</w:t>
      </w:r>
    </w:p>
    <w:p>
      <w:r>
        <w:rPr>
          <w:rFonts w:ascii="Times New Roman" w:hAnsi="Times New Roman" w:eastAsia="Songti SC"/>
          <w:color w:val="000000"/>
        </w:rPr>
        <w:t>本章以作者 ICIC 2026 工作中的结论专项适配、线索提示与句子辅助监督为建模基础[34]，研究面向结论组件的关系感知增强学习。方法包含两个相互衔接的部分：首先，在局部文字改写后检查所有与改写组件关联的合法关系状态，并将原标注迁移到新坐标；其次，利用原文与增强文之间的组件、关系对应，约束共享生成表示上的预测分布。前者控制训练监督的继承条件，后者使这些对应关系参与参数更新。前期专项模块为二者提供生成基础，不分别计作本论文新增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相对于这些研究，本章将约束范围具体化为论辩组件改写所涉及的完整端点影响域，并以成对因素学习连接监督保持和共享表示更新。关系条件及一致性损失本身不单独作为新增贡献。</w:t>
      </w:r>
    </w:p>
    <w:p>
      <w:r>
        <w:rPr>
          <w:rFonts w:ascii="Times New Roman" w:hAnsi="Times New Roman" w:eastAsia="Songti SC"/>
          <w:color w:val="000000"/>
        </w:rPr>
        <w:t>结论中心选择是待检验的任务启发式，其适用性取决于类型频次、关系度和分类难度。AAEC 保留 MajorClaim、Claim、Premise；CDCP 保留 Policy、Value、Fact、Testimony、Reference，Policy/Value 作为专项模块的触发类别，并不表示其与 AAEC 的 Claim 语义相同。AAEC 的 stance 属性不转为普通关系，缺少普通关系的 MajorClaim 仍可用于组件学习。本章先介绍前期专项建模基础，再定义关系影响域、标注迁移和成对学习，最后通过相互分离的数据质量审计与学习对照建立实验分析框架。</w:t>
      </w:r>
    </w:p>
    <w:p>
      <w:pPr>
        <w:pStyle w:val="Heading2"/>
      </w:pPr>
      <w:r>
        <w:t>3.2 前期专项建模基础</w:t>
      </w:r>
      <w:bookmarkStart w:id="42" w:name="v8_42"/>
      <w:bookmarkEnd w:id="42"/>
    </w:p>
    <w:p>
      <w:pPr>
        <w:pStyle w:val="Heading3"/>
      </w:pPr>
      <w:r>
        <w:t>3.2.1 类型条件低秩适配</w:t>
      </w:r>
      <w:bookmarkStart w:id="43" w:name="v8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8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词典只控制提示启用，不赋予结论标签。话语标记的收益不能由标记数量直接推定[40]；原文与增强文分别按各自文本触发提示，线索依赖由3.6.4节检验。</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8_45"/>
      <w:bookmarkEnd w:id="45"/>
    </w:p>
    <w:p>
      <w:pPr>
        <w:pStyle w:val="Heading3"/>
      </w:pPr>
      <w:r>
        <w:t>3.3.1 改写区域与关系因素</w:t>
      </w:r>
      <w:bookmarkStart w:id="46" w:name="v8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54" w:name="v8_154"/>
      <w:bookmarkEnd w:id="15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55" w:name="v8_155"/>
      <w:bookmarkEnd w:id="155"/>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8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8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8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关系感知增强学习的训练架构</w:t>
      </w:r>
      <w:bookmarkStart w:id="156" w:name="v8_156"/>
      <w:bookmarkEnd w:id="156"/>
    </w:p>
    <w:p>
      <w:r>
        <w:rPr>
          <w:rFonts w:ascii="Times New Roman" w:hAnsi="Times New Roman" w:eastAsia="Songti SC"/>
          <w:color w:val="000000"/>
        </w:rPr>
        <w:t>图3-2区分继承的专项适配、线索提示和句子监督，以及新增的组件头、关系头与成对损失。数据流表示文本和隐藏状态的传递；各类参数的梯度来源在3.4.3节统一说明。</w:t>
      </w:r>
    </w:p>
    <w:p>
      <w:pPr>
        <w:pStyle w:val="Heading3"/>
      </w:pPr>
      <w:r>
        <w:t>3.4.1 输入表示与训练头</w:t>
      </w:r>
      <w:bookmarkStart w:id="50" w:name="v8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8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8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权采样，用于控制文档访问频次，并不使有、无增强的文档具有完全相同的基础目标总权重。不同筛选方案可能通过接受覆盖影响这一加权分布，其比较口径见3.6.1节。梯度累积的最后一个不足批次按实际源文档数归一化；损失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8_53"/>
      <w:bookmarkEnd w:id="53"/>
    </w:p>
    <w:p>
      <w:pPr>
        <w:pStyle w:val="Heading3"/>
      </w:pPr>
      <w:r>
        <w:t>3.5.1 数据构造与参数学习</w:t>
      </w:r>
      <w:bookmarkStart w:id="54" w:name="v8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关系感知增强学习</w:t>
      </w:r>
      <w:bookmarkStart w:id="157" w:name="v8_157"/>
      <w:bookmarkEnd w:id="157"/>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输出：结论专项生成器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8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8_56"/>
      <w:bookmarkEnd w:id="56"/>
    </w:p>
    <w:p>
      <w:r>
        <w:rPr>
          <w:rFonts w:ascii="Times New Roman" w:hAnsi="Times New Roman" w:eastAsia="Songti SC"/>
          <w:color w:val="000000"/>
        </w:rPr>
        <w:t>本章分别评价监督可靠性、增强数据的任务作用和成对学习的独立增量。前者关注改写后标签是否保持，后两者关注原始测试文本上的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8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58" w:name="v8_158"/>
      <w:bookmarkEnd w:id="15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一般文本增量的作用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共同接口、评价及资源轨道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数据构造策略的差异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生成侧同时保留固定尝试预算和匹配训练规模两条轨道。前者每篇源文档最多尝试4次、接受2个变体；后者在AAEC与CDCP分别使用500和900个变体，并保持相同源文档采样、有效更新次数及增强token预算。两轨结果共同说明筛选质量和数据覆盖的取舍，单一接受总数不作为资源完全等价的证明。</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8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w:t>
      </w:r>
      <w:bookmarkStart w:id="159" w:name="v8_159"/>
      <w:bookmarkEnd w:id="15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列出接受样本的四类漂移率。完整方案在AAEC和CDCP上的平均漂移率分别为3.62%和5.75%，均低于普通增强及QOS式适配。跨边界正关系和跨边界NONE仍比内部因素更容易发生变化，说明只审核可改写集合内部的关系会遗漏部分监督风险。完整方案的改善同时伴随接受覆盖下降，因此不能仅凭更低漂移率判断它对所有训练文档都更有利。</w:t>
      </w:r>
    </w:p>
    <w:p>
      <w:pPr>
        <w:pStyle w:val="TableCaption"/>
      </w:pPr>
      <w:r>
        <w:rPr>
          <w:rFonts w:ascii="Times New Roman" w:hAnsi="Times New Roman" w:eastAsia="Songti SC"/>
          <w:color w:val="000000"/>
          <w:sz w:val="21"/>
        </w:rPr>
        <w:t>表3-4 接受与拒绝样本的因素漂移审计</w:t>
      </w:r>
      <w:bookmarkStart w:id="160" w:name="v8_160"/>
      <w:bookmarkEnd w:id="16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pPr>
        <w:pStyle w:val="Heading3"/>
      </w:pPr>
      <w:r>
        <w:t>3.6.3 抽取结果与学习目标消融</w:t>
      </w:r>
      <w:bookmarkStart w:id="59" w:name="v8_59"/>
      <w:bookmarkEnd w:id="59"/>
    </w:p>
    <w:p>
      <w:pPr>
        <w:pStyle w:val="TableCaption"/>
      </w:pPr>
      <w:r>
        <w:rPr>
          <w:rFonts w:ascii="Times New Roman" w:hAnsi="Times New Roman" w:eastAsia="Songti SC"/>
          <w:color w:val="000000"/>
          <w:sz w:val="21"/>
        </w:rPr>
        <w:t>表3-5 训练方案的严格抽取结果</w:t>
      </w:r>
      <w:bookmarkStart w:id="161" w:name="v8_161"/>
      <w:bookmarkEnd w:id="16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78.68±0.37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53.86±0.45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70.56±0.31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48.56±0.27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79.07±0.37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54.06±0.53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70.87±0.21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48.84±0.21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79.77±0.42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55.68±0.28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71.58±0.25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50.25±0.44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81.38±0.47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57.96±0.22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73.47±0.29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52.06±0.49</w:t>
            </w:r>
          </w:p>
        </w:tc>
      </w:tr>
    </w:tbl>
    <w:p>
      <w:pPr>
        <w:pStyle w:val="ContinuationCaption"/>
        <w:pageBreakBefore/>
      </w:pPr>
      <w:r>
        <w:t>表3-5（续）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81.68±0.43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58.37±0.17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73.78±0.45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52.67±0.35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T1相对T0在AAEC与CDCP上的严格关系F1分别增加7.32和7.21个百分点，组件F1分别增加4.19和4.39个百分点。普通增强的增量较小，完整关系条件与筛选进一步提高了关系结果。去跨边界正关系或去NONE检查都会减弱关系收益，这与表3-3中跨边界因素更容易漂移的现象相符。该一致性支持在本比较条件下保留两类约束，但不证明每个被拒绝样本都对训练有害。</w:t>
      </w:r>
    </w:p>
    <w:p>
      <w:pPr>
        <w:pStyle w:val="TableCaption"/>
      </w:pPr>
      <w:r>
        <w:rPr>
          <w:rFonts w:ascii="Times New Roman" w:hAnsi="Times New Roman" w:eastAsia="Songti SC"/>
          <w:color w:val="000000"/>
          <w:sz w:val="21"/>
        </w:rPr>
        <w:t>表3-6 相同增强集合上的学习目标比较</w:t>
      </w:r>
      <w:bookmarkStart w:id="162" w:name="v8_162"/>
      <w:bookmarkEnd w:id="16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80.78±0.32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57.47±0.48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72.87±0.42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52.08±0.33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81.56±0.02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58.65±0.62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73.47±0.65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表3-6的三行使用完全相同的增强文本、来源权重和更新条件。增加头监督先建立组件与完整关系因素的输入表示；加入成对对齐后，AAEC与CDCP的关系F1分别再增加1.92和1.88个百分点，文档配对95%区间为[+1.17, +2.72]和[+0.81, +2.85]。因此，在这组相同数据的比较中，完整结果的提升同时包含数据构造、辅助监督和成对目标三部分，不能将总增量全部归给对齐项。</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w:t>
      </w:r>
      <w:bookmarkStart w:id="163" w:name="v8_163"/>
      <w:bookmarkEnd w:id="163"/>
    </w:p>
    <w:p>
      <w:pPr>
        <w:pStyle w:val="Heading3"/>
      </w:pPr>
      <w:r>
        <w:t>3.6.4 中心选择与适用条件</w:t>
      </w:r>
      <w:bookmarkStart w:id="60" w:name="v8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w:t>
      </w:r>
      <w:bookmarkStart w:id="164" w:name="v8_164"/>
      <w:bookmarkEnd w:id="16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w:t>
      </w:r>
      <w:bookmarkStart w:id="165" w:name="v8_165"/>
      <w:bookmarkEnd w:id="16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82.07±0.39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60.07±0.45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54.75±0.42</w:t>
            </w:r>
          </w:p>
        </w:tc>
      </w:tr>
    </w:tbl>
    <w:p>
      <w:pPr>
        <w:spacing w:after="0" w:line="240" w:lineRule="auto"/>
      </w:pPr>
    </w:p>
    <w:p>
      <w:r>
        <w:rPr>
          <w:rFonts w:ascii="Times New Roman" w:hAnsi="Times New Roman" w:eastAsia="Songti SC"/>
          <w:color w:val="000000"/>
        </w:rPr>
        <w:t>结论中心相对匹配随机中心的关系差值较小：AAEC为0.50个百分点，配对95%区间[-0.22, +1.19]；CDCP为0.51个百分点，区间[-0.48, +1.47]。两者区间均包含0，因此该比较没有建立稳定的结论中心优势。结论优先仍是可解释的计算分配规则，但完整方案的主要增量不宜归因于中心角色本身。</w:t>
      </w:r>
    </w:p>
    <w:p>
      <w:pPr>
        <w:pStyle w:val="Heading3"/>
      </w:pPr>
      <w:r>
        <w:t>3.6.5 生成覆盖与计算成本</w:t>
      </w:r>
      <w:bookmarkStart w:id="61" w:name="v8_61"/>
      <w:bookmarkEnd w:id="61"/>
    </w:p>
    <w:p>
      <w:pPr>
        <w:pStyle w:val="TableCaption"/>
      </w:pPr>
      <w:r>
        <w:rPr>
          <w:rFonts w:ascii="Times New Roman" w:hAnsi="Times New Roman" w:eastAsia="Songti SC"/>
          <w:color w:val="000000"/>
          <w:sz w:val="21"/>
        </w:rPr>
        <w:t>表3-9 固定尝试预算下的覆盖与构造成本</w:t>
      </w:r>
      <w:bookmarkStart w:id="166" w:name="v8_166"/>
      <w:bookmarkEnd w:id="16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 h</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表3-9记录固定尝试预算轨道的构造覆盖和成本，包括拒绝与失败尝试。完整方案在AAEC和CDCP分别接受520和940个变体，覆盖292和522篇源文档；其审核token较多，训练还增加了辅助头和成对目标的开销。匹配规模轨道从各自接受池按同一规则组织500和900个变体，增强token预算分别为0.82M和1.35M。逐文档接受数与来源权重随结果一并保存，避免少数容易改写的文档占据过多更新。</w:t>
      </w:r>
    </w:p>
    <w:p>
      <w:r>
        <w:rPr>
          <w:rFonts w:ascii="Times New Roman" w:hAnsi="Times New Roman" w:eastAsia="Songti SC"/>
          <w:color w:val="000000"/>
        </w:rPr>
        <w:t>增强成本是一次性数据投入，不能与第四章逐文档修正时间直接相加。降低因素漂移有利于监督质量，但拒绝池仍含标签保持的因素；是否采用更严格筛选，应结合训练规模、审核预算和下游收益判断。原图书馆片段用于解释内部、跨边界与NONE变化，字符输运及完整长超边的数学检查保留在附录D，二者分别承担语义直观和结构可复算的作用。</w:t>
      </w:r>
    </w:p>
    <w:p>
      <w:pPr>
        <w:pStyle w:val="Heading2"/>
      </w:pPr>
      <w:r>
        <w:t>3.7 本章小结</w:t>
      </w:r>
      <w:bookmarkStart w:id="62" w:name="v8_62"/>
      <w:bookmarkEnd w:id="62"/>
    </w:p>
    <w:p>
      <w:r>
        <w:rPr>
          <w:rFonts w:ascii="Times New Roman" w:hAnsi="Times New Roman" w:eastAsia="Songti SC"/>
          <w:color w:val="000000"/>
        </w:rPr>
        <w:t>本章将单中心改写、完整关系影响域、标注输运及逐源归一化连接到组件和关系因素学习。结果分析表明，监督质量和增强覆盖需要同时评价；在相同增强集合下，头监督与成对对齐具有可分辨的增量。中心策略的差异较小且区间跨0，因而结论重点放在监督保持与学习目标，而非普遍的结论角色优势。下一章保持原文不变，研究预测组件变化后如何恢复关联结构。</w:t>
      </w:r>
    </w:p>
    <w:p>
      <w:pPr>
        <w:pStyle w:val="Heading1"/>
      </w:pPr>
      <w:r>
        <w:t>第四章 多候选驱动的依赖闭合论辩图修正</w:t>
      </w:r>
      <w:bookmarkStart w:id="63" w:name="v8_63"/>
      <w:bookmarkEnd w:id="63"/>
    </w:p>
    <w:p>
      <w:pPr>
        <w:pStyle w:val="Heading2"/>
      </w:pPr>
      <w:r>
        <w:t>4.1 引言</w:t>
      </w:r>
      <w:bookmarkStart w:id="64" w:name="v8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67" w:name="v8_167"/>
      <w:bookmarkEnd w:id="167"/>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8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8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8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8_68"/>
      <w:bookmarkEnd w:id="68"/>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rPr>
        <w:t>后才构造评价语义键。此分数仅用于候选召回与裁剪，不是完整对象正确率。跨度头不输入金标答案，在OOF时与生成器使用相同持出隔离。</w:t>
      </w:r>
    </w:p>
    <w:p>
      <w:r>
        <w:rPr>
          <w:rFonts w:ascii="Times New Roman" w:hAnsi="Times New Roman" w:eastAsia="Songti SC"/>
          <w:color w:val="000000"/>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rPr>
        <w:t>个；多来源并存，不只保留获胜来源。受保护长跨度不受补充长度上限裁掉。</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3"/>
      </w:pPr>
      <w:r>
        <w:t>4.2.4 完整关系候选与无边状态</w:t>
      </w:r>
      <w:bookmarkStart w:id="69" w:name="v8_69"/>
      <w:bookmarkEnd w:id="69"/>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2"/>
      </w:pPr>
      <w:r>
        <w:t>4.3 组件集合替换与受影响关系重建</w:t>
      </w:r>
      <w:bookmarkStart w:id="70" w:name="v8_70"/>
      <w:bookmarkEnd w:id="70"/>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1" w:name="v8_71"/>
      <w:bookmarkEnd w:id="71"/>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2" w:name="v8_72"/>
      <w:bookmarkEnd w:id="72"/>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3" w:name="v8_73"/>
      <w:bookmarkEnd w:id="73"/>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4" w:name="v8_74"/>
      <w:bookmarkEnd w:id="74"/>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5" w:name="v8_75"/>
      <w:bookmarkEnd w:id="75"/>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6" w:name="v8_76"/>
      <w:bookmarkEnd w:id="76"/>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7" w:name="v8_77"/>
      <w:bookmarkEnd w:id="77"/>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8" w:name="v8_78"/>
      <w:bookmarkEnd w:id="78"/>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79" w:name="v8_79"/>
      <w:bookmarkEnd w:id="79"/>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0" w:name="v8_80"/>
      <w:bookmarkEnd w:id="80"/>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1" w:name="v8_81"/>
      <w:bookmarkEnd w:id="81"/>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rPr>
        <w:t>和完整槽位集合组成，重复提议只评估一次；拒绝缓存也包含状态身份。组件改变后可在新状态重新枚举旧状态非法的槽位，但不能扩张冻结候选宇宙。</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r>
        <w:rPr>
          <w:rFonts w:ascii="Times New Roman" w:hAnsi="Times New Roman" w:eastAsia="Songti SC"/>
          <w:color w:val="000000"/>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AlgorithmCaption"/>
      </w:pPr>
      <w:r>
        <w:rPr>
          <w:rFonts w:ascii="Times New Roman" w:hAnsi="Times New Roman" w:eastAsia="Songti SC"/>
          <w:color w:val="000000"/>
          <w:sz w:val="21"/>
        </w:rPr>
        <w:t>算法4-1 多候选驱动的依赖闭合修正</w:t>
      </w:r>
      <w:bookmarkStart w:id="168" w:name="v8_168"/>
      <w:bookmarkEnd w:id="168"/>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69" w:name="v8_169"/>
      <w:bookmarkEnd w:id="169"/>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4851326"/>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652770" cy="4851326"/>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70" w:name="v8_170"/>
      <w:bookmarkEnd w:id="170"/>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2" w:name="v8_82"/>
      <w:bookmarkEnd w:id="82"/>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4.5.4 集合事务的可达性</w:t>
      </w:r>
      <w:bookmarkStart w:id="83" w:name="v8_83"/>
      <w:bookmarkEnd w:id="83"/>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4" w:name="v8_84"/>
      <w:bookmarkEnd w:id="84"/>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5" w:name="v8_85"/>
      <w:bookmarkEnd w:id="85"/>
    </w:p>
    <w:p>
      <w:r>
        <w:rPr>
          <w:rFonts w:ascii="Times New Roman" w:hAnsi="Times New Roman" w:eastAsia="Songti SC"/>
          <w:color w:val="000000"/>
        </w:rPr>
        <w:t>本章固定T1训练条件，以I0为共同起点，分别比较完整系统和受控机制。组件及完整关系计数用于评价最终输出，候选覆盖、Oracle、对象评分、恢复风险和资源曲线用于解释增量来源。数学构造保留在方法说明与附录D，用于展示边界情形，不代替完整对照。</w:t>
      </w:r>
    </w:p>
    <w:p>
      <w:pPr>
        <w:pStyle w:val="Heading3"/>
      </w:pPr>
      <w:r>
        <w:t>4.6.1 推理协议与方法对照</w:t>
      </w:r>
      <w:bookmarkStart w:id="86" w:name="v8_86"/>
      <w:bookmarkEnd w:id="86"/>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71" w:name="v8_171"/>
      <w:bookmarkEnd w:id="17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72" w:name="v8_172"/>
      <w:bookmarkEnd w:id="17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比较分别报告等时间预算下的可行解、求解间隙和最优性状态，不把大预算行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局部事务的价值通过有限算力下的修正质量、过程可审计性与成本衡量。真实F1与预测效用具有不同目标：即使局部任务结果高于某个全局解，也不能据此声称其效用超越同目标全局最优。下文按共同完整对象计数比较各方法，并将覆盖、校准、误改与成本分别解释。</w:t>
      </w:r>
    </w:p>
    <w:p>
      <w:pPr>
        <w:pStyle w:val="Heading3"/>
      </w:pPr>
      <w:r>
        <w:t>4.6.2 系统结果与策略对照</w:t>
      </w:r>
      <w:bookmarkStart w:id="87" w:name="v8_87"/>
      <w:bookmarkEnd w:id="87"/>
    </w:p>
    <w:p>
      <w:pPr>
        <w:pStyle w:val="TableCaption"/>
      </w:pPr>
      <w:r>
        <w:rPr>
          <w:rFonts w:ascii="Times New Roman" w:hAnsi="Times New Roman" w:eastAsia="Songti SC"/>
          <w:color w:val="000000"/>
          <w:sz w:val="21"/>
        </w:rPr>
        <w:t>表4-3 推理方法的严格抽取结果</w:t>
      </w:r>
      <w:bookmarkStart w:id="173" w:name="v8_173"/>
      <w:bookmarkEnd w:id="17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61.97±0.48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75.07±0.40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56.76±0.26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56.97±0.32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62.97±0.44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57.57±0.52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82.98±0.28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57.68±0.26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75.76±0.33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58.95±0.27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76.57±0.30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59.06±0.39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84.47±0.21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76.97±0.28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62.47±0.25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84.77±0.38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67.87±0.45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77.37±0.53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63.36±0.29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63.67±0.33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75.46±0.45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58.05±0.42</w:t>
            </w:r>
          </w:p>
        </w:tc>
      </w:tr>
    </w:tbl>
    <w:p>
      <w:pPr>
        <w:spacing w:after="0" w:line="240" w:lineRule="auto"/>
      </w:pPr>
    </w:p>
    <w:p>
      <w:r>
        <w:rPr>
          <w:rFonts w:ascii="Times New Roman" w:hAnsi="Times New Roman" w:eastAsia="Songti SC"/>
          <w:color w:val="000000"/>
        </w:rPr>
        <w:t>BR-J相对I0在AAEC和CDCP上的关系F1分别增加5.99和6.71个百分点，同时提高组件结果。固定组件的BR-C和RelationOnly能够修复部分关系错误，但无法补回错误或遗漏的完整端点。单对象动作进一步扩大修正范围，集合替换则允许拆分、合并及其依赖关系作为共同提议参与决策。</w:t>
      </w:r>
    </w:p>
    <w:p>
      <w:r>
        <w:rPr>
          <w:rFonts w:ascii="Times New Roman" w:hAnsi="Times New Roman" w:eastAsia="Songti SC"/>
          <w:color w:val="000000"/>
        </w:rPr>
        <w:t>相对于组件优先分步策略，BR-J的关系增量为3.41和4.28个百分点，文档配对95%区间分别为[+2.58, +4.16]和[+3.39, +5.14]。该比较支持联合决策策略相对于本节分步策略的整体差异。两者同时改变信息使用、接受条件和批内排序，因而结果不能单独识别纯执行顺序的因果作用。</w:t>
      </w:r>
    </w:p>
    <w:p>
      <w:r>
        <w:rPr>
          <w:rFonts w:ascii="Times New Roman" w:hAnsi="Times New Roman" w:eastAsia="Songti SC"/>
          <w:color w:val="000000"/>
        </w:rPr>
        <w:t>分步决策的风险可由4.4.5节与附录D的数学构造解释：旧、新组件效用为0.20和0.80，旧、新关系效用为0.90和0.20；第一阶段先删除旧关系并提交组件后，第二阶段即使成功，总效用仍可能由1.10降至1.00。联合门拒绝这一特定提议。该例只说明代理目标下的决策差异；若新关系在真实标签上正确而代理分偏低，联合门也可能错误拒绝，故误改必须另看完整对象计数。</w:t>
      </w:r>
    </w:p>
    <w:p>
      <w:r>
        <w:rPr>
          <w:rFonts w:ascii="Times New Roman" w:hAnsi="Times New Roman" w:eastAsia="Songti SC"/>
          <w:color w:val="000000"/>
        </w:rPr>
        <w:t>全局等时限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88" w:name="v8_88"/>
      <w:bookmarkEnd w:id="88"/>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w:t>
      </w:r>
      <w:bookmarkStart w:id="174" w:name="v8_174"/>
      <w:bookmarkEnd w:id="17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w:t>
      </w:r>
      <w:bookmarkStart w:id="175" w:name="v8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89" w:name="v8_89"/>
      <w:bookmarkEnd w:id="89"/>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w:t>
      </w:r>
      <w:bookmarkStart w:id="176" w:name="v8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0" w:name="v8_90"/>
      <w:bookmarkEnd w:id="90"/>
    </w:p>
    <w:p>
      <w:pPr>
        <w:pStyle w:val="TableCaption"/>
      </w:pPr>
      <w:r>
        <w:rPr>
          <w:rFonts w:ascii="Times New Roman" w:hAnsi="Times New Roman" w:eastAsia="Songti SC"/>
          <w:color w:val="000000"/>
          <w:sz w:val="21"/>
        </w:rPr>
        <w:t>表4-7 关系恢复与误改的累计计数</w:t>
      </w:r>
      <w:bookmarkStart w:id="177" w:name="v8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267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95.35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97.06</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97.65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94.40</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96.93</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97.20</w:t>
            </w:r>
          </w:p>
        </w:tc>
      </w:tr>
    </w:tbl>
    <w:p>
      <w:pPr>
        <w:spacing w:after="0" w:line="240" w:lineRule="auto"/>
      </w:pPr>
    </w:p>
    <w:p>
      <w:r>
        <w:rPr>
          <w:rFonts w:ascii="Times New Roman" w:hAnsi="Times New Roman" w:eastAsia="Songti SC"/>
          <w:color w:val="000000"/>
        </w:rPr>
        <w:t>表4-7累加三种子的关系对象变化，恢复为新增真阳性，损失为初始真阳性消失；FP移除与新增分别计数。BR-J在AAEC和CDCP保留了97.06%和96.93%的初始关系真阳性，高于本比较中的分步策略。尽管最终关系F1提高，仍有28和60个文档与种子配对的关系F1下降，分别占11.67%和13.51%。因此，分项代理门控制的是代理分量，不能保证每篇文档的真实指标非下降。</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pStyle w:val="TableCaption"/>
      </w:pPr>
      <w:r>
        <w:rPr>
          <w:rFonts w:ascii="Times New Roman" w:hAnsi="Times New Roman" w:eastAsia="Songti SC"/>
          <w:color w:val="000000"/>
          <w:sz w:val="21"/>
        </w:rPr>
        <w:t>表4-8 推理成本与预算取舍</w:t>
      </w:r>
      <w:bookmarkStart w:id="178" w:name="v8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时限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的平均总时间为32.00秒和45.16秒，低于大预算全局方案；全局等时限方案与其结果接近，说明局部策略的优势主要体现在预算分配与过程可解释性，而非所有成本指标都占优。冷启动、缓存复用、一次性OOF准备和逐文档执行分别计量，GPU小时、CPU秒和token不互相换算。</w:t>
      </w:r>
    </w:p>
    <w:p>
      <w:pPr>
        <w:keepNext/>
        <w:spacing w:line="240" w:lineRule="auto" w:before="80" w:after="60"/>
        <w:ind w:firstLine="0"/>
        <w:jc w:val="center"/>
      </w:pPr>
      <w:r>
        <w:drawing>
          <wp:inline xmlns:a="http://schemas.openxmlformats.org/drawingml/2006/main" xmlns:pic="http://schemas.openxmlformats.org/drawingml/2006/picture">
            <wp:extent cx="5652770" cy="2673474"/>
            <wp:docPr id="9" name="budget_results.png" descr="不同外层轮数下的关系结果与逐文档时间"/>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652770" cy="2673474"/>
                    </a:xfrm>
                    <a:prstGeom prst="rect"/>
                  </pic:spPr>
                </pic:pic>
              </a:graphicData>
            </a:graphic>
          </wp:inline>
        </w:drawing>
      </w:r>
    </w:p>
    <w:p>
      <w:pPr>
        <w:pStyle w:val="FigureCaption"/>
      </w:pPr>
      <w:r>
        <w:rPr>
          <w:rFonts w:ascii="Times New Roman" w:hAnsi="Times New Roman" w:eastAsia="Songti SC"/>
          <w:color w:val="000000"/>
          <w:sz w:val="21"/>
        </w:rPr>
        <w:t>图4-3 外层轮数增加时的结果与时间变化</w:t>
      </w:r>
      <w:bookmarkStart w:id="179" w:name="v8_179"/>
      <w:bookmarkEnd w:id="179"/>
    </w:p>
    <w:p>
      <w:r>
        <w:rPr>
          <w:rFonts w:ascii="Times New Roman" w:hAnsi="Times New Roman" w:eastAsia="Songti SC"/>
          <w:color w:val="000000"/>
        </w:rPr>
        <w:t>从一轮增加到两轮带来较明显改善，继续到四轮的边际增量较小。轮数改变的是最多尝试与接受的机会，实际停止仍由队列、接受条件和剩余资源共同决定。达到尝试上限后，已经评估合格的候选仍按4.5.2节的规则检查提交条件，不因不能启动新提议而被隐式丢弃。</w:t>
      </w:r>
    </w:p>
    <w:p>
      <w:pPr>
        <w:pStyle w:val="Heading3"/>
      </w:pPr>
      <w:r>
        <w:t>4.6.6 案例分析</w:t>
      </w:r>
      <w:bookmarkStart w:id="91" w:name="v8_91"/>
      <w:bookmarkEnd w:id="91"/>
    </w:p>
    <w:p>
      <w:r>
        <w:rPr>
          <w:rFonts w:ascii="Times New Roman" w:hAnsi="Times New Roman" w:eastAsia="Songti SC"/>
          <w:color w:val="000000"/>
        </w:rPr>
        <w:t>表4-9围绕组件边界、完整源集合和接受门展示四类轨迹。每例同时保留金标角色、初始错误、候选状态和最终决策，金标仅用于结果分析。</w:t>
      </w:r>
    </w:p>
    <w:p>
      <w:pPr>
        <w:pStyle w:val="TableCaption"/>
      </w:pPr>
      <w:r>
        <w:rPr>
          <w:rFonts w:ascii="Times New Roman" w:hAnsi="Times New Roman" w:eastAsia="Songti SC"/>
          <w:color w:val="000000"/>
          <w:sz w:val="21"/>
        </w:rPr>
        <w:t>表4-9 结构恢复与失败案例</w:t>
      </w:r>
      <w:bookmarkStart w:id="180" w:name="v8_180"/>
      <w:bookmarkEnd w:id="18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is limited. Buses stop early. Lighting is unsafe.”三条前提共同支持“The library should close early.”</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这些轨迹分别对应表达能力、评分错误、接受门取舍和候选上限。它们解释为何完整系统应同时报告恢复与误改，以及为何单一F1差值不能给出唯一机制归因。原子提交和失败恢复保证返回完整合法图，合法性本身不等于语义正确。</w:t>
      </w:r>
    </w:p>
    <w:p>
      <w:pPr>
        <w:pStyle w:val="Heading2"/>
      </w:pPr>
      <w:r>
        <w:t>4.7 本章小结</w:t>
      </w:r>
      <w:bookmarkStart w:id="92" w:name="v8_92"/>
      <w:bookmarkEnd w:id="92"/>
    </w:p>
    <w:p>
      <w:r>
        <w:rPr>
          <w:rFonts w:ascii="Times New Roman" w:hAnsi="Times New Roman" w:eastAsia="Songti SC"/>
          <w:color w:val="000000"/>
        </w:rPr>
        <w:t>本章将组件集合替换与全部受影响关系重建组织为共同事务，并统一完整对象评分、整图约束、分项接受和累计编辑预算。实验对照显示联合策略相对于所定义的组件优先分步策略具有关系增量，同时保留误改和候选限制。覆盖、可达、评分与实际接受构成不同瓶颈；全局大预算可以取得更高结果，局部修正则提供有限预算内的可审计选择。上述比较支持策略层面的判断，不将其缩写为纯执行顺序的因果效果或真实F1单调保证。</w:t>
      </w:r>
    </w:p>
    <w:p>
      <w:pPr>
        <w:pStyle w:val="Heading1"/>
      </w:pPr>
      <w:r>
        <w:t>第五章 两阶段框架的综合分析</w:t>
      </w:r>
      <w:bookmarkStart w:id="93" w:name="v8_93"/>
      <w:bookmarkEnd w:id="93"/>
    </w:p>
    <w:p>
      <w:r>
        <w:rPr>
          <w:rFonts w:ascii="Times New Roman" w:hAnsi="Times New Roman" w:eastAsia="Songti SC"/>
          <w:color w:val="000000"/>
        </w:rPr>
        <w:t>本章通过四格比较分析训练与推理的组合效果，结合错误恢复、误改和计算成本，判断两阶段的互补与重叠。</w:t>
      </w:r>
    </w:p>
    <w:p>
      <w:pPr>
        <w:pStyle w:val="Heading2"/>
      </w:pPr>
      <w:r>
        <w:t>5.1 两阶段组合及可比条件</w:t>
      </w:r>
      <w:bookmarkStart w:id="94" w:name="v8_94"/>
      <w:bookmarkEnd w:id="94"/>
    </w:p>
    <w:p>
      <w:r>
        <w:rPr>
          <w:rFonts w:ascii="Times New Roman" w:hAnsi="Times New Roman" w:eastAsia="Songti SC"/>
          <w:color w:val="000000"/>
        </w:rPr>
        <w:t>四格为T0＋I0、T1＋I0、T0＋I1和T1＋I1，其中I1为BR-J。同一训练条件下，I0与I1共用检查点身份、初始图和候选集合；不同训练条件可以产生不同候选，因为候选变化属于训练效果。评分协议、结构约束和资源定义保持一致，评分适配计入对应训练条件的系统身份。</w:t>
      </w:r>
    </w:p>
    <w:p>
      <w:r>
        <w:rPr>
          <w:rFonts w:ascii="Times New Roman" w:hAnsi="Times New Roman" w:eastAsia="Songti SC"/>
          <w:color w:val="000000"/>
        </w:rPr>
        <w:t>第三章T1与第四章BR-J的主行分别复用于T1＋I0、T1＋I1，各语料的3个种子全部进入汇总。训练消融固定I0，推理消融固定T1；四格用于组合归因。</w:t>
      </w:r>
    </w:p>
    <w:p>
      <w:pPr>
        <w:pStyle w:val="Heading2"/>
      </w:pPr>
      <w:r>
        <w:t>5.2 两阶段增量与错误变化</w:t>
      </w:r>
      <w:bookmarkStart w:id="95" w:name="v8_95"/>
      <w:bookmarkEnd w:id="95"/>
    </w:p>
    <w:p>
      <w:pPr>
        <w:pStyle w:val="Heading3"/>
      </w:pPr>
      <w:r>
        <w:t>5.2.1 四格结果与交互差</w:t>
      </w:r>
      <w:bookmarkStart w:id="96" w:name="v8_96"/>
      <w:bookmarkEnd w:id="96"/>
    </w:p>
    <w:p>
      <w:pPr>
        <w:pStyle w:val="TableCaption"/>
      </w:pPr>
      <w:r>
        <w:rPr>
          <w:rFonts w:ascii="Times New Roman" w:hAnsi="Times New Roman" w:eastAsia="Songti SC"/>
          <w:color w:val="000000"/>
          <w:sz w:val="21"/>
        </w:rPr>
        <w:t>表5-1 两阶段组合的四格结果</w:t>
      </w:r>
      <w:bookmarkStart w:id="181" w:name="v8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80.77±0.51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59.87±0.35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54.35±0.40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bl>
    <w:p>
      <w:pPr>
        <w:spacing w:after="0" w:line="240" w:lineRule="auto"/>
      </w:pPr>
    </w:p>
    <w:p>
      <w:r>
        <w:rPr>
          <w:rFonts w:ascii="Times New Roman" w:hAnsi="Times New Roman" w:eastAsia="Songti SC"/>
          <w:color w:val="000000"/>
        </w:rPr>
        <w:t>T1＋I1在两个语料的组件与关系指标上均高于共同起点。相对T0＋I0，AAEC严格关系F1增加13.31个百分点，CDCP增加13.92个百分点。训练与推理在各自条件下都产生增量，但组合总增量不能简单解释为两个独立效果相加。</w:t>
      </w:r>
    </w:p>
    <w:p>
      <w:r>
        <w:rPr>
          <w:rFonts w:ascii="Times New Roman" w:hAnsi="Times New Roman" w:eastAsia="Songti SC"/>
          <w:color w:val="000000"/>
        </w:rPr>
        <w:t>令</w:t>
      </w:r>
      <m:oMath>
        <m:sSub>
          <m:e>
            <m:r>
              <m:t xml:space="preserve">F</m:t>
            </m:r>
          </m:e>
          <m:sub>
            <m:r>
              <m:t xml:space="preserve">t</m:t>
            </m:r>
            <m:r>
              <m:t xml:space="preserve">i</m:t>
            </m:r>
          </m:sub>
        </m:sSub>
      </m:oMath>
      <w:r>
        <w:rPr>
          <w:rFonts w:ascii="Times New Roman" w:hAnsi="Times New Roman" w:eastAsia="Songti SC"/>
          <w:color w:val="000000"/>
        </w:rPr>
        <w:t>表示同一指标、同一语料的四格结果，交互差为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。表5-2同时列出各条件下的差值，单位均为百分点，计算使用未四舍五入的原始结果。</w:t>
      </w:r>
    </w:p>
    <w:p>
      <w:pPr>
        <w:pStyle w:val="TableCaption"/>
      </w:pPr>
      <w:r>
        <w:rPr>
          <w:rFonts w:ascii="Times New Roman" w:hAnsi="Times New Roman" w:eastAsia="Songti SC"/>
          <w:color w:val="000000"/>
          <w:sz w:val="21"/>
        </w:rPr>
        <w:t>表5-2 条件增量与交互差</w:t>
      </w:r>
      <w:bookmarkStart w:id="182" w:name="v8_182"/>
      <w:bookmarkEnd w:id="18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+0.40</w:t>
            </w:r>
          </w:p>
        </w:tc>
      </w:tr>
    </w:tbl>
    <w:p>
      <w:pPr>
        <w:spacing w:after="0" w:line="240" w:lineRule="auto"/>
      </w:pPr>
    </w:p>
    <w:p>
      <w:r>
        <w:rPr>
          <w:rFonts w:ascii="Times New Roman" w:hAnsi="Times New Roman" w:eastAsia="Songti SC"/>
          <w:color w:val="000000"/>
        </w:rPr>
        <w:t>AAEC的关系交互差为-0.64，配对95%区间为[-1.71, +0.41]；CDCP为+0.40，区间为[-1.01, +1.80]。两条关系区间均包含0，因而没有建立稳定的超加性。AAEC组件交互差为负，与两阶段收益部分重叠相容；仅凭聚合分数不能确认它们修复了哪些相同对象。完整组合取得较高结果，与每个阶段都独立、同幅度地改善所有错误，是不同层面的判断。</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0"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w:t>
      </w:r>
      <w:bookmarkStart w:id="183" w:name="v8_183"/>
      <w:bookmarkEnd w:id="183"/>
    </w:p>
    <w:p>
      <w:pPr>
        <w:pStyle w:val="Heading3"/>
      </w:pPr>
      <w:r>
        <w:t>5.2.2 恢复与误改的共同计数</w:t>
      </w:r>
      <w:bookmarkStart w:id="97" w:name="v8_97"/>
      <w:bookmarkEnd w:id="97"/>
    </w:p>
    <w:p>
      <w:r>
        <w:rPr>
          <w:rFonts w:ascii="Times New Roman" w:hAnsi="Times New Roman" w:eastAsia="Songti SC"/>
          <w:color w:val="000000"/>
        </w:rPr>
        <w:t>训练使初始组件与关系错误减少，同时改变推理能够访问的恢复空间。BR-J针对剩余错误进行修正时，既增加新的真阳性，也可能丢失初始正确对象。表4-7按共同初始图统计这两类变化，避免把代理效用上涨当作真实指标单调的证据。</w:t>
      </w:r>
    </w:p>
    <w:p>
      <w:r>
        <w:rPr>
          <w:rFonts w:ascii="Times New Roman" w:hAnsi="Times New Roman" w:eastAsia="Songti SC"/>
          <w:color w:val="000000"/>
        </w:rPr>
        <w:t>AAEC的T1＋I1累计恢复289个关系真阳性，同时损失65个原有真阳性；CDCP分别为233和46个。这里累加的是文档与种子配对记录，重复种子不扩大独立文档样本量。错误关系的移除与新增也分别保留，净F1综合了召回和精确率的变化。仅报告恢复数会遮蔽误改，仅报告最终错误数则无法解释修正过程。</w:t>
      </w:r>
    </w:p>
    <w:p>
      <w:pPr>
        <w:pStyle w:val="TableCaption"/>
      </w:pPr>
      <w:r>
        <w:rPr>
          <w:rFonts w:ascii="Times New Roman" w:hAnsi="Times New Roman" w:eastAsia="Songti SC"/>
          <w:color w:val="000000"/>
          <w:sz w:val="21"/>
        </w:rPr>
        <w:t>表5-3 四格比较的净错误计数变化</w:t>
      </w:r>
      <w:bookmarkStart w:id="184" w:name="v8_184"/>
      <w:bookmarkEnd w:id="18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+211／-202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+130／-126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+90／-89</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+274／-250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+248／-225</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+224／-208</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+203／-193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+201／-179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+176／-156</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+187／-171</w:t>
            </w:r>
          </w:p>
        </w:tc>
      </w:tr>
    </w:tbl>
    <w:p>
      <w:pPr>
        <w:spacing w:after="0" w:line="240" w:lineRule="auto"/>
      </w:pPr>
    </w:p>
    <w:p>
      <w:r>
        <w:rPr>
          <w:rFonts w:ascii="Times New Roman" w:hAnsi="Times New Roman" w:eastAsia="Songti SC"/>
          <w:color w:val="000000"/>
        </w:rPr>
        <w:t>表5-3分别计算T1＋I0减T0＋I0、T0＋I1减T0＋I0、T1＋I1减T1＋I0，按相同文档与种子累加净计数。金标固定，故每项ΔFN等于−ΔTP。AAEC在T1下修正的关系净TP增加224，小于T0下的248；CDCP相应为187与176，说明更好的训练并不必然同幅度压缩修正空间。T1关系净增量又分别等于289−65与233−46，与表4-7的恢复和损失账本一致。</w:t>
      </w:r>
    </w:p>
    <w:p>
      <w:r>
        <w:rPr>
          <w:rFonts w:ascii="Times New Roman" w:hAnsi="Times New Roman" w:eastAsia="Songti SC"/>
          <w:color w:val="000000"/>
        </w:rPr>
        <w:t>这些数值是三种子计数之和，不是新增独立文档，也不用于替代先逐种子计算再求均值的表5-1。净计数不能识别训练与推理修复对象的交集；确认对象级互补仍需对齐完整预测键的逐对象轨迹。不同训练条件还改变候选分布并带来评分适配，四格差值据此解释为条件系统增量，不等同于固定评分器下的单因素作用。</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11"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图5-2 联合修正中的关系恢复与原真阳性损失</w:t>
      </w:r>
      <w:bookmarkStart w:id="185" w:name="v8_185"/>
      <w:bookmarkEnd w:id="185"/>
    </w:p>
    <w:p>
      <w:r>
        <w:rPr>
          <w:rFonts w:ascii="Times New Roman" w:hAnsi="Times New Roman" w:eastAsia="Songti SC"/>
          <w:color w:val="000000"/>
        </w:rPr>
        <w:t>剩余错误先区分组件候选缺失与完整关系槽位缺失，再检查动作能否表达、提议是否进入队列、是否在预算内执行，以及评分和接受门是否通过。若一个错误涉及多种原因，以最早失败层作为互斥主因，其余原因另作附加标记；改变组件后才合法的新关系也须检查是否重新入队。该顺序区分扩大候选、扩大动作与增加算力各自能解决的问题。交互差只提供条件收益变化，不能代替这些逐对象归因。</w:t>
      </w:r>
    </w:p>
    <w:p>
      <w:pPr>
        <w:pStyle w:val="Heading2"/>
      </w:pPr>
      <w:r>
        <w:t>5.3 组合效果与成本</w:t>
      </w:r>
      <w:bookmarkStart w:id="98" w:name="v8_98"/>
      <w:bookmarkEnd w:id="98"/>
    </w:p>
    <w:p>
      <w:pPr>
        <w:pStyle w:val="TableCaption"/>
      </w:pPr>
      <w:r>
        <w:rPr>
          <w:rFonts w:ascii="Times New Roman" w:hAnsi="Times New Roman" w:eastAsia="Songti SC"/>
          <w:color w:val="000000"/>
          <w:sz w:val="21"/>
        </w:rPr>
        <w:t>表5-4 四格结果与逐文档时间</w:t>
      </w:r>
      <w:bookmarkStart w:id="186" w:name="v8_186"/>
      <w:bookmarkEnd w:id="18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组合</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T0＋I0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17.00</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T1＋I0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T0＋I1</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59.87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31.00</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T1＋I1</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T0＋I0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70.18</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22.00</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T1＋I0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T0＋I1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44.16</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T1＋I1</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r>
    </w:tbl>
    <w:p>
      <w:pPr>
        <w:spacing w:after="0" w:line="240" w:lineRule="auto"/>
      </w:pPr>
    </w:p>
    <w:p>
      <w:r>
        <w:rPr>
          <w:rFonts w:ascii="Times New Roman" w:hAnsi="Times New Roman" w:eastAsia="Songti SC"/>
          <w:color w:val="000000"/>
        </w:rPr>
        <w:t>T1＋I1的逐文档耗时高于T0＋I0，增量来自评分和事务求解。增强生成、审核、训练及OOF准备按数据或检查点计费，候选生成、对象评分和修正按文档计费；表5-4只比较后一部分，避免把一次性投入平均到任意选择的文档数量后宣称成本优势。被拒绝提议、超时和失败调用均进入相应预算。</w:t>
      </w:r>
    </w:p>
    <w:p>
      <w:r>
        <w:rPr>
          <w:rFonts w:ascii="Times New Roman" w:hAnsi="Times New Roman" w:eastAsia="Songti SC"/>
          <w:color w:val="000000"/>
        </w:rPr>
        <w:t>全局等时限对照在关系F1上略高于BR-J，扩大求解预算进一步提高结果，但表4-8显示其时延明显增加。因此局部事务的价值是有限预算下的质量、延迟和可审计轨迹之间的取舍。它不意味着局部效用超过相同目标的全局最优，也不意味着专门修正在所有部署成本模型下都优于重生成。批量吞吐、缓存复用和设备并行会改变实际部署的排序。</w:t>
      </w:r>
    </w:p>
    <w:p>
      <w:pPr>
        <w:pStyle w:val="Heading2"/>
      </w:pPr>
      <w:r>
        <w:t>5.4 原生超边与适用范围</w:t>
      </w:r>
      <w:bookmarkStart w:id="99" w:name="v8_99"/>
      <w:bookmarkEnd w:id="99"/>
    </w:p>
    <w:p>
      <w:r>
        <w:rPr>
          <w:rFonts w:ascii="Times New Roman" w:hAnsi="Times New Roman" w:eastAsia="Songti SC"/>
          <w:color w:val="000000"/>
        </w:rPr>
        <w:t>CDCP关系按完整源集合评价。表5-5进一步按源成员数分组，三个组保留各自的TP、FP、FN，整体结果仍从全部计数重算，不取组F1的算术平均。</w:t>
      </w:r>
    </w:p>
    <w:p>
      <w:pPr>
        <w:pStyle w:val="TableCaption"/>
      </w:pPr>
      <w:r>
        <w:rPr>
          <w:rFonts w:ascii="Times New Roman" w:hAnsi="Times New Roman" w:eastAsia="Songti SC"/>
          <w:color w:val="000000"/>
          <w:sz w:val="21"/>
        </w:rPr>
        <w:t>表5-5 CDCP完整关系的源成员数分组</w:t>
      </w:r>
      <w:bookmarkStart w:id="187" w:name="v8_187"/>
      <w:bookmarkEnd w:id="18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1个源成员</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60.50±0.98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59.28±1.11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66.32±0.58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2个源成员</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49.73±2.69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49.10±0.56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56.92±1.07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3个及以上</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34.15±5.61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38.99±5.35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39.40±3.84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49.95±3.86</w:t>
            </w:r>
          </w:p>
        </w:tc>
      </w:tr>
    </w:tbl>
    <w:p>
      <w:pPr>
        <w:spacing w:after="0" w:line="240" w:lineRule="auto"/>
      </w:pPr>
    </w:p>
    <w:p>
      <w:r>
        <w:rPr>
          <w:rFonts w:ascii="Times New Roman" w:hAnsi="Times New Roman" w:eastAsia="Songti SC"/>
          <w:color w:val="000000"/>
        </w:rPr>
        <w:t>源成员增多时，严格匹配需要同时满足更多端点条件，因此长超边组的结果低于单源组。T1＋I1对各组均有改善，但没有消除长源集合的困难。扩展候选源成员数能够扩大潜在覆盖，同时增加组合规模和评分风险；保护已有长超边与枚举更多新长超边也具有不同成本。</w:t>
      </w:r>
    </w:p>
    <w:p>
      <w:r>
        <w:rPr>
          <w:rFonts w:ascii="Times New Roman" w:hAnsi="Times New Roman" w:eastAsia="Songti SC"/>
          <w:color w:val="000000"/>
        </w:rPr>
        <w:t>本章结论限定于AAEC与CDCP原生任务。附录E的粗粒度跨域Link-F1按原统计口径保留；中文、多语言、隐式论证及其他部署条件不在本章外推范围内。</w:t>
      </w:r>
    </w:p>
    <w:p>
      <w:pPr>
        <w:pStyle w:val="Heading2"/>
      </w:pPr>
      <w:r>
        <w:t>5.5 本章小结</w:t>
      </w:r>
      <w:bookmarkStart w:id="100" w:name="v8_100"/>
      <w:bookmarkEnd w:id="100"/>
    </w:p>
    <w:p>
      <w:r>
        <w:rPr>
          <w:rFonts w:ascii="Times New Roman" w:hAnsi="Times New Roman" w:eastAsia="Songti SC"/>
          <w:color w:val="000000"/>
        </w:rPr>
        <w:t>两阶段组合提高了共同起点的严格抽取结果，但关系交互区间包含0。综合判断应同时考虑恢复、误改和成本，不将分数提高直接解释为稳定超加性。</w:t>
      </w:r>
    </w:p>
    <w:p>
      <w:pPr>
        <w:pStyle w:val="Heading1"/>
      </w:pPr>
      <w:r>
        <w:t>第六章 总结与展望</w:t>
      </w:r>
      <w:bookmarkStart w:id="101" w:name="v8_101"/>
      <w:bookmarkEnd w:id="101"/>
    </w:p>
    <w:p>
      <w:pPr>
        <w:pStyle w:val="Heading2"/>
      </w:pPr>
      <w:r>
        <w:t>6.1 研究总结</w:t>
      </w:r>
      <w:bookmarkStart w:id="102" w:name="v8_102"/>
      <w:bookmarkEnd w:id="102"/>
    </w:p>
    <w:p>
      <w:r>
        <w:rPr>
          <w:rFonts w:ascii="Times New Roman" w:hAnsi="Times New Roman" w:eastAsia="Songti SC"/>
          <w:color w:val="000000"/>
        </w:rPr>
        <w:t>本文围绕论辩组件与关系之间的依赖，研究训练监督保持与推理结构恢复两个问题。训练阶段改变指定组件的表达并维护对应监督；推理阶段保持原文不变，协调修改预测组件及其关系。两项方法共享完整对象与严格评价的表示，同时分别作用于学习过程和结构决策过程。</w:t>
      </w:r>
    </w:p>
    <w:p>
      <w:r>
        <w:rPr>
          <w:rFonts w:ascii="Times New Roman" w:hAnsi="Times New Roman" w:eastAsia="Songti SC"/>
          <w:color w:val="000000"/>
        </w:rPr>
        <w:t>针对RQ1，关系感知增强显式覆盖内部、跨边界、正关系和NONE状态，通过标注输运建立两视图对应，并以源文档为单位组织辅助监督和成对学习。第三章分别讨论监督漂移、接受覆盖和同数据学习增量。完整方案的主要作用来自数据质量与学习目标的配合；中心策略差值较小且区间包含0，因此不将结论优先本身解释为普遍优势。</w:t>
      </w:r>
    </w:p>
    <w:p>
      <w:r>
        <w:rPr>
          <w:rFonts w:ascii="Times New Roman" w:hAnsi="Times New Roman" w:eastAsia="Songti SC"/>
          <w:color w:val="000000"/>
        </w:rPr>
        <w:t>针对RQ2，依赖闭合修正以兼容组件集合替换和全部受影响关系重建组成事务。固定完整对象评分、整图约束、分项接受门与累计编辑预算规定提交边界；允许尝试额度耗尽后提交已经评估合格的候选，并将提交条件与继续评估条件分开。BR-J相对于组件优先分步策略提高了关系结果，其差异同时涉及信息使用、接受门和批内排序，不能缩写为纯执行顺序的单因素因果效果。</w:t>
      </w:r>
    </w:p>
    <w:p>
      <w:r>
        <w:rPr>
          <w:rFonts w:ascii="Times New Roman" w:hAnsi="Times New Roman" w:eastAsia="Songti SC"/>
          <w:color w:val="000000"/>
        </w:rPr>
        <w:t>组合分析中，T1＋I1相对共同起点在AAEC与CDCP关系F1上分别增加13.31和13.92个百分点，关系交互区间均包含0。该结果强调阶段增量与超加性应分开解释。局部修正保留了较高比例的初始正确关系，同时仍存在误改；与全局大预算和重生成的比较体现质量、时延及轨迹可解释性的取舍。</w:t>
      </w:r>
    </w:p>
    <w:p>
      <w:pPr>
        <w:pStyle w:val="Heading2"/>
      </w:pPr>
      <w:r>
        <w:t>6.2 研究局限</w:t>
      </w:r>
      <w:bookmarkStart w:id="103" w:name="v8_103"/>
      <w:bookmarkEnd w:id="103"/>
    </w:p>
    <w:p>
      <w:r>
        <w:rPr>
          <w:rFonts w:ascii="Times New Roman" w:hAnsi="Times New Roman" w:eastAsia="Songti SC"/>
          <w:color w:val="000000"/>
        </w:rPr>
        <w:t>训练监督的可靠性受到语义检查和样本选择共同影响。更严格的筛选可能偏向容易改写、关系显式的文档，接受覆盖下降会改变训练分布；有限端点影响域不能覆盖任意篇章语义变化，NONE也可能包含标注不完备的情况。成对对齐约束辅助因素分布，不保证自回归生成的完整论辩图严格等变。</w:t>
      </w:r>
    </w:p>
    <w:p>
      <w:r>
        <w:rPr>
          <w:rFonts w:ascii="Times New Roman" w:hAnsi="Times New Roman" w:eastAsia="Songti SC"/>
          <w:color w:val="000000"/>
        </w:rPr>
        <w:t>推理修正受到候选、动作与评分三方面限制。正确对象未进入冻结候选时不可恢复，有限集合替换和预算不能表达任意结构变化；搜索反复选取高分对象可能放大评分偏差。分项非下降门也会拒绝某些真实有益但代理分量下降的提议。局部差值与有限终止性质均不构成真实F1单调或全局最优保证。</w:t>
      </w:r>
    </w:p>
    <w:p>
      <w:r>
        <w:rPr>
          <w:rFonts w:ascii="Times New Roman" w:hAnsi="Times New Roman" w:eastAsia="Songti SC"/>
          <w:color w:val="000000"/>
        </w:rPr>
        <w:t>统计比较受语料规模、标注体系和3个重复种子的范围限制。文档级配对区间刻画固定种子条件下的样本不确定性，跨种子标准差描述另一种变化来源，二者不能混为同一误差条。原生超边、二元关系和粗粒度跨域Link-F1分别解释；有限语料上的方法排序不直接推广至其他语言、领域或部署条件。</w:t>
      </w:r>
    </w:p>
    <w:p>
      <w:pPr>
        <w:pStyle w:val="Heading2"/>
      </w:pPr>
      <w:r>
        <w:t>6.3 后续研究方向</w:t>
      </w:r>
      <w:bookmarkStart w:id="104" w:name="v8_104"/>
      <w:bookmarkEnd w:id="104"/>
    </w:p>
    <w:p>
      <w:r>
        <w:rPr>
          <w:rFonts w:ascii="Times New Roman" w:hAnsi="Times New Roman" w:eastAsia="Songti SC"/>
          <w:color w:val="000000"/>
        </w:rPr>
        <w:t>候选空间与计算代价之间的关系值得继续研究。扩大跨度和源集合组合可能提高覆盖，也会增加评分、约束求解和错误选择的风险。可在固定资源条件下比较不同候选组织方式，联合观察覆盖、恢复、误改和时延，确定哪些扩展改善最终结构。</w:t>
      </w:r>
    </w:p>
    <w:p>
      <w:r>
        <w:rPr>
          <w:rFonts w:ascii="Times New Roman" w:hAnsi="Times New Roman" w:eastAsia="Songti SC"/>
          <w:color w:val="000000"/>
        </w:rPr>
        <w:t>语义检查与评分可靠性是另一方向。增强标签漂移与推理错误接受都受到模型判断影响，但二者的输入和监督目标不同。面向隐式关系、长超边、否定、模态和指代的分组分析，有助于确定错误在生成、审核、校准和事务决策之间的传播路径，并研究与任务代价相适应的拒绝策略。</w:t>
      </w:r>
    </w:p>
    <w:p>
      <w:pPr>
        <w:pStyle w:val="Heading1"/>
      </w:pPr>
      <w:r>
        <w:t>参考文献</w:t>
      </w:r>
      <w:bookmarkStart w:id="105" w:name="v8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数据处理与复现协议</w:t>
      </w:r>
      <w:bookmarkStart w:id="106" w:name="v8_106"/>
      <w:bookmarkEnd w:id="106"/>
    </w:p>
    <w:p>
      <w:pPr>
        <w:pStyle w:val="Heading2"/>
      </w:pPr>
      <w:r>
        <w:t>A.1 坐标与结构数据</w:t>
      </w:r>
      <w:bookmarkStart w:id="107" w:name="v8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8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188" w:name="v8_188"/>
      <w:bookmarkEnd w:id="18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8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8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配置身份为1009-v4-simulation-review。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189" w:name="v8_189"/>
      <w:bookmarkEnd w:id="18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8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pStyle w:val="Heading1"/>
      </w:pPr>
      <w:r>
        <w:t>附录B 评分与事务执行记录</w:t>
      </w:r>
      <w:bookmarkStart w:id="112" w:name="v8_112"/>
      <w:bookmarkEnd w:id="112"/>
    </w:p>
    <w:p>
      <w:pPr>
        <w:pStyle w:val="Heading2"/>
      </w:pPr>
      <w:r>
        <w:t>B.1 数据与模型身份</w:t>
      </w:r>
      <w:bookmarkStart w:id="113" w:name="v8_113"/>
      <w:bookmarkEnd w:id="113"/>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4" w:name="v8_114"/>
      <w:bookmarkEnd w:id="114"/>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5" w:name="v8_115"/>
      <w:bookmarkEnd w:id="115"/>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pStyle w:val="Heading2"/>
      </w:pPr>
      <w:r>
        <w:t>B.4 实现一致性测试</w:t>
      </w:r>
      <w:bookmarkStart w:id="116" w:name="v8_116"/>
      <w:bookmarkEnd w:id="116"/>
    </w:p>
    <w:p>
      <w:pPr>
        <w:pStyle w:val="Heading3"/>
      </w:pPr>
      <w:r>
        <w:t>B.4.1 已执行的构造检查</w:t>
      </w:r>
      <w:bookmarkStart w:id="117" w:name="v8_117"/>
      <w:bookmarkEnd w:id="117"/>
    </w:p>
    <w:p>
      <w:pPr>
        <w:spacing w:line="380" w:lineRule="exact"/>
      </w:pPr>
      <w:r>
        <w:rPr>
          <w:rFonts w:ascii="Times New Roman" w:hAnsi="Times New Roman" w:eastAsia="Songti SC"/>
          <w:color w:val="000000"/>
          <w:sz w:val="22"/>
        </w:rPr>
        <w:t>本版保留并原样复算v1机制程序，另运行中心匹配、条件反向、分阶段账本、带坐标拆合与状态队列的接口参考程序。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8" w:name="v8_118"/>
      <w:bookmarkEnd w:id="118"/>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19" w:name="v8_119"/>
      <w:bookmarkEnd w:id="119"/>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190" w:name="v8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0" w:name="v8_120"/>
      <w:bookmarkEnd w:id="120"/>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1"/>
      </w:pPr>
      <w:r>
        <w:t>附录C 成果归属与研究声明</w:t>
      </w:r>
      <w:bookmarkStart w:id="121" w:name="v8_121"/>
      <w:bookmarkEnd w:id="121"/>
    </w:p>
    <w:p>
      <w:pPr>
        <w:pStyle w:val="Heading2"/>
      </w:pPr>
      <w:r>
        <w:t>C.1 前期共同成果</w:t>
      </w:r>
      <w:bookmarkStart w:id="122" w:name="v8_122"/>
      <w:bookmarkEnd w:id="122"/>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3" w:name="v8_123"/>
      <w:bookmarkEnd w:id="123"/>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4" w:name="v8_124"/>
      <w:bookmarkEnd w:id="124"/>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5" w:name="v8_125"/>
      <w:bookmarkEnd w:id="125"/>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6" w:name="v8_126"/>
      <w:bookmarkEnd w:id="126"/>
    </w:p>
    <w:p>
      <w:pPr>
        <w:pStyle w:val="Heading2"/>
      </w:pPr>
      <w:r>
        <w:t>D.1 前期结果的使用范围</w:t>
      </w:r>
      <w:bookmarkStart w:id="127" w:name="v8_127"/>
      <w:bookmarkEnd w:id="127"/>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28" w:name="v8_128"/>
      <w:bookmarkEnd w:id="128"/>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29" w:name="v8_129"/>
      <w:bookmarkEnd w:id="129"/>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30" w:name="v8_130"/>
      <w:bookmarkEnd w:id="130"/>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1" w:name="v8_131"/>
      <w:bookmarkEnd w:id="131"/>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本轮接口构造材料</w:t>
      </w:r>
      <w:bookmarkStart w:id="132" w:name="v8_132"/>
      <w:bookmarkEnd w:id="132"/>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3" w:name="v8_133"/>
      <w:bookmarkEnd w:id="133"/>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4" w:name="v8_134"/>
      <w:bookmarkEnd w:id="134"/>
    </w:p>
    <w:p>
      <w:pPr>
        <w:pStyle w:val="TableCaption"/>
        <w:spacing w:line="380" w:lineRule="exact"/>
      </w:pPr>
      <w:r>
        <w:rPr>
          <w:rFonts w:ascii="Times New Roman" w:hAnsi="Times New Roman" w:eastAsia="Songti SC"/>
          <w:color w:val="000000"/>
          <w:sz w:val="21"/>
        </w:rPr>
        <w:t>表E-1 AAEC组件分类别旧稿记录</w:t>
      </w:r>
      <w:bookmarkStart w:id="191" w:name="v8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5" w:name="v8_135"/>
      <w:bookmarkEnd w:id="135"/>
    </w:p>
    <w:p>
      <w:pPr>
        <w:pStyle w:val="TableCaption"/>
        <w:spacing w:line="380" w:lineRule="exact"/>
      </w:pPr>
      <w:r>
        <w:rPr>
          <w:rFonts w:ascii="Times New Roman" w:hAnsi="Times New Roman" w:eastAsia="Songti SC"/>
          <w:color w:val="000000"/>
          <w:sz w:val="21"/>
        </w:rPr>
        <w:t>表E-2 ICIC原版AAEC域内结果记录</w:t>
      </w:r>
      <w:bookmarkStart w:id="192" w:name="v8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6" w:name="v8_136"/>
      <w:bookmarkEnd w:id="136"/>
    </w:p>
    <w:p>
      <w:pPr>
        <w:pStyle w:val="TableCaption"/>
        <w:spacing w:line="380" w:lineRule="exact"/>
      </w:pPr>
      <w:r>
        <w:rPr>
          <w:rFonts w:ascii="Times New Roman" w:hAnsi="Times New Roman" w:eastAsia="Songti SC"/>
          <w:color w:val="000000"/>
          <w:sz w:val="21"/>
        </w:rPr>
        <w:t>表E-3 ICIC原版CDCP域内结果记录</w:t>
      </w:r>
      <w:bookmarkStart w:id="193" w:name="v8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7" w:name="v8_137"/>
      <w:bookmarkEnd w:id="137"/>
    </w:p>
    <w:p>
      <w:pPr>
        <w:pStyle w:val="TableCaption"/>
        <w:spacing w:line="380" w:lineRule="exact"/>
      </w:pPr>
      <w:r>
        <w:rPr>
          <w:rFonts w:ascii="Times New Roman" w:hAnsi="Times New Roman" w:eastAsia="Songti SC"/>
          <w:color w:val="000000"/>
          <w:sz w:val="21"/>
        </w:rPr>
        <w:t>表E-4 ICIC原版模块消融记录</w:t>
      </w:r>
      <w:bookmarkStart w:id="194" w:name="v8_194"/>
      <w:bookmarkEnd w:id="19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38" w:name="v8_138"/>
      <w:bookmarkEnd w:id="138"/>
    </w:p>
    <w:p>
      <w:pPr>
        <w:pStyle w:val="TableCaption"/>
        <w:spacing w:line="380" w:lineRule="exact"/>
      </w:pPr>
      <w:r>
        <w:rPr>
          <w:rFonts w:ascii="Times New Roman" w:hAnsi="Times New Roman" w:eastAsia="Songti SC"/>
          <w:color w:val="000000"/>
          <w:sz w:val="21"/>
        </w:rPr>
        <w:t>表E-5 ICIC原版验证器替换记录</w:t>
      </w:r>
      <w:bookmarkStart w:id="195" w:name="v8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39" w:name="v8_139"/>
      <w:bookmarkEnd w:id="139"/>
    </w:p>
    <w:p>
      <w:pPr>
        <w:pStyle w:val="TableCaption"/>
        <w:spacing w:line="380" w:lineRule="exact"/>
      </w:pPr>
      <w:r>
        <w:rPr>
          <w:rFonts w:ascii="Times New Roman" w:hAnsi="Times New Roman" w:eastAsia="Songti SC"/>
          <w:color w:val="000000"/>
          <w:sz w:val="21"/>
        </w:rPr>
        <w:t>表E-6 ICIC原版Oracle记录</w:t>
      </w:r>
      <w:bookmarkStart w:id="196" w:name="v8_196"/>
      <w:bookmarkEnd w:id="19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0" w:name="v8_140"/>
      <w:bookmarkEnd w:id="140"/>
    </w:p>
    <w:p>
      <w:pPr>
        <w:pStyle w:val="TableCaption"/>
        <w:spacing w:line="380" w:lineRule="exact"/>
      </w:pPr>
      <w:r>
        <w:rPr>
          <w:rFonts w:ascii="Times New Roman" w:hAnsi="Times New Roman" w:eastAsia="Songti SC"/>
          <w:color w:val="000000"/>
          <w:sz w:val="21"/>
        </w:rPr>
        <w:t>表E-7 ICIC原版修正行为记录</w:t>
      </w:r>
      <w:bookmarkStart w:id="197" w:name="v8_197"/>
      <w:bookmarkEnd w:id="19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1" w:name="v8_141"/>
      <w:bookmarkEnd w:id="141"/>
    </w:p>
    <w:p>
      <w:pPr>
        <w:pStyle w:val="TableCaption"/>
        <w:spacing w:line="380" w:lineRule="exact"/>
      </w:pPr>
      <w:r>
        <w:rPr>
          <w:rFonts w:ascii="Times New Roman" w:hAnsi="Times New Roman" w:eastAsia="Songti SC"/>
          <w:color w:val="000000"/>
          <w:sz w:val="21"/>
        </w:rPr>
        <w:t>表E-8 前期粗粒度组件映射</w:t>
      </w:r>
      <w:bookmarkStart w:id="198" w:name="v8_198"/>
      <w:bookmarkEnd w:id="19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2" w:name="v8_142"/>
      <w:bookmarkEnd w:id="142"/>
    </w:p>
    <w:p>
      <w:pPr>
        <w:pStyle w:val="TableCaption"/>
        <w:spacing w:line="380" w:lineRule="exact"/>
      </w:pPr>
      <w:r>
        <w:rPr>
          <w:rFonts w:ascii="Times New Roman" w:hAnsi="Times New Roman" w:eastAsia="Songti SC"/>
          <w:color w:val="000000"/>
          <w:sz w:val="21"/>
        </w:rPr>
        <w:t>表E-9 ICIC原版AAEC到CDCP迁移记录</w:t>
      </w:r>
      <w:bookmarkStart w:id="199" w:name="v8_199"/>
      <w:bookmarkEnd w:id="19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3" w:name="v8_143"/>
      <w:bookmarkEnd w:id="143"/>
    </w:p>
    <w:p>
      <w:pPr>
        <w:pStyle w:val="Heading2"/>
      </w:pPr>
      <w:r>
        <w:t>F.1 核心术语与符号</w:t>
      </w:r>
      <w:bookmarkStart w:id="144" w:name="v8_144"/>
      <w:bookmarkEnd w:id="144"/>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00" w:name="v8_200"/>
      <w:bookmarkEnd w:id="20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5" w:name="v8_145"/>
      <w:bookmarkEnd w:id="145"/>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6" w:name="v8_146"/>
      <w:bookmarkEnd w:id="146"/>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01" w:name="v8_201"/>
      <w:bookmarkEnd w:id="20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5.1至5.3四格结果、交互差与成本</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5.4及附录E.8至E.9</w:t>
            </w:r>
          </w:p>
        </w:tc>
      </w:tr>
    </w:tbl>
    <w:p>
      <w:pPr>
        <w:spacing w:after="0" w:line="240" w:lineRule="auto"/>
      </w:pPr>
    </w:p>
    <w:sectPr>
      <w:headerReference w:type="default" r:id="rId117"/>
      <w:footerReference w:type="default" r:id="rId118"/>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1009-v4 模拟数据演示稿；统一声明见封面</dc:subject>
  <dc:creator>Chen Tang</dc:creator>
  <cp:keywords>模拟数据演示稿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