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1010-v1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新增实验表图、审计判定、运行配置、成本及案例均为人工设定并由程序汇总的计数级模拟情景，不代表真实实验记录或效果预测。全文采用完整论文的叙述方式，供结构与分析推敲；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9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以人工计数情景演示AAEC与CDCP原生任务的评价与分析，所述数值不代表真实模型实验。情景中，完整增强＋基础损失相对QOS式适配的严格关系F1分别增加1.79和1.83个百分点；同一增强集合上，成对项相对头监督再增加1.92和1.88个百分点。结论中心差值与两阶段关系交互区间均包含0。BR-J相对T1初始图增加5.99和6.71个百分点，但同求解时限全局ILP取得略高的关系F1与初始真阳性保留率，BR-J仅节省约4.19%和4.73%的端到端时间。由此，论文将第一项工作聚焦于监督对应与学习目标，将第二项工作定位为需要结合资源和变更要求检验的结构修正选项；真实问题规模、对象级互补及外部系统比较仍需相应运行材料支持。</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9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This edition uses artificial count scenarios to demonstrate evaluation and analysis under the native AAEC and CDCP task representations; the numbers are not empirical model results. In these scenarios, full augmentation with the base loss exceeds the QOS-style adaptation by 1.79 and 1.83 relation F1 points, while paired learning adds 1.92 and 1.88 points over head supervision on the same augmented data. The intervals for conclusion-center differences and relation interactions include zero. BR-J adds 5.99 and 6.71 points over T1 initial predictions, but equal-solver-budget global ILP attains slightly higher relation F1 and initial true-positive retention; BR-J saves only 4.19% and 4.73% of end-to-end time. These comparisons focus the first contribution on supervision correspondence and paired learning, and frame the second as a structural repair option whose value depends on resource and change-control requirements. Empirical error prevalence, object-level complementarity, and external-system comparisons require corresponding execution evidence.</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9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9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9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9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9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9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9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9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9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9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9_20" w:history="1">
        <w:r>
          <w:rPr>
            <w:rFonts w:ascii="Times New Roman" w:hAnsi="Times New Roman" w:eastAsia="Songti SC"/>
            <w:color w:val="000000"/>
            <w:sz w:val="22"/>
          </w:rPr>
          <w:t>1.3.1 研究问题</w:t>
        </w:r>
        <w:r>
          <w:rPr>
            <w:rFonts w:ascii="Times New Roman" w:hAnsi="Times New Roman" w:eastAsia="Songti SC"/>
            <w:color w:val="000000"/>
            <w:sz w:val="22"/>
          </w:rPr>
          <w:tab/>
          <w:t>7</w:t>
        </w:r>
      </w:hyperlink>
    </w:p>
    <w:p>
      <w:pPr>
        <w:pStyle w:val="TOC3"/>
      </w:pPr>
      <w:hyperlink w:anchor="v9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9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8</w:t>
        </w:r>
      </w:hyperlink>
    </w:p>
    <w:p>
      <w:pPr>
        <w:pStyle w:val="TOC2"/>
      </w:pPr>
      <w:hyperlink w:anchor="v9_23" w:history="1">
        <w:r>
          <w:rPr>
            <w:rFonts w:ascii="Times New Roman" w:hAnsi="Times New Roman" w:eastAsia="Songti SC"/>
            <w:color w:val="000000"/>
            <w:sz w:val="22"/>
          </w:rPr>
          <w:t>1.4 论文组织结构</w:t>
        </w:r>
        <w:r>
          <w:rPr>
            <w:rFonts w:ascii="Times New Roman" w:hAnsi="Times New Roman" w:eastAsia="Songti SC"/>
            <w:color w:val="000000"/>
            <w:sz w:val="22"/>
          </w:rPr>
          <w:tab/>
          <w:t>9</w:t>
        </w:r>
      </w:hyperlink>
    </w:p>
    <w:p>
      <w:pPr>
        <w:pStyle w:val="TOC1"/>
        <w:keepNext/>
        <w:spacing w:before="120"/>
      </w:pPr>
      <w:hyperlink w:anchor="v9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10</w:t>
        </w:r>
      </w:hyperlink>
    </w:p>
    <w:p>
      <w:pPr>
        <w:pStyle w:val="TOC2"/>
      </w:pPr>
      <w:hyperlink w:anchor="v9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10</w:t>
        </w:r>
      </w:hyperlink>
    </w:p>
    <w:p>
      <w:pPr>
        <w:pStyle w:val="TOC3"/>
      </w:pPr>
      <w:hyperlink w:anchor="v9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10</w:t>
        </w:r>
      </w:hyperlink>
    </w:p>
    <w:p>
      <w:pPr>
        <w:pStyle w:val="TOC3"/>
      </w:pPr>
      <w:hyperlink w:anchor="v9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10</w:t>
        </w:r>
      </w:hyperlink>
    </w:p>
    <w:p>
      <w:pPr>
        <w:pStyle w:val="TOC2"/>
      </w:pPr>
      <w:hyperlink w:anchor="v9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11</w:t>
        </w:r>
      </w:hyperlink>
    </w:p>
    <w:p>
      <w:pPr>
        <w:pStyle w:val="TOC3"/>
      </w:pPr>
      <w:hyperlink w:anchor="v9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11</w:t>
        </w:r>
      </w:hyperlink>
    </w:p>
    <w:p>
      <w:pPr>
        <w:pStyle w:val="TOC3"/>
      </w:pPr>
      <w:hyperlink w:anchor="v9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12</w:t>
        </w:r>
      </w:hyperlink>
    </w:p>
    <w:p>
      <w:pPr>
        <w:pStyle w:val="TOC2"/>
      </w:pPr>
      <w:hyperlink w:anchor="v9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12</w:t>
        </w:r>
      </w:hyperlink>
    </w:p>
    <w:p>
      <w:pPr>
        <w:pStyle w:val="TOC2"/>
      </w:pPr>
      <w:hyperlink w:anchor="v9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12</w:t>
        </w:r>
      </w:hyperlink>
    </w:p>
    <w:p>
      <w:pPr>
        <w:pStyle w:val="TOC2"/>
      </w:pPr>
      <w:hyperlink w:anchor="v9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13</w:t>
        </w:r>
      </w:hyperlink>
    </w:p>
    <w:p>
      <w:pPr>
        <w:pStyle w:val="TOC2"/>
      </w:pPr>
      <w:hyperlink w:anchor="v9_34" w:history="1">
        <w:r>
          <w:rPr>
            <w:rFonts w:ascii="Times New Roman" w:hAnsi="Times New Roman" w:eastAsia="Songti SC"/>
            <w:color w:val="000000"/>
            <w:sz w:val="22"/>
          </w:rPr>
          <w:t>2.6 公共实验协议</w:t>
        </w:r>
        <w:r>
          <w:rPr>
            <w:rFonts w:ascii="Times New Roman" w:hAnsi="Times New Roman" w:eastAsia="Songti SC"/>
            <w:color w:val="000000"/>
            <w:sz w:val="22"/>
          </w:rPr>
          <w:tab/>
          <w:t>14</w:t>
        </w:r>
      </w:hyperlink>
    </w:p>
    <w:p>
      <w:pPr>
        <w:pStyle w:val="TOC3"/>
      </w:pPr>
      <w:hyperlink w:anchor="v9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14</w:t>
        </w:r>
      </w:hyperlink>
    </w:p>
    <w:p>
      <w:pPr>
        <w:pStyle w:val="TOC3"/>
      </w:pPr>
      <w:hyperlink w:anchor="v9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14</w:t>
        </w:r>
      </w:hyperlink>
    </w:p>
    <w:p>
      <w:pPr>
        <w:pStyle w:val="TOC3"/>
      </w:pPr>
      <w:hyperlink w:anchor="v9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16</w:t>
        </w:r>
      </w:hyperlink>
    </w:p>
    <w:p>
      <w:pPr>
        <w:pStyle w:val="TOC2"/>
      </w:pPr>
      <w:hyperlink w:anchor="v9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16</w:t>
        </w:r>
      </w:hyperlink>
    </w:p>
    <w:p>
      <w:pPr>
        <w:pStyle w:val="TOC2"/>
      </w:pPr>
      <w:hyperlink w:anchor="v9_39" w:history="1">
        <w:r>
          <w:rPr>
            <w:rFonts w:ascii="Times New Roman" w:hAnsi="Times New Roman" w:eastAsia="Songti SC"/>
            <w:color w:val="000000"/>
            <w:sz w:val="22"/>
          </w:rPr>
          <w:t>2.8 本章小结</w:t>
        </w:r>
        <w:r>
          <w:rPr>
            <w:rFonts w:ascii="Times New Roman" w:hAnsi="Times New Roman" w:eastAsia="Songti SC"/>
            <w:color w:val="000000"/>
            <w:sz w:val="22"/>
          </w:rPr>
          <w:tab/>
          <w:t>17</w:t>
        </w:r>
      </w:hyperlink>
    </w:p>
    <w:p>
      <w:pPr>
        <w:pStyle w:val="TOC1"/>
        <w:keepNext/>
        <w:spacing w:before="120"/>
      </w:pPr>
      <w:hyperlink w:anchor="v9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18</w:t>
        </w:r>
      </w:hyperlink>
    </w:p>
    <w:p>
      <w:pPr>
        <w:pStyle w:val="TOC2"/>
      </w:pPr>
      <w:hyperlink w:anchor="v9_41" w:history="1">
        <w:r>
          <w:rPr>
            <w:rFonts w:ascii="Times New Roman" w:hAnsi="Times New Roman" w:eastAsia="Songti SC"/>
            <w:color w:val="000000"/>
            <w:sz w:val="22"/>
          </w:rPr>
          <w:t>3.1 引言</w:t>
        </w:r>
        <w:r>
          <w:rPr>
            <w:rFonts w:ascii="Times New Roman" w:hAnsi="Times New Roman" w:eastAsia="Songti SC"/>
            <w:color w:val="000000"/>
            <w:sz w:val="22"/>
          </w:rPr>
          <w:tab/>
          <w:t>18</w:t>
        </w:r>
      </w:hyperlink>
    </w:p>
    <w:p>
      <w:pPr>
        <w:pStyle w:val="TOC2"/>
      </w:pPr>
      <w:hyperlink w:anchor="v9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19</w:t>
        </w:r>
      </w:hyperlink>
    </w:p>
    <w:p>
      <w:pPr>
        <w:pStyle w:val="TOC3"/>
      </w:pPr>
      <w:hyperlink w:anchor="v9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19</w:t>
        </w:r>
      </w:hyperlink>
    </w:p>
    <w:p>
      <w:pPr>
        <w:pStyle w:val="TOC3"/>
      </w:pPr>
      <w:hyperlink w:anchor="v9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19</w:t>
        </w:r>
      </w:hyperlink>
    </w:p>
    <w:p>
      <w:pPr>
        <w:pStyle w:val="TOC2"/>
      </w:pPr>
      <w:hyperlink w:anchor="v9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20</w:t>
        </w:r>
      </w:hyperlink>
    </w:p>
    <w:p>
      <w:pPr>
        <w:pStyle w:val="TOC3"/>
      </w:pPr>
      <w:hyperlink w:anchor="v9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20</w:t>
        </w:r>
      </w:hyperlink>
    </w:p>
    <w:p>
      <w:pPr>
        <w:pStyle w:val="TOC3"/>
      </w:pPr>
      <w:hyperlink w:anchor="v9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22</w:t>
        </w:r>
      </w:hyperlink>
    </w:p>
    <w:p>
      <w:pPr>
        <w:pStyle w:val="TOC3"/>
      </w:pPr>
      <w:hyperlink w:anchor="v9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23</w:t>
        </w:r>
      </w:hyperlink>
    </w:p>
    <w:p>
      <w:pPr>
        <w:pStyle w:val="TOC2"/>
      </w:pPr>
      <w:hyperlink w:anchor="v9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24</w:t>
        </w:r>
      </w:hyperlink>
    </w:p>
    <w:p>
      <w:pPr>
        <w:pStyle w:val="TOC3"/>
      </w:pPr>
      <w:hyperlink w:anchor="v9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25</w:t>
        </w:r>
      </w:hyperlink>
    </w:p>
    <w:p>
      <w:pPr>
        <w:pStyle w:val="TOC3"/>
      </w:pPr>
      <w:hyperlink w:anchor="v9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25</w:t>
        </w:r>
      </w:hyperlink>
    </w:p>
    <w:p>
      <w:pPr>
        <w:pStyle w:val="TOC3"/>
      </w:pPr>
      <w:hyperlink w:anchor="v9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26</w:t>
        </w:r>
      </w:hyperlink>
    </w:p>
    <w:p>
      <w:pPr>
        <w:pStyle w:val="TOC2"/>
      </w:pPr>
      <w:hyperlink w:anchor="v9_53" w:history="1">
        <w:r>
          <w:rPr>
            <w:rFonts w:ascii="Times New Roman" w:hAnsi="Times New Roman" w:eastAsia="Songti SC"/>
            <w:color w:val="000000"/>
            <w:sz w:val="22"/>
          </w:rPr>
          <w:t>3.5 算法及性质</w:t>
        </w:r>
        <w:r>
          <w:rPr>
            <w:rFonts w:ascii="Times New Roman" w:hAnsi="Times New Roman" w:eastAsia="Songti SC"/>
            <w:color w:val="000000"/>
            <w:sz w:val="22"/>
          </w:rPr>
          <w:tab/>
          <w:t>27</w:t>
        </w:r>
      </w:hyperlink>
    </w:p>
    <w:p>
      <w:pPr>
        <w:pStyle w:val="TOC3"/>
      </w:pPr>
      <w:hyperlink w:anchor="v9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27</w:t>
        </w:r>
      </w:hyperlink>
    </w:p>
    <w:p>
      <w:pPr>
        <w:pStyle w:val="TOC3"/>
      </w:pPr>
      <w:hyperlink w:anchor="v9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28</w:t>
        </w:r>
      </w:hyperlink>
    </w:p>
    <w:p>
      <w:pPr>
        <w:pStyle w:val="TOC2"/>
      </w:pPr>
      <w:hyperlink w:anchor="v9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29</w:t>
        </w:r>
      </w:hyperlink>
    </w:p>
    <w:p>
      <w:pPr>
        <w:pStyle w:val="TOC3"/>
      </w:pPr>
      <w:hyperlink w:anchor="v9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29</w:t>
        </w:r>
      </w:hyperlink>
    </w:p>
    <w:p>
      <w:pPr>
        <w:pStyle w:val="TOC3"/>
      </w:pPr>
      <w:hyperlink w:anchor="v9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30</w:t>
        </w:r>
      </w:hyperlink>
    </w:p>
    <w:p>
      <w:pPr>
        <w:pStyle w:val="TOC3"/>
      </w:pPr>
      <w:hyperlink w:anchor="v9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32</w:t>
        </w:r>
      </w:hyperlink>
    </w:p>
    <w:p>
      <w:pPr>
        <w:pStyle w:val="TOC3"/>
      </w:pPr>
      <w:hyperlink w:anchor="v9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33</w:t>
        </w:r>
      </w:hyperlink>
    </w:p>
    <w:p>
      <w:pPr>
        <w:pStyle w:val="TOC3"/>
      </w:pPr>
      <w:hyperlink w:anchor="v9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34</w:t>
        </w:r>
      </w:hyperlink>
    </w:p>
    <w:p>
      <w:pPr>
        <w:pStyle w:val="TOC2"/>
      </w:pPr>
      <w:hyperlink w:anchor="v9_62" w:history="1">
        <w:r>
          <w:rPr>
            <w:rFonts w:ascii="Times New Roman" w:hAnsi="Times New Roman" w:eastAsia="Songti SC"/>
            <w:color w:val="000000"/>
            <w:sz w:val="22"/>
          </w:rPr>
          <w:t>3.7 本章小结</w:t>
        </w:r>
        <w:r>
          <w:rPr>
            <w:rFonts w:ascii="Times New Roman" w:hAnsi="Times New Roman" w:eastAsia="Songti SC"/>
            <w:color w:val="000000"/>
            <w:sz w:val="22"/>
          </w:rPr>
          <w:tab/>
          <w:t>35</w:t>
        </w:r>
      </w:hyperlink>
    </w:p>
    <w:p>
      <w:pPr>
        <w:pStyle w:val="TOC1"/>
        <w:keepNext/>
        <w:spacing w:before="120"/>
      </w:pPr>
      <w:hyperlink w:anchor="v9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36</w:t>
        </w:r>
      </w:hyperlink>
    </w:p>
    <w:p>
      <w:pPr>
        <w:pStyle w:val="TOC2"/>
      </w:pPr>
      <w:hyperlink w:anchor="v9_64" w:history="1">
        <w:r>
          <w:rPr>
            <w:rFonts w:ascii="Times New Roman" w:hAnsi="Times New Roman" w:eastAsia="Songti SC"/>
            <w:color w:val="000000"/>
            <w:sz w:val="22"/>
          </w:rPr>
          <w:t>4.1 引言</w:t>
        </w:r>
        <w:r>
          <w:rPr>
            <w:rFonts w:ascii="Times New Roman" w:hAnsi="Times New Roman" w:eastAsia="Songti SC"/>
            <w:color w:val="000000"/>
            <w:sz w:val="22"/>
          </w:rPr>
          <w:tab/>
          <w:t>36</w:t>
        </w:r>
      </w:hyperlink>
    </w:p>
    <w:p>
      <w:pPr>
        <w:pStyle w:val="TOC2"/>
      </w:pPr>
      <w:hyperlink w:anchor="v9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38</w:t>
        </w:r>
      </w:hyperlink>
    </w:p>
    <w:p>
      <w:pPr>
        <w:pStyle w:val="TOC3"/>
      </w:pPr>
      <w:hyperlink w:anchor="v9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38</w:t>
        </w:r>
      </w:hyperlink>
    </w:p>
    <w:p>
      <w:pPr>
        <w:pStyle w:val="TOC3"/>
      </w:pPr>
      <w:hyperlink w:anchor="v9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39</w:t>
        </w:r>
      </w:hyperlink>
    </w:p>
    <w:p>
      <w:pPr>
        <w:pStyle w:val="TOC3"/>
      </w:pPr>
      <w:hyperlink w:anchor="v9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40</w:t>
        </w:r>
      </w:hyperlink>
    </w:p>
    <w:p>
      <w:pPr>
        <w:pStyle w:val="TOC3"/>
      </w:pPr>
      <w:hyperlink w:anchor="v9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40</w:t>
        </w:r>
      </w:hyperlink>
    </w:p>
    <w:p>
      <w:pPr>
        <w:pStyle w:val="TOC3"/>
      </w:pPr>
      <w:hyperlink w:anchor="v9_70"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41</w:t>
        </w:r>
      </w:hyperlink>
    </w:p>
    <w:p>
      <w:pPr>
        <w:pStyle w:val="TOC2"/>
      </w:pPr>
      <w:hyperlink w:anchor="v9_71"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41</w:t>
        </w:r>
      </w:hyperlink>
    </w:p>
    <w:p>
      <w:pPr>
        <w:pStyle w:val="TOC3"/>
      </w:pPr>
      <w:hyperlink w:anchor="v9_72"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41</w:t>
        </w:r>
      </w:hyperlink>
    </w:p>
    <w:p>
      <w:pPr>
        <w:pStyle w:val="TOC3"/>
      </w:pPr>
      <w:hyperlink w:anchor="v9_73"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42</w:t>
        </w:r>
      </w:hyperlink>
    </w:p>
    <w:p>
      <w:pPr>
        <w:pStyle w:val="TOC2"/>
      </w:pPr>
      <w:hyperlink w:anchor="v9_74"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43</w:t>
        </w:r>
      </w:hyperlink>
    </w:p>
    <w:p>
      <w:pPr>
        <w:pStyle w:val="TOC3"/>
      </w:pPr>
      <w:hyperlink w:anchor="v9_75"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43</w:t>
        </w:r>
      </w:hyperlink>
    </w:p>
    <w:p>
      <w:pPr>
        <w:pStyle w:val="TOC3"/>
      </w:pPr>
      <w:hyperlink w:anchor="v9_76"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44</w:t>
        </w:r>
      </w:hyperlink>
    </w:p>
    <w:p>
      <w:pPr>
        <w:pStyle w:val="TOC3"/>
      </w:pPr>
      <w:hyperlink w:anchor="v9_77" w:history="1">
        <w:r>
          <w:rPr>
            <w:rFonts w:ascii="Times New Roman" w:hAnsi="Times New Roman" w:eastAsia="Songti SC"/>
            <w:color w:val="000000"/>
            <w:sz w:val="22"/>
          </w:rPr>
          <w:t>4.4.3 固定计数效用</w:t>
        </w:r>
        <w:r>
          <w:rPr>
            <w:rFonts w:ascii="Times New Roman" w:hAnsi="Times New Roman" w:eastAsia="Songti SC"/>
            <w:color w:val="000000"/>
            <w:sz w:val="22"/>
          </w:rPr>
          <w:tab/>
          <w:t>44</w:t>
        </w:r>
      </w:hyperlink>
    </w:p>
    <w:p>
      <w:pPr>
        <w:pStyle w:val="TOC3"/>
      </w:pPr>
      <w:hyperlink w:anchor="v9_78"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45</w:t>
        </w:r>
      </w:hyperlink>
    </w:p>
    <w:p>
      <w:pPr>
        <w:pStyle w:val="TOC3"/>
      </w:pPr>
      <w:hyperlink w:anchor="v9_79"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45</w:t>
        </w:r>
      </w:hyperlink>
    </w:p>
    <w:p>
      <w:pPr>
        <w:pStyle w:val="TOC2"/>
      </w:pPr>
      <w:hyperlink w:anchor="v9_80" w:history="1">
        <w:r>
          <w:rPr>
            <w:rFonts w:ascii="Times New Roman" w:hAnsi="Times New Roman" w:eastAsia="Songti SC"/>
            <w:color w:val="000000"/>
            <w:sz w:val="22"/>
          </w:rPr>
          <w:t>4.5 求解算法及性质</w:t>
        </w:r>
        <w:r>
          <w:rPr>
            <w:rFonts w:ascii="Times New Roman" w:hAnsi="Times New Roman" w:eastAsia="Songti SC"/>
            <w:color w:val="000000"/>
            <w:sz w:val="22"/>
          </w:rPr>
          <w:tab/>
          <w:t>46</w:t>
        </w:r>
      </w:hyperlink>
    </w:p>
    <w:p>
      <w:pPr>
        <w:pStyle w:val="TOC3"/>
      </w:pPr>
      <w:hyperlink w:anchor="v9_81"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46</w:t>
        </w:r>
      </w:hyperlink>
    </w:p>
    <w:p>
      <w:pPr>
        <w:pStyle w:val="TOC3"/>
      </w:pPr>
      <w:hyperlink w:anchor="v9_82"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47</w:t>
        </w:r>
      </w:hyperlink>
    </w:p>
    <w:p>
      <w:pPr>
        <w:pStyle w:val="TOC3"/>
      </w:pPr>
      <w:hyperlink w:anchor="v9_83"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50</w:t>
        </w:r>
      </w:hyperlink>
    </w:p>
    <w:p>
      <w:pPr>
        <w:pStyle w:val="TOC3"/>
      </w:pPr>
      <w:hyperlink w:anchor="v9_84"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51</w:t>
        </w:r>
      </w:hyperlink>
    </w:p>
    <w:p>
      <w:pPr>
        <w:pStyle w:val="TOC3"/>
      </w:pPr>
      <w:hyperlink w:anchor="v9_85"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51</w:t>
        </w:r>
      </w:hyperlink>
    </w:p>
    <w:p>
      <w:pPr>
        <w:pStyle w:val="TOC2"/>
      </w:pPr>
      <w:hyperlink w:anchor="v9_86" w:history="1">
        <w:r>
          <w:rPr>
            <w:rFonts w:ascii="Times New Roman" w:hAnsi="Times New Roman" w:eastAsia="Songti SC"/>
            <w:color w:val="000000"/>
            <w:sz w:val="22"/>
          </w:rPr>
          <w:t>4.6 实验与分析</w:t>
        </w:r>
        <w:r>
          <w:rPr>
            <w:rFonts w:ascii="Times New Roman" w:hAnsi="Times New Roman" w:eastAsia="Songti SC"/>
            <w:color w:val="000000"/>
            <w:sz w:val="22"/>
          </w:rPr>
          <w:tab/>
          <w:t>51</w:t>
        </w:r>
      </w:hyperlink>
    </w:p>
    <w:p>
      <w:pPr>
        <w:pStyle w:val="TOC3"/>
      </w:pPr>
      <w:hyperlink w:anchor="v9_87"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52</w:t>
        </w:r>
      </w:hyperlink>
    </w:p>
    <w:p>
      <w:pPr>
        <w:pStyle w:val="TOC3"/>
      </w:pPr>
      <w:hyperlink w:anchor="v9_88"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55</w:t>
        </w:r>
      </w:hyperlink>
    </w:p>
    <w:p>
      <w:pPr>
        <w:pStyle w:val="TOC3"/>
      </w:pPr>
      <w:hyperlink w:anchor="v9_89"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56</w:t>
        </w:r>
      </w:hyperlink>
    </w:p>
    <w:p>
      <w:pPr>
        <w:pStyle w:val="TOC3"/>
      </w:pPr>
      <w:hyperlink w:anchor="v9_90"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57</w:t>
        </w:r>
      </w:hyperlink>
    </w:p>
    <w:p>
      <w:pPr>
        <w:pStyle w:val="TOC3"/>
      </w:pPr>
      <w:hyperlink w:anchor="v9_91"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58</w:t>
        </w:r>
      </w:hyperlink>
    </w:p>
    <w:p>
      <w:pPr>
        <w:pStyle w:val="TOC3"/>
      </w:pPr>
      <w:hyperlink w:anchor="v9_92" w:history="1">
        <w:r>
          <w:rPr>
            <w:rFonts w:ascii="Times New Roman" w:hAnsi="Times New Roman" w:eastAsia="Songti SC"/>
            <w:color w:val="000000"/>
            <w:sz w:val="22"/>
          </w:rPr>
          <w:t>4.6.6 案例分析</w:t>
        </w:r>
        <w:r>
          <w:rPr>
            <w:rFonts w:ascii="Times New Roman" w:hAnsi="Times New Roman" w:eastAsia="Songti SC"/>
            <w:color w:val="000000"/>
            <w:sz w:val="22"/>
          </w:rPr>
          <w:tab/>
          <w:t>61</w:t>
        </w:r>
      </w:hyperlink>
    </w:p>
    <w:p>
      <w:pPr>
        <w:pStyle w:val="TOC2"/>
      </w:pPr>
      <w:hyperlink w:anchor="v9_93" w:history="1">
        <w:r>
          <w:rPr>
            <w:rFonts w:ascii="Times New Roman" w:hAnsi="Times New Roman" w:eastAsia="Songti SC"/>
            <w:color w:val="000000"/>
            <w:sz w:val="22"/>
          </w:rPr>
          <w:t>4.7 本章小结</w:t>
        </w:r>
        <w:r>
          <w:rPr>
            <w:rFonts w:ascii="Times New Roman" w:hAnsi="Times New Roman" w:eastAsia="Songti SC"/>
            <w:color w:val="000000"/>
            <w:sz w:val="22"/>
          </w:rPr>
          <w:tab/>
          <w:t>61</w:t>
        </w:r>
      </w:hyperlink>
    </w:p>
    <w:p>
      <w:pPr>
        <w:pStyle w:val="TOC1"/>
        <w:keepNext/>
        <w:spacing w:before="120"/>
      </w:pPr>
      <w:hyperlink w:anchor="v9_94"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62</w:t>
        </w:r>
      </w:hyperlink>
    </w:p>
    <w:p>
      <w:pPr>
        <w:pStyle w:val="TOC2"/>
      </w:pPr>
      <w:hyperlink w:anchor="v9_95" w:history="1">
        <w:r>
          <w:rPr>
            <w:rFonts w:ascii="Times New Roman" w:hAnsi="Times New Roman" w:eastAsia="Songti SC"/>
            <w:color w:val="000000"/>
            <w:sz w:val="22"/>
          </w:rPr>
          <w:t>5.1 两阶段各自带来多少增量</w:t>
        </w:r>
        <w:r>
          <w:rPr>
            <w:rFonts w:ascii="Times New Roman" w:hAnsi="Times New Roman" w:eastAsia="Songti SC"/>
            <w:color w:val="000000"/>
            <w:sz w:val="22"/>
          </w:rPr>
          <w:tab/>
          <w:t>62</w:t>
        </w:r>
      </w:hyperlink>
    </w:p>
    <w:p>
      <w:pPr>
        <w:pStyle w:val="TOC2"/>
      </w:pPr>
      <w:hyperlink w:anchor="v9_96" w:history="1">
        <w:r>
          <w:rPr>
            <w:rFonts w:ascii="Times New Roman" w:hAnsi="Times New Roman" w:eastAsia="Songti SC"/>
            <w:color w:val="000000"/>
            <w:sz w:val="22"/>
          </w:rPr>
          <w:t>5.2 两阶段修复了哪些相同或不同对象</w:t>
        </w:r>
        <w:r>
          <w:rPr>
            <w:rFonts w:ascii="Times New Roman" w:hAnsi="Times New Roman" w:eastAsia="Songti SC"/>
            <w:color w:val="000000"/>
            <w:sz w:val="22"/>
          </w:rPr>
          <w:tab/>
          <w:t>63</w:t>
        </w:r>
      </w:hyperlink>
    </w:p>
    <w:p>
      <w:pPr>
        <w:pStyle w:val="TOC2"/>
      </w:pPr>
      <w:hyperlink w:anchor="v9_97" w:history="1">
        <w:r>
          <w:rPr>
            <w:rFonts w:ascii="Times New Roman" w:hAnsi="Times New Roman" w:eastAsia="Songti SC"/>
            <w:color w:val="000000"/>
            <w:sz w:val="22"/>
          </w:rPr>
          <w:t>5.3 训练如何改变修正条件</w:t>
        </w:r>
        <w:r>
          <w:rPr>
            <w:rFonts w:ascii="Times New Roman" w:hAnsi="Times New Roman" w:eastAsia="Songti SC"/>
            <w:color w:val="000000"/>
            <w:sz w:val="22"/>
          </w:rPr>
          <w:tab/>
          <w:t>64</w:t>
        </w:r>
      </w:hyperlink>
    </w:p>
    <w:p>
      <w:pPr>
        <w:pStyle w:val="TOC2"/>
      </w:pPr>
      <w:hyperlink w:anchor="v9_98" w:history="1">
        <w:r>
          <w:rPr>
            <w:rFonts w:ascii="Times New Roman" w:hAnsi="Times New Roman" w:eastAsia="Songti SC"/>
            <w:color w:val="000000"/>
            <w:sz w:val="22"/>
          </w:rPr>
          <w:t>5.4 何时值得启用修正</w:t>
        </w:r>
        <w:r>
          <w:rPr>
            <w:rFonts w:ascii="Times New Roman" w:hAnsi="Times New Roman" w:eastAsia="Songti SC"/>
            <w:color w:val="000000"/>
            <w:sz w:val="22"/>
          </w:rPr>
          <w:tab/>
          <w:t>64</w:t>
        </w:r>
      </w:hyperlink>
    </w:p>
    <w:p>
      <w:pPr>
        <w:pStyle w:val="TOC2"/>
      </w:pPr>
      <w:hyperlink w:anchor="v9_99" w:history="1">
        <w:r>
          <w:rPr>
            <w:rFonts w:ascii="Times New Roman" w:hAnsi="Times New Roman" w:eastAsia="Songti SC"/>
            <w:color w:val="000000"/>
            <w:sz w:val="22"/>
          </w:rPr>
          <w:t>5.5 最终失败发生在哪里</w:t>
        </w:r>
        <w:r>
          <w:rPr>
            <w:rFonts w:ascii="Times New Roman" w:hAnsi="Times New Roman" w:eastAsia="Songti SC"/>
            <w:color w:val="000000"/>
            <w:sz w:val="22"/>
          </w:rPr>
          <w:tab/>
          <w:t>65</w:t>
        </w:r>
      </w:hyperlink>
    </w:p>
    <w:p>
      <w:pPr>
        <w:pStyle w:val="TOC2"/>
      </w:pPr>
      <w:hyperlink w:anchor="v9_100" w:history="1">
        <w:r>
          <w:rPr>
            <w:rFonts w:ascii="Times New Roman" w:hAnsi="Times New Roman" w:eastAsia="Songti SC"/>
            <w:color w:val="000000"/>
            <w:sz w:val="22"/>
          </w:rPr>
          <w:t>5.6 本章小结</w:t>
        </w:r>
        <w:r>
          <w:rPr>
            <w:rFonts w:ascii="Times New Roman" w:hAnsi="Times New Roman" w:eastAsia="Songti SC"/>
            <w:color w:val="000000"/>
            <w:sz w:val="22"/>
          </w:rPr>
          <w:tab/>
          <w:t>66</w:t>
        </w:r>
      </w:hyperlink>
    </w:p>
    <w:p>
      <w:pPr>
        <w:pStyle w:val="TOC1"/>
        <w:keepNext/>
        <w:spacing w:before="120"/>
      </w:pPr>
      <w:hyperlink w:anchor="v9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67</w:t>
        </w:r>
      </w:hyperlink>
    </w:p>
    <w:p>
      <w:pPr>
        <w:pStyle w:val="TOC2"/>
      </w:pPr>
      <w:hyperlink w:anchor="v9_102" w:history="1">
        <w:r>
          <w:rPr>
            <w:rFonts w:ascii="Times New Roman" w:hAnsi="Times New Roman" w:eastAsia="Songti SC"/>
            <w:color w:val="000000"/>
            <w:sz w:val="22"/>
          </w:rPr>
          <w:t>6.1 研究总结</w:t>
        </w:r>
        <w:r>
          <w:rPr>
            <w:rFonts w:ascii="Times New Roman" w:hAnsi="Times New Roman" w:eastAsia="Songti SC"/>
            <w:color w:val="000000"/>
            <w:sz w:val="22"/>
          </w:rPr>
          <w:tab/>
          <w:t>67</w:t>
        </w:r>
      </w:hyperlink>
    </w:p>
    <w:p>
      <w:pPr>
        <w:pStyle w:val="TOC2"/>
      </w:pPr>
      <w:hyperlink w:anchor="v9_103" w:history="1">
        <w:r>
          <w:rPr>
            <w:rFonts w:ascii="Times New Roman" w:hAnsi="Times New Roman" w:eastAsia="Songti SC"/>
            <w:color w:val="000000"/>
            <w:sz w:val="22"/>
          </w:rPr>
          <w:t>6.2 研究局限</w:t>
        </w:r>
        <w:r>
          <w:rPr>
            <w:rFonts w:ascii="Times New Roman" w:hAnsi="Times New Roman" w:eastAsia="Songti SC"/>
            <w:color w:val="000000"/>
            <w:sz w:val="22"/>
          </w:rPr>
          <w:tab/>
          <w:t>67</w:t>
        </w:r>
      </w:hyperlink>
    </w:p>
    <w:p>
      <w:pPr>
        <w:pStyle w:val="TOC2"/>
      </w:pPr>
      <w:hyperlink w:anchor="v9_104" w:history="1">
        <w:r>
          <w:rPr>
            <w:rFonts w:ascii="Times New Roman" w:hAnsi="Times New Roman" w:eastAsia="Songti SC"/>
            <w:color w:val="000000"/>
            <w:sz w:val="22"/>
          </w:rPr>
          <w:t>6.3 后续研究方向</w:t>
        </w:r>
        <w:r>
          <w:rPr>
            <w:rFonts w:ascii="Times New Roman" w:hAnsi="Times New Roman" w:eastAsia="Songti SC"/>
            <w:color w:val="000000"/>
            <w:sz w:val="22"/>
          </w:rPr>
          <w:tab/>
          <w:t>68</w:t>
        </w:r>
      </w:hyperlink>
    </w:p>
    <w:p>
      <w:pPr>
        <w:pStyle w:val="TOC1"/>
        <w:keepNext/>
        <w:spacing w:before="120"/>
      </w:pPr>
      <w:hyperlink w:anchor="v9_105" w:history="1">
        <w:r>
          <w:rPr>
            <w:rFonts w:ascii="Times New Roman" w:hAnsi="Times New Roman" w:eastAsia="Songti SC"/>
            <w:color w:val="000000"/>
            <w:sz w:val="22"/>
          </w:rPr>
          <w:t>参考文献</w:t>
        </w:r>
        <w:r>
          <w:rPr>
            <w:rFonts w:ascii="Times New Roman" w:hAnsi="Times New Roman" w:eastAsia="Songti SC"/>
            <w:color w:val="000000"/>
            <w:sz w:val="22"/>
          </w:rPr>
          <w:tab/>
          <w:t>69</w:t>
        </w:r>
      </w:hyperlink>
    </w:p>
    <w:p>
      <w:pPr>
        <w:pStyle w:val="TOC1"/>
        <w:keepNext/>
        <w:spacing w:before="120"/>
      </w:pPr>
      <w:hyperlink w:anchor="v9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73</w:t>
        </w:r>
      </w:hyperlink>
    </w:p>
    <w:p>
      <w:pPr>
        <w:pStyle w:val="TOC2"/>
      </w:pPr>
      <w:hyperlink w:anchor="v9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73</w:t>
        </w:r>
      </w:hyperlink>
    </w:p>
    <w:p>
      <w:pPr>
        <w:pStyle w:val="TOC2"/>
      </w:pPr>
      <w:hyperlink w:anchor="v9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73</w:t>
        </w:r>
      </w:hyperlink>
    </w:p>
    <w:p>
      <w:pPr>
        <w:pStyle w:val="TOC2"/>
      </w:pPr>
      <w:hyperlink w:anchor="v9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74</w:t>
        </w:r>
      </w:hyperlink>
    </w:p>
    <w:p>
      <w:pPr>
        <w:pStyle w:val="TOC2"/>
      </w:pPr>
      <w:hyperlink w:anchor="v9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74</w:t>
        </w:r>
      </w:hyperlink>
    </w:p>
    <w:p>
      <w:pPr>
        <w:pStyle w:val="TOC2"/>
      </w:pPr>
      <w:hyperlink w:anchor="v9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75</w:t>
        </w:r>
      </w:hyperlink>
    </w:p>
    <w:p>
      <w:pPr>
        <w:pStyle w:val="TOC2"/>
      </w:pPr>
      <w:hyperlink w:anchor="v9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76</w:t>
        </w:r>
      </w:hyperlink>
    </w:p>
    <w:p>
      <w:pPr>
        <w:pStyle w:val="TOC1"/>
        <w:keepNext/>
        <w:spacing w:before="120"/>
      </w:pPr>
      <w:hyperlink w:anchor="v9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77</w:t>
        </w:r>
      </w:hyperlink>
    </w:p>
    <w:p>
      <w:pPr>
        <w:pStyle w:val="TOC2"/>
      </w:pPr>
      <w:hyperlink w:anchor="v9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77</w:t>
        </w:r>
      </w:hyperlink>
    </w:p>
    <w:p>
      <w:pPr>
        <w:pStyle w:val="TOC2"/>
      </w:pPr>
      <w:hyperlink w:anchor="v9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77</w:t>
        </w:r>
      </w:hyperlink>
    </w:p>
    <w:p>
      <w:pPr>
        <w:pStyle w:val="TOC2"/>
      </w:pPr>
      <w:hyperlink w:anchor="v9_116" w:history="1">
        <w:r>
          <w:rPr>
            <w:rFonts w:ascii="Times New Roman" w:hAnsi="Times New Roman" w:eastAsia="Songti SC"/>
            <w:color w:val="000000"/>
            <w:sz w:val="22"/>
          </w:rPr>
          <w:t>B.3 回退与预算</w:t>
        </w:r>
        <w:r>
          <w:rPr>
            <w:rFonts w:ascii="Times New Roman" w:hAnsi="Times New Roman" w:eastAsia="Songti SC"/>
            <w:color w:val="000000"/>
            <w:sz w:val="22"/>
          </w:rPr>
          <w:tab/>
          <w:t>77</w:t>
        </w:r>
      </w:hyperlink>
    </w:p>
    <w:p>
      <w:pPr>
        <w:pStyle w:val="TOC2"/>
      </w:pPr>
      <w:hyperlink w:anchor="v9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77</w:t>
        </w:r>
      </w:hyperlink>
    </w:p>
    <w:p>
      <w:pPr>
        <w:pStyle w:val="TOC3"/>
      </w:pPr>
      <w:hyperlink w:anchor="v9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77</w:t>
        </w:r>
      </w:hyperlink>
    </w:p>
    <w:p>
      <w:pPr>
        <w:pStyle w:val="TOC3"/>
      </w:pPr>
      <w:hyperlink w:anchor="v9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78</w:t>
        </w:r>
      </w:hyperlink>
    </w:p>
    <w:p>
      <w:pPr>
        <w:pStyle w:val="TOC3"/>
      </w:pPr>
      <w:hyperlink w:anchor="v9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78</w:t>
        </w:r>
      </w:hyperlink>
    </w:p>
    <w:p>
      <w:pPr>
        <w:pStyle w:val="TOC2"/>
      </w:pPr>
      <w:hyperlink w:anchor="v9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79</w:t>
        </w:r>
      </w:hyperlink>
    </w:p>
    <w:p>
      <w:pPr>
        <w:pStyle w:val="TOC2"/>
      </w:pPr>
      <w:hyperlink w:anchor="v9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79</w:t>
        </w:r>
      </w:hyperlink>
    </w:p>
    <w:p>
      <w:pPr>
        <w:pStyle w:val="TOC1"/>
        <w:keepNext/>
        <w:spacing w:before="120"/>
      </w:pPr>
      <w:hyperlink w:anchor="v9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81</w:t>
        </w:r>
      </w:hyperlink>
    </w:p>
    <w:p>
      <w:pPr>
        <w:pStyle w:val="TOC2"/>
      </w:pPr>
      <w:hyperlink w:anchor="v9_124" w:history="1">
        <w:r>
          <w:rPr>
            <w:rFonts w:ascii="Times New Roman" w:hAnsi="Times New Roman" w:eastAsia="Songti SC"/>
            <w:color w:val="000000"/>
            <w:sz w:val="22"/>
          </w:rPr>
          <w:t>C.1 前期共同成果</w:t>
        </w:r>
        <w:r>
          <w:rPr>
            <w:rFonts w:ascii="Times New Roman" w:hAnsi="Times New Roman" w:eastAsia="Songti SC"/>
            <w:color w:val="000000"/>
            <w:sz w:val="22"/>
          </w:rPr>
          <w:tab/>
          <w:t>81</w:t>
        </w:r>
      </w:hyperlink>
    </w:p>
    <w:p>
      <w:pPr>
        <w:pStyle w:val="TOC2"/>
      </w:pPr>
      <w:hyperlink w:anchor="v9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81</w:t>
        </w:r>
      </w:hyperlink>
    </w:p>
    <w:p>
      <w:pPr>
        <w:pStyle w:val="TOC2"/>
      </w:pPr>
      <w:hyperlink w:anchor="v9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81</w:t>
        </w:r>
      </w:hyperlink>
    </w:p>
    <w:p>
      <w:pPr>
        <w:pStyle w:val="TOC2"/>
      </w:pPr>
      <w:hyperlink w:anchor="v9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81</w:t>
        </w:r>
      </w:hyperlink>
    </w:p>
    <w:p>
      <w:pPr>
        <w:pStyle w:val="TOC1"/>
        <w:keepNext/>
        <w:spacing w:before="120"/>
      </w:pPr>
      <w:hyperlink w:anchor="v9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82</w:t>
        </w:r>
      </w:hyperlink>
    </w:p>
    <w:p>
      <w:pPr>
        <w:pStyle w:val="TOC2"/>
      </w:pPr>
      <w:hyperlink w:anchor="v9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82</w:t>
        </w:r>
      </w:hyperlink>
    </w:p>
    <w:p>
      <w:pPr>
        <w:pStyle w:val="TOC2"/>
      </w:pPr>
      <w:hyperlink w:anchor="v9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82</w:t>
        </w:r>
      </w:hyperlink>
    </w:p>
    <w:p>
      <w:pPr>
        <w:pStyle w:val="TOC2"/>
      </w:pPr>
      <w:hyperlink w:anchor="v9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82</w:t>
        </w:r>
      </w:hyperlink>
    </w:p>
    <w:p>
      <w:pPr>
        <w:pStyle w:val="TOC2"/>
      </w:pPr>
      <w:hyperlink w:anchor="v9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82</w:t>
        </w:r>
      </w:hyperlink>
    </w:p>
    <w:p>
      <w:pPr>
        <w:pStyle w:val="TOC2"/>
      </w:pPr>
      <w:hyperlink w:anchor="v9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83</w:t>
        </w:r>
      </w:hyperlink>
    </w:p>
    <w:p>
      <w:pPr>
        <w:pStyle w:val="TOC2"/>
      </w:pPr>
      <w:hyperlink w:anchor="v9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83</w:t>
        </w:r>
      </w:hyperlink>
    </w:p>
    <w:p>
      <w:pPr>
        <w:pStyle w:val="TOC1"/>
        <w:keepNext/>
        <w:spacing w:before="120"/>
      </w:pPr>
      <w:hyperlink w:anchor="v9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85</w:t>
        </w:r>
      </w:hyperlink>
    </w:p>
    <w:p>
      <w:pPr>
        <w:pStyle w:val="TOC2"/>
      </w:pPr>
      <w:hyperlink w:anchor="v9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85</w:t>
        </w:r>
      </w:hyperlink>
    </w:p>
    <w:p>
      <w:pPr>
        <w:pStyle w:val="TOC2"/>
      </w:pPr>
      <w:hyperlink w:anchor="v9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85</w:t>
        </w:r>
      </w:hyperlink>
    </w:p>
    <w:p>
      <w:pPr>
        <w:pStyle w:val="TOC2"/>
      </w:pPr>
      <w:hyperlink w:anchor="v9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86</w:t>
        </w:r>
      </w:hyperlink>
    </w:p>
    <w:p>
      <w:pPr>
        <w:pStyle w:val="TOC2"/>
      </w:pPr>
      <w:hyperlink w:anchor="v9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86</w:t>
        </w:r>
      </w:hyperlink>
    </w:p>
    <w:p>
      <w:pPr>
        <w:pStyle w:val="TOC2"/>
      </w:pPr>
      <w:hyperlink w:anchor="v9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87</w:t>
        </w:r>
      </w:hyperlink>
    </w:p>
    <w:p>
      <w:pPr>
        <w:pStyle w:val="TOC2"/>
      </w:pPr>
      <w:hyperlink w:anchor="v9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87</w:t>
        </w:r>
      </w:hyperlink>
    </w:p>
    <w:p>
      <w:pPr>
        <w:pStyle w:val="TOC2"/>
      </w:pPr>
      <w:hyperlink w:anchor="v9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87</w:t>
        </w:r>
      </w:hyperlink>
    </w:p>
    <w:p>
      <w:pPr>
        <w:pStyle w:val="TOC2"/>
      </w:pPr>
      <w:hyperlink w:anchor="v9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88</w:t>
        </w:r>
      </w:hyperlink>
    </w:p>
    <w:p>
      <w:pPr>
        <w:pStyle w:val="TOC2"/>
      </w:pPr>
      <w:hyperlink w:anchor="v9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89</w:t>
        </w:r>
      </w:hyperlink>
    </w:p>
    <w:p>
      <w:pPr>
        <w:pStyle w:val="TOC1"/>
        <w:keepNext/>
        <w:spacing w:before="120"/>
      </w:pPr>
      <w:hyperlink w:anchor="v9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90</w:t>
        </w:r>
      </w:hyperlink>
    </w:p>
    <w:p>
      <w:pPr>
        <w:pStyle w:val="TOC2"/>
      </w:pPr>
      <w:hyperlink w:anchor="v9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90</w:t>
        </w:r>
      </w:hyperlink>
    </w:p>
    <w:p>
      <w:pPr>
        <w:pStyle w:val="TOC2"/>
      </w:pPr>
      <w:hyperlink w:anchor="v9_147" w:history="1">
        <w:r>
          <w:rPr>
            <w:rFonts w:ascii="Times New Roman" w:hAnsi="Times New Roman" w:eastAsia="Songti SC"/>
            <w:color w:val="000000"/>
            <w:sz w:val="22"/>
          </w:rPr>
          <w:t>F.2 实现接口补充</w:t>
        </w:r>
        <w:r>
          <w:rPr>
            <w:rFonts w:ascii="Times New Roman" w:hAnsi="Times New Roman" w:eastAsia="Songti SC"/>
            <w:color w:val="000000"/>
            <w:sz w:val="22"/>
          </w:rPr>
          <w:tab/>
          <w:t>91</w:t>
        </w:r>
      </w:hyperlink>
    </w:p>
    <w:p>
      <w:pPr>
        <w:pStyle w:val="TOC2"/>
      </w:pPr>
      <w:hyperlink w:anchor="v9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92</w:t>
        </w:r>
      </w:hyperlink>
    </w:p>
    <w:p>
      <w:pPr>
        <w:pStyle w:val="TOC1"/>
        <w:keepNext/>
        <w:spacing w:before="120"/>
      </w:pPr>
      <w:hyperlink w:anchor="v9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93</w:t>
        </w:r>
      </w:hyperlink>
    </w:p>
    <w:p>
      <w:pPr>
        <w:pStyle w:val="TOC2"/>
      </w:pPr>
      <w:hyperlink w:anchor="v9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93</w:t>
        </w:r>
      </w:hyperlink>
    </w:p>
    <w:p>
      <w:pPr>
        <w:pStyle w:val="TOC2"/>
      </w:pPr>
      <w:hyperlink w:anchor="v9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94</w:t>
        </w:r>
      </w:hyperlink>
    </w:p>
    <w:p>
      <w:pPr>
        <w:pStyle w:val="TOC2"/>
      </w:pPr>
      <w:hyperlink w:anchor="v9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94</w:t>
        </w:r>
      </w:hyperlink>
    </w:p>
    <w:p>
      <w:pPr>
        <w:pStyle w:val="TOC2"/>
      </w:pPr>
      <w:hyperlink w:anchor="v9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95</w:t>
        </w:r>
      </w:hyperlink>
    </w:p>
    <w:p>
      <w:pPr>
        <w:pStyle w:val="TOC1"/>
        <w:keepNext/>
        <w:spacing w:before="120"/>
      </w:pPr>
      <w:hyperlink w:anchor="v9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96</w:t>
        </w:r>
      </w:hyperlink>
    </w:p>
    <w:p>
      <w:pPr>
        <w:pStyle w:val="TOC2"/>
      </w:pPr>
      <w:hyperlink w:anchor="v9_155" w:history="1">
        <w:r>
          <w:rPr>
            <w:rFonts w:ascii="Times New Roman" w:hAnsi="Times New Roman" w:eastAsia="Songti SC"/>
            <w:color w:val="000000"/>
            <w:sz w:val="22"/>
          </w:rPr>
          <w:t>H.1 训练侧问题规模与初始错误</w:t>
        </w:r>
        <w:r>
          <w:rPr>
            <w:rFonts w:ascii="Times New Roman" w:hAnsi="Times New Roman" w:eastAsia="Songti SC"/>
            <w:color w:val="000000"/>
            <w:sz w:val="22"/>
          </w:rPr>
          <w:tab/>
          <w:t>96</w:t>
        </w:r>
      </w:hyperlink>
    </w:p>
    <w:p>
      <w:pPr>
        <w:pStyle w:val="TOC2"/>
      </w:pPr>
      <w:hyperlink w:anchor="v9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96</w:t>
        </w:r>
      </w:hyperlink>
    </w:p>
    <w:p>
      <w:pPr>
        <w:pStyle w:val="TOC2"/>
      </w:pPr>
      <w:hyperlink w:anchor="v9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97</w:t>
        </w:r>
      </w:hyperlink>
    </w:p>
    <w:p>
      <w:pPr>
        <w:pStyle w:val="TOC2"/>
      </w:pPr>
      <w:hyperlink w:anchor="v9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98</w:t>
        </w:r>
      </w:hyperlink>
    </w:p>
    <w:p>
      <w:pPr>
        <w:pStyle w:val="TOC2"/>
      </w:pPr>
      <w:hyperlink w:anchor="v9_159" w:history="1">
        <w:r>
          <w:rPr>
            <w:rFonts w:ascii="Times New Roman" w:hAnsi="Times New Roman" w:eastAsia="Songti SC"/>
            <w:color w:val="000000"/>
            <w:sz w:val="22"/>
          </w:rPr>
          <w:t>H.5 从模拟情景替换为真实证据的顺序</w:t>
        </w:r>
        <w:r>
          <w:rPr>
            <w:rFonts w:ascii="Times New Roman" w:hAnsi="Times New Roman" w:eastAsia="Songti SC"/>
            <w:color w:val="000000"/>
            <w:sz w:val="22"/>
          </w:rPr>
          <w:tab/>
          <w:t>98</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9_160"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9_162"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7</w:t>
        </w:r>
      </w:hyperlink>
    </w:p>
    <w:p>
      <w:pPr>
        <w:pStyle w:val="FigureList"/>
      </w:pPr>
      <w:hyperlink w:anchor="v9_166"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17</w:t>
        </w:r>
      </w:hyperlink>
    </w:p>
    <w:p>
      <w:pPr>
        <w:pStyle w:val="FigureList"/>
      </w:pPr>
      <w:hyperlink w:anchor="v9_169"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21</w:t>
        </w:r>
      </w:hyperlink>
    </w:p>
    <w:p>
      <w:pPr>
        <w:pStyle w:val="FigureList"/>
      </w:pPr>
      <w:hyperlink w:anchor="v9_170"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24</w:t>
        </w:r>
      </w:hyperlink>
    </w:p>
    <w:p>
      <w:pPr>
        <w:pStyle w:val="FigureList"/>
      </w:pPr>
      <w:hyperlink w:anchor="v9_178" w:history="1">
        <w:r>
          <w:rPr>
            <w:rFonts w:ascii="Times New Roman" w:hAnsi="Times New Roman" w:eastAsia="Songti SC"/>
            <w:color w:val="000000"/>
            <w:sz w:val="22"/>
          </w:rPr>
          <w:t>图3-3 训练方案与学习目标的严格关系结果（人工情景）</w:t>
        </w:r>
        <w:r>
          <w:rPr>
            <w:rFonts w:ascii="Times New Roman" w:hAnsi="Times New Roman" w:eastAsia="Songti SC"/>
            <w:color w:val="000000"/>
            <w:sz w:val="22"/>
          </w:rPr>
          <w:tab/>
          <w:t>33</w:t>
        </w:r>
      </w:hyperlink>
    </w:p>
    <w:p>
      <w:pPr>
        <w:pStyle w:val="FigureList"/>
      </w:pPr>
      <w:hyperlink w:anchor="v9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38</w:t>
        </w:r>
      </w:hyperlink>
    </w:p>
    <w:p>
      <w:pPr>
        <w:pStyle w:val="FigureList"/>
      </w:pPr>
      <w:hyperlink w:anchor="v9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50</w:t>
        </w:r>
      </w:hyperlink>
    </w:p>
    <w:p>
      <w:pPr>
        <w:pStyle w:val="FigureList"/>
      </w:pPr>
      <w:hyperlink w:anchor="v9_194" w:history="1">
        <w:r>
          <w:rPr>
            <w:rFonts w:ascii="Times New Roman" w:hAnsi="Times New Roman" w:eastAsia="Songti SC"/>
            <w:color w:val="000000"/>
            <w:sz w:val="22"/>
          </w:rPr>
          <w:t>图4-3 联合修正中的关系恢复与原真阳性损失（人工情景）</w:t>
        </w:r>
        <w:r>
          <w:rPr>
            <w:rFonts w:ascii="Times New Roman" w:hAnsi="Times New Roman" w:eastAsia="Songti SC"/>
            <w:color w:val="000000"/>
            <w:sz w:val="22"/>
          </w:rPr>
          <w:tab/>
          <w:t>59</w:t>
        </w:r>
      </w:hyperlink>
    </w:p>
    <w:p>
      <w:pPr>
        <w:pStyle w:val="FigureList"/>
      </w:pPr>
      <w:hyperlink w:anchor="v9_196" w:history="1">
        <w:r>
          <w:rPr>
            <w:rFonts w:ascii="Times New Roman" w:hAnsi="Times New Roman" w:eastAsia="Songti SC"/>
            <w:color w:val="000000"/>
            <w:sz w:val="22"/>
          </w:rPr>
          <w:t>图4-4 外层轮数增加时的结果与时间变化（人工情景）</w:t>
        </w:r>
        <w:r>
          <w:rPr>
            <w:rFonts w:ascii="Times New Roman" w:hAnsi="Times New Roman" w:eastAsia="Songti SC"/>
            <w:color w:val="000000"/>
            <w:sz w:val="22"/>
          </w:rPr>
          <w:tab/>
          <w:t>60</w:t>
        </w:r>
      </w:hyperlink>
    </w:p>
    <w:p>
      <w:pPr>
        <w:pStyle w:val="FigureList"/>
      </w:pPr>
      <w:hyperlink w:anchor="v9_200" w:history="1">
        <w:r>
          <w:rPr>
            <w:rFonts w:ascii="Times New Roman" w:hAnsi="Times New Roman" w:eastAsia="Songti SC"/>
            <w:color w:val="000000"/>
            <w:sz w:val="22"/>
          </w:rPr>
          <w:t>图5-1 两个训练条件下的推理增量与交互关系（人工情景）</w:t>
        </w:r>
        <w:r>
          <w:rPr>
            <w:rFonts w:ascii="Times New Roman" w:hAnsi="Times New Roman" w:eastAsia="Songti SC"/>
            <w:color w:val="000000"/>
            <w:sz w:val="22"/>
          </w:rPr>
          <w:tab/>
          <w:t>63</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9_161"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6</w:t>
        </w:r>
      </w:hyperlink>
    </w:p>
    <w:p>
      <w:pPr>
        <w:pStyle w:val="TableList"/>
      </w:pPr>
      <w:hyperlink w:anchor="v9_163"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9_164"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11</w:t>
        </w:r>
      </w:hyperlink>
    </w:p>
    <w:p>
      <w:pPr>
        <w:pStyle w:val="TableList"/>
      </w:pPr>
      <w:hyperlink w:anchor="v9_165" w:history="1">
        <w:r>
          <w:rPr>
            <w:rFonts w:ascii="Times New Roman" w:hAnsi="Times New Roman" w:eastAsia="Songti SC"/>
            <w:color w:val="000000"/>
            <w:sz w:val="22"/>
          </w:rPr>
          <w:t>表2-2 公共配置与评价规模（人工情景）</w:t>
        </w:r>
        <w:r>
          <w:rPr>
            <w:rFonts w:ascii="Times New Roman" w:hAnsi="Times New Roman" w:eastAsia="Songti SC"/>
            <w:color w:val="000000"/>
            <w:sz w:val="22"/>
          </w:rPr>
          <w:tab/>
          <w:t>15</w:t>
        </w:r>
      </w:hyperlink>
    </w:p>
    <w:p>
      <w:pPr>
        <w:pStyle w:val="TableList"/>
      </w:pPr>
      <w:hyperlink w:anchor="v9_167" w:history="1">
        <w:r>
          <w:rPr>
            <w:rFonts w:ascii="Times New Roman" w:hAnsi="Times New Roman" w:eastAsia="Songti SC"/>
            <w:color w:val="000000"/>
            <w:sz w:val="22"/>
          </w:rPr>
          <w:t>表3-1 训练侧诊断与方法响应（诊断方案）</w:t>
        </w:r>
        <w:r>
          <w:rPr>
            <w:rFonts w:ascii="Times New Roman" w:hAnsi="Times New Roman" w:eastAsia="Songti SC"/>
            <w:color w:val="000000"/>
            <w:sz w:val="22"/>
          </w:rPr>
          <w:tab/>
          <w:t>18</w:t>
        </w:r>
      </w:hyperlink>
    </w:p>
    <w:p>
      <w:pPr>
        <w:pStyle w:val="TableList"/>
      </w:pPr>
      <w:hyperlink w:anchor="v9_168" w:history="1">
        <w:r>
          <w:rPr>
            <w:rFonts w:ascii="Times New Roman" w:hAnsi="Times New Roman" w:eastAsia="Songti SC"/>
            <w:color w:val="000000"/>
            <w:sz w:val="22"/>
          </w:rPr>
          <w:t>表3-2 关系保持改写的组件示意</w:t>
        </w:r>
        <w:r>
          <w:rPr>
            <w:rFonts w:ascii="Times New Roman" w:hAnsi="Times New Roman" w:eastAsia="Songti SC"/>
            <w:color w:val="000000"/>
            <w:sz w:val="22"/>
          </w:rPr>
          <w:tab/>
          <w:t>20</w:t>
        </w:r>
      </w:hyperlink>
    </w:p>
    <w:p>
      <w:pPr>
        <w:pStyle w:val="TableList"/>
      </w:pPr>
      <w:hyperlink w:anchor="v9_172" w:history="1">
        <w:r>
          <w:rPr>
            <w:rFonts w:ascii="Times New Roman" w:hAnsi="Times New Roman" w:eastAsia="Songti SC"/>
            <w:color w:val="000000"/>
            <w:sz w:val="22"/>
          </w:rPr>
          <w:t>表3-3 训练侧对照与归因条件</w:t>
        </w:r>
        <w:r>
          <w:rPr>
            <w:rFonts w:ascii="Times New Roman" w:hAnsi="Times New Roman" w:eastAsia="Songti SC"/>
            <w:color w:val="000000"/>
            <w:sz w:val="22"/>
          </w:rPr>
          <w:tab/>
          <w:t>29</w:t>
        </w:r>
      </w:hyperlink>
    </w:p>
    <w:p>
      <w:pPr>
        <w:pStyle w:val="TableList"/>
      </w:pPr>
      <w:hyperlink w:anchor="v9_173" w:history="1">
        <w:r>
          <w:rPr>
            <w:rFonts w:ascii="Times New Roman" w:hAnsi="Times New Roman" w:eastAsia="Songti SC"/>
            <w:color w:val="000000"/>
            <w:sz w:val="22"/>
          </w:rPr>
          <w:t>表3-4 接受样本的标签漂移率（%）（人工情景）</w:t>
        </w:r>
        <w:r>
          <w:rPr>
            <w:rFonts w:ascii="Times New Roman" w:hAnsi="Times New Roman" w:eastAsia="Songti SC"/>
            <w:color w:val="000000"/>
            <w:sz w:val="22"/>
          </w:rPr>
          <w:tab/>
          <w:t>30</w:t>
        </w:r>
      </w:hyperlink>
    </w:p>
    <w:p>
      <w:pPr>
        <w:pStyle w:val="TableList"/>
      </w:pPr>
      <w:hyperlink w:anchor="v9_174" w:history="1">
        <w:r>
          <w:rPr>
            <w:rFonts w:ascii="Times New Roman" w:hAnsi="Times New Roman" w:eastAsia="Songti SC"/>
            <w:color w:val="000000"/>
            <w:sz w:val="22"/>
          </w:rPr>
          <w:t>表3-5 接受与拒绝样本的因素漂移审计（人工情景）</w:t>
        </w:r>
        <w:r>
          <w:rPr>
            <w:rFonts w:ascii="Times New Roman" w:hAnsi="Times New Roman" w:eastAsia="Songti SC"/>
            <w:color w:val="000000"/>
            <w:sz w:val="22"/>
          </w:rPr>
          <w:tab/>
          <w:t>31</w:t>
        </w:r>
      </w:hyperlink>
    </w:p>
    <w:p>
      <w:pPr>
        <w:pStyle w:val="TableList"/>
      </w:pPr>
      <w:hyperlink w:anchor="v9_175" w:history="1">
        <w:r>
          <w:rPr>
            <w:rFonts w:ascii="Times New Roman" w:hAnsi="Times New Roman" w:eastAsia="Songti SC"/>
            <w:color w:val="000000"/>
            <w:sz w:val="22"/>
          </w:rPr>
          <w:t>表3-6 表达变化与选择偏向的检查项目（诊断方案）</w:t>
        </w:r>
        <w:r>
          <w:rPr>
            <w:rFonts w:ascii="Times New Roman" w:hAnsi="Times New Roman" w:eastAsia="Songti SC"/>
            <w:color w:val="000000"/>
            <w:sz w:val="22"/>
          </w:rPr>
          <w:tab/>
          <w:t>32</w:t>
        </w:r>
      </w:hyperlink>
    </w:p>
    <w:p>
      <w:pPr>
        <w:pStyle w:val="TableList"/>
      </w:pPr>
      <w:hyperlink w:anchor="v9_176" w:history="1">
        <w:r>
          <w:rPr>
            <w:rFonts w:ascii="Times New Roman" w:hAnsi="Times New Roman" w:eastAsia="Songti SC"/>
            <w:color w:val="000000"/>
            <w:sz w:val="22"/>
          </w:rPr>
          <w:t>表3-7 训练方案的严格抽取结果（匹配训练规模）（人工情景）</w:t>
        </w:r>
        <w:r>
          <w:rPr>
            <w:rFonts w:ascii="Times New Roman" w:hAnsi="Times New Roman" w:eastAsia="Songti SC"/>
            <w:color w:val="000000"/>
            <w:sz w:val="22"/>
          </w:rPr>
          <w:tab/>
          <w:t>32</w:t>
        </w:r>
      </w:hyperlink>
    </w:p>
    <w:p>
      <w:pPr>
        <w:pStyle w:val="TableList"/>
      </w:pPr>
      <w:hyperlink w:anchor="v9_177" w:history="1">
        <w:r>
          <w:rPr>
            <w:rFonts w:ascii="Times New Roman" w:hAnsi="Times New Roman" w:eastAsia="Songti SC"/>
            <w:color w:val="000000"/>
            <w:sz w:val="22"/>
          </w:rPr>
          <w:t>表3-8 相同增强集合上的学习目标比较（匹配训练规模）（人工情景）</w:t>
        </w:r>
        <w:r>
          <w:rPr>
            <w:rFonts w:ascii="Times New Roman" w:hAnsi="Times New Roman" w:eastAsia="Songti SC"/>
            <w:color w:val="000000"/>
            <w:sz w:val="22"/>
          </w:rPr>
          <w:tab/>
          <w:t>33</w:t>
        </w:r>
      </w:hyperlink>
    </w:p>
    <w:p>
      <w:pPr>
        <w:pStyle w:val="TableList"/>
      </w:pPr>
      <w:hyperlink w:anchor="v9_179" w:history="1">
        <w:r>
          <w:rPr>
            <w:rFonts w:ascii="Times New Roman" w:hAnsi="Times New Roman" w:eastAsia="Songti SC"/>
            <w:color w:val="000000"/>
            <w:sz w:val="22"/>
          </w:rPr>
          <w:t>表3-9 中心匹配的有效覆盖与自匹配（人工情景）</w:t>
        </w:r>
        <w:r>
          <w:rPr>
            <w:rFonts w:ascii="Times New Roman" w:hAnsi="Times New Roman" w:eastAsia="Songti SC"/>
            <w:color w:val="000000"/>
            <w:sz w:val="22"/>
          </w:rPr>
          <w:tab/>
          <w:t>34</w:t>
        </w:r>
      </w:hyperlink>
    </w:p>
    <w:p>
      <w:pPr>
        <w:pStyle w:val="TableList"/>
      </w:pPr>
      <w:hyperlink w:anchor="v9_180" w:history="1">
        <w:r>
          <w:rPr>
            <w:rFonts w:ascii="Times New Roman" w:hAnsi="Times New Roman" w:eastAsia="Songti SC"/>
            <w:color w:val="000000"/>
            <w:sz w:val="22"/>
          </w:rPr>
          <w:t>表3-10 结论中心与匹配随机中心的比较（匹配训练规模）（人工情景）</w:t>
        </w:r>
        <w:r>
          <w:rPr>
            <w:rFonts w:ascii="Times New Roman" w:hAnsi="Times New Roman" w:eastAsia="Songti SC"/>
            <w:color w:val="000000"/>
            <w:sz w:val="22"/>
          </w:rPr>
          <w:tab/>
          <w:t>34</w:t>
        </w:r>
      </w:hyperlink>
    </w:p>
    <w:p>
      <w:pPr>
        <w:pStyle w:val="TableList"/>
      </w:pPr>
      <w:hyperlink w:anchor="v9_181" w:history="1">
        <w:r>
          <w:rPr>
            <w:rFonts w:ascii="Times New Roman" w:hAnsi="Times New Roman" w:eastAsia="Songti SC"/>
            <w:color w:val="000000"/>
            <w:sz w:val="22"/>
          </w:rPr>
          <w:t>表3-11 固定尝试预算下的覆盖与构造成本（人工情景）</w:t>
        </w:r>
        <w:r>
          <w:rPr>
            <w:rFonts w:ascii="Times New Roman" w:hAnsi="Times New Roman" w:eastAsia="Songti SC"/>
            <w:color w:val="000000"/>
            <w:sz w:val="22"/>
          </w:rPr>
          <w:tab/>
          <w:t>34</w:t>
        </w:r>
      </w:hyperlink>
    </w:p>
    <w:p>
      <w:pPr>
        <w:pStyle w:val="TableList"/>
      </w:pPr>
      <w:hyperlink w:anchor="v9_182" w:history="1">
        <w:r>
          <w:rPr>
            <w:rFonts w:ascii="Times New Roman" w:hAnsi="Times New Roman" w:eastAsia="Songti SC"/>
            <w:color w:val="000000"/>
            <w:sz w:val="22"/>
          </w:rPr>
          <w:t>表4-1 初始错误诊断与恢复条件（诊断方案）</w:t>
        </w:r>
        <w:r>
          <w:rPr>
            <w:rFonts w:ascii="Times New Roman" w:hAnsi="Times New Roman" w:eastAsia="Songti SC"/>
            <w:color w:val="000000"/>
            <w:sz w:val="22"/>
          </w:rPr>
          <w:tab/>
          <w:t>36</w:t>
        </w:r>
      </w:hyperlink>
    </w:p>
    <w:p>
      <w:pPr>
        <w:pStyle w:val="TableList"/>
      </w:pPr>
      <w:hyperlink w:anchor="v9_187" w:history="1">
        <w:r>
          <w:rPr>
            <w:rFonts w:ascii="Times New Roman" w:hAnsi="Times New Roman" w:eastAsia="Songti SC"/>
            <w:color w:val="000000"/>
            <w:sz w:val="22"/>
          </w:rPr>
          <w:t>表4-2 推理方法的修改对象与决策接口</w:t>
        </w:r>
        <w:r>
          <w:rPr>
            <w:rFonts w:ascii="Times New Roman" w:hAnsi="Times New Roman" w:eastAsia="Songti SC"/>
            <w:color w:val="000000"/>
            <w:sz w:val="22"/>
          </w:rPr>
          <w:tab/>
          <w:t>53</w:t>
        </w:r>
      </w:hyperlink>
    </w:p>
    <w:p>
      <w:pPr>
        <w:pStyle w:val="TableList"/>
      </w:pPr>
      <w:hyperlink w:anchor="v9_188" w:history="1">
        <w:r>
          <w:rPr>
            <w:rFonts w:ascii="Times New Roman" w:hAnsi="Times New Roman" w:eastAsia="Songti SC"/>
            <w:color w:val="000000"/>
            <w:sz w:val="22"/>
          </w:rPr>
          <w:t>表4-3 推理侧对照及归因</w:t>
        </w:r>
        <w:r>
          <w:rPr>
            <w:rFonts w:ascii="Times New Roman" w:hAnsi="Times New Roman" w:eastAsia="Songti SC"/>
            <w:color w:val="000000"/>
            <w:sz w:val="22"/>
          </w:rPr>
          <w:tab/>
          <w:t>54</w:t>
        </w:r>
      </w:hyperlink>
    </w:p>
    <w:p>
      <w:pPr>
        <w:pStyle w:val="TableList"/>
      </w:pPr>
      <w:hyperlink w:anchor="v9_189" w:history="1">
        <w:r>
          <w:rPr>
            <w:rFonts w:ascii="Times New Roman" w:hAnsi="Times New Roman" w:eastAsia="Songti SC"/>
            <w:color w:val="000000"/>
            <w:sz w:val="22"/>
          </w:rPr>
          <w:t>表4-4 推理方法的严格抽取结果（人工情景）</w:t>
        </w:r>
        <w:r>
          <w:rPr>
            <w:rFonts w:ascii="Times New Roman" w:hAnsi="Times New Roman" w:eastAsia="Songti SC"/>
            <w:color w:val="000000"/>
            <w:sz w:val="22"/>
          </w:rPr>
          <w:tab/>
          <w:t>55</w:t>
        </w:r>
      </w:hyperlink>
    </w:p>
    <w:p>
      <w:pPr>
        <w:pStyle w:val="TableList"/>
      </w:pPr>
      <w:hyperlink w:anchor="v9_190" w:history="1">
        <w:r>
          <w:rPr>
            <w:rFonts w:ascii="Times New Roman" w:hAnsi="Times New Roman" w:eastAsia="Songti SC"/>
            <w:color w:val="000000"/>
            <w:sz w:val="22"/>
          </w:rPr>
          <w:t>表4-5 从完整组件到完整关系的候选覆盖（人工情景）</w:t>
        </w:r>
        <w:r>
          <w:rPr>
            <w:rFonts w:ascii="Times New Roman" w:hAnsi="Times New Roman" w:eastAsia="Songti SC"/>
            <w:color w:val="000000"/>
            <w:sz w:val="22"/>
          </w:rPr>
          <w:tab/>
          <w:t>56</w:t>
        </w:r>
      </w:hyperlink>
    </w:p>
    <w:p>
      <w:pPr>
        <w:pStyle w:val="TableList"/>
      </w:pPr>
      <w:hyperlink w:anchor="v9_191" w:history="1">
        <w:r>
          <w:rPr>
            <w:rFonts w:ascii="Times New Roman" w:hAnsi="Times New Roman" w:eastAsia="Songti SC"/>
            <w:color w:val="000000"/>
            <w:sz w:val="22"/>
          </w:rPr>
          <w:t>表4-6 三类恢复空间的关系计数诊断（人工情景）</w:t>
        </w:r>
        <w:r>
          <w:rPr>
            <w:rFonts w:ascii="Times New Roman" w:hAnsi="Times New Roman" w:eastAsia="Songti SC"/>
            <w:color w:val="000000"/>
            <w:sz w:val="22"/>
          </w:rPr>
          <w:tab/>
          <w:t>57</w:t>
        </w:r>
      </w:hyperlink>
    </w:p>
    <w:p>
      <w:pPr>
        <w:pStyle w:val="TableList"/>
      </w:pPr>
      <w:hyperlink w:anchor="v9_192" w:history="1">
        <w:r>
          <w:rPr>
            <w:rFonts w:ascii="Times New Roman" w:hAnsi="Times New Roman" w:eastAsia="Songti SC"/>
            <w:color w:val="000000"/>
            <w:sz w:val="22"/>
          </w:rPr>
          <w:t>表4-7 完整对象评分的区分与校准（人工情景）</w:t>
        </w:r>
        <w:r>
          <w:rPr>
            <w:rFonts w:ascii="Times New Roman" w:hAnsi="Times New Roman" w:eastAsia="Songti SC"/>
            <w:color w:val="000000"/>
            <w:sz w:val="22"/>
          </w:rPr>
          <w:tab/>
          <w:t>58</w:t>
        </w:r>
      </w:hyperlink>
    </w:p>
    <w:p>
      <w:pPr>
        <w:pStyle w:val="TableList"/>
      </w:pPr>
      <w:hyperlink w:anchor="v9_193" w:history="1">
        <w:r>
          <w:rPr>
            <w:rFonts w:ascii="Times New Roman" w:hAnsi="Times New Roman" w:eastAsia="Songti SC"/>
            <w:color w:val="000000"/>
            <w:sz w:val="22"/>
          </w:rPr>
          <w:t>表4-8 关系恢复与误改的累计计数（人工情景）</w:t>
        </w:r>
        <w:r>
          <w:rPr>
            <w:rFonts w:ascii="Times New Roman" w:hAnsi="Times New Roman" w:eastAsia="Songti SC"/>
            <w:color w:val="000000"/>
            <w:sz w:val="22"/>
          </w:rPr>
          <w:tab/>
          <w:t>58</w:t>
        </w:r>
      </w:hyperlink>
    </w:p>
    <w:p>
      <w:pPr>
        <w:pStyle w:val="TableList"/>
      </w:pPr>
      <w:hyperlink w:anchor="v9_195" w:history="1">
        <w:r>
          <w:rPr>
            <w:rFonts w:ascii="Times New Roman" w:hAnsi="Times New Roman" w:eastAsia="Songti SC"/>
            <w:color w:val="000000"/>
            <w:sz w:val="22"/>
          </w:rPr>
          <w:t>表4-9 推理成本与预算取舍（人工情景）</w:t>
        </w:r>
        <w:r>
          <w:rPr>
            <w:rFonts w:ascii="Times New Roman" w:hAnsi="Times New Roman" w:eastAsia="Songti SC"/>
            <w:color w:val="000000"/>
            <w:sz w:val="22"/>
          </w:rPr>
          <w:tab/>
          <w:t>59</w:t>
        </w:r>
      </w:hyperlink>
    </w:p>
    <w:p>
      <w:pPr>
        <w:pStyle w:val="TableList"/>
      </w:pPr>
      <w:hyperlink w:anchor="v9_197" w:history="1">
        <w:r>
          <w:rPr>
            <w:rFonts w:ascii="Times New Roman" w:hAnsi="Times New Roman" w:eastAsia="Songti SC"/>
            <w:color w:val="000000"/>
            <w:sz w:val="22"/>
          </w:rPr>
          <w:t>表4-10 结构恢复与失败案例（人工情景）</w:t>
        </w:r>
        <w:r>
          <w:rPr>
            <w:rFonts w:ascii="Times New Roman" w:hAnsi="Times New Roman" w:eastAsia="Songti SC"/>
            <w:color w:val="000000"/>
            <w:sz w:val="22"/>
          </w:rPr>
          <w:tab/>
          <w:t>61</w:t>
        </w:r>
      </w:hyperlink>
    </w:p>
    <w:p>
      <w:pPr>
        <w:pStyle w:val="TableList"/>
      </w:pPr>
      <w:hyperlink w:anchor="v9_198" w:history="1">
        <w:r>
          <w:rPr>
            <w:rFonts w:ascii="Times New Roman" w:hAnsi="Times New Roman" w:eastAsia="Songti SC"/>
            <w:color w:val="000000"/>
            <w:sz w:val="22"/>
          </w:rPr>
          <w:t>表5-1 两阶段组合的四格结果（人工情景）</w:t>
        </w:r>
        <w:r>
          <w:rPr>
            <w:rFonts w:ascii="Times New Roman" w:hAnsi="Times New Roman" w:eastAsia="Songti SC"/>
            <w:color w:val="000000"/>
            <w:sz w:val="22"/>
          </w:rPr>
          <w:tab/>
          <w:t>62</w:t>
        </w:r>
      </w:hyperlink>
    </w:p>
    <w:p>
      <w:pPr>
        <w:pStyle w:val="TableList"/>
      </w:pPr>
      <w:hyperlink w:anchor="v9_199" w:history="1">
        <w:r>
          <w:rPr>
            <w:rFonts w:ascii="Times New Roman" w:hAnsi="Times New Roman" w:eastAsia="Songti SC"/>
            <w:color w:val="000000"/>
            <w:sz w:val="22"/>
          </w:rPr>
          <w:t>表5-2 条件增量与交互差（人工情景）</w:t>
        </w:r>
        <w:r>
          <w:rPr>
            <w:rFonts w:ascii="Times New Roman" w:hAnsi="Times New Roman" w:eastAsia="Songti SC"/>
            <w:color w:val="000000"/>
            <w:sz w:val="22"/>
          </w:rPr>
          <w:tab/>
          <w:t>62</w:t>
        </w:r>
      </w:hyperlink>
    </w:p>
    <w:p>
      <w:pPr>
        <w:pStyle w:val="TableList"/>
      </w:pPr>
      <w:hyperlink w:anchor="v9_201" w:history="1">
        <w:r>
          <w:rPr>
            <w:rFonts w:ascii="Times New Roman" w:hAnsi="Times New Roman" w:eastAsia="Songti SC"/>
            <w:color w:val="000000"/>
            <w:sz w:val="22"/>
          </w:rPr>
          <w:t>表5-3 四格比较的净错误计数变化（人工情景）</w:t>
        </w:r>
        <w:r>
          <w:rPr>
            <w:rFonts w:ascii="Times New Roman" w:hAnsi="Times New Roman" w:eastAsia="Songti SC"/>
            <w:color w:val="000000"/>
            <w:sz w:val="22"/>
          </w:rPr>
          <w:tab/>
          <w:t>63</w:t>
        </w:r>
      </w:hyperlink>
    </w:p>
    <w:p>
      <w:pPr>
        <w:pStyle w:val="TableList"/>
      </w:pPr>
      <w:hyperlink w:anchor="v9_202" w:history="1">
        <w:r>
          <w:rPr>
            <w:rFonts w:ascii="Times New Roman" w:hAnsi="Times New Roman" w:eastAsia="Songti SC"/>
            <w:color w:val="000000"/>
            <w:sz w:val="22"/>
          </w:rPr>
          <w:t>表5-4 相对共同起点的关系增量与在线额外时间（人工情景）</w:t>
        </w:r>
        <w:r>
          <w:rPr>
            <w:rFonts w:ascii="Times New Roman" w:hAnsi="Times New Roman" w:eastAsia="Songti SC"/>
            <w:color w:val="000000"/>
            <w:sz w:val="22"/>
          </w:rPr>
          <w:tab/>
          <w:t>65</w:t>
        </w:r>
      </w:hyperlink>
    </w:p>
    <w:p>
      <w:pPr>
        <w:pStyle w:val="TableList"/>
      </w:pPr>
      <w:hyperlink w:anchor="v9_203" w:history="1">
        <w:r>
          <w:rPr>
            <w:rFonts w:ascii="Times New Roman" w:hAnsi="Times New Roman" w:eastAsia="Songti SC"/>
            <w:color w:val="000000"/>
            <w:sz w:val="22"/>
          </w:rPr>
          <w:t>表5-5 CDCP完整关系的源成员数分组（人工情景）</w:t>
        </w:r>
        <w:r>
          <w:rPr>
            <w:rFonts w:ascii="Times New Roman" w:hAnsi="Times New Roman" w:eastAsia="Songti SC"/>
            <w:color w:val="000000"/>
            <w:sz w:val="22"/>
          </w:rPr>
          <w:tab/>
          <w:t>66</w:t>
        </w:r>
      </w:hyperlink>
    </w:p>
    <w:p>
      <w:pPr>
        <w:pStyle w:val="TableList"/>
      </w:pPr>
      <w:hyperlink w:anchor="v9_204"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73</w:t>
        </w:r>
      </w:hyperlink>
    </w:p>
    <w:p>
      <w:pPr>
        <w:pStyle w:val="TableList"/>
      </w:pPr>
      <w:hyperlink w:anchor="v9_205" w:history="1">
        <w:r>
          <w:rPr>
            <w:rFonts w:ascii="Times New Roman" w:hAnsi="Times New Roman" w:eastAsia="Songti SC"/>
            <w:color w:val="000000"/>
            <w:sz w:val="22"/>
          </w:rPr>
          <w:t>表A-2 本版参考配置</w:t>
        </w:r>
        <w:r>
          <w:rPr>
            <w:rFonts w:ascii="Times New Roman" w:hAnsi="Times New Roman" w:eastAsia="Songti SC"/>
            <w:color w:val="000000"/>
            <w:sz w:val="22"/>
          </w:rPr>
          <w:tab/>
          <w:t>74</w:t>
        </w:r>
      </w:hyperlink>
    </w:p>
    <w:p>
      <w:pPr>
        <w:pStyle w:val="TableList"/>
      </w:pPr>
      <w:hyperlink w:anchor="v9_206"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78</w:t>
        </w:r>
      </w:hyperlink>
    </w:p>
    <w:p>
      <w:pPr>
        <w:pStyle w:val="TableList"/>
      </w:pPr>
      <w:hyperlink w:anchor="v9_207"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85</w:t>
        </w:r>
      </w:hyperlink>
    </w:p>
    <w:p>
      <w:pPr>
        <w:pStyle w:val="TableList"/>
      </w:pPr>
      <w:hyperlink w:anchor="v9_208"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85</w:t>
        </w:r>
      </w:hyperlink>
    </w:p>
    <w:p>
      <w:pPr>
        <w:pStyle w:val="TableList"/>
      </w:pPr>
      <w:hyperlink w:anchor="v9_209"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86</w:t>
        </w:r>
      </w:hyperlink>
    </w:p>
    <w:p>
      <w:pPr>
        <w:pStyle w:val="TableList"/>
      </w:pPr>
      <w:hyperlink w:anchor="v9_210"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86</w:t>
        </w:r>
      </w:hyperlink>
    </w:p>
    <w:p>
      <w:pPr>
        <w:pStyle w:val="TableList"/>
      </w:pPr>
      <w:hyperlink w:anchor="v9_211"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87</w:t>
        </w:r>
      </w:hyperlink>
    </w:p>
    <w:p>
      <w:pPr>
        <w:pStyle w:val="TableList"/>
      </w:pPr>
      <w:hyperlink w:anchor="v9_212"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87</w:t>
        </w:r>
      </w:hyperlink>
    </w:p>
    <w:p>
      <w:pPr>
        <w:pStyle w:val="TableList"/>
      </w:pPr>
      <w:hyperlink w:anchor="v9_213"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87</w:t>
        </w:r>
      </w:hyperlink>
    </w:p>
    <w:p>
      <w:pPr>
        <w:pStyle w:val="TableList"/>
      </w:pPr>
      <w:hyperlink w:anchor="v9_214"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88</w:t>
        </w:r>
      </w:hyperlink>
    </w:p>
    <w:p>
      <w:pPr>
        <w:pStyle w:val="TableList"/>
      </w:pPr>
      <w:hyperlink w:anchor="v9_215"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89</w:t>
        </w:r>
      </w:hyperlink>
    </w:p>
    <w:p>
      <w:pPr>
        <w:pStyle w:val="TableList"/>
      </w:pPr>
      <w:hyperlink w:anchor="v9_216"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90</w:t>
        </w:r>
      </w:hyperlink>
    </w:p>
    <w:p>
      <w:pPr>
        <w:pStyle w:val="TableList"/>
      </w:pPr>
      <w:hyperlink w:anchor="v9_217"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92</w:t>
        </w:r>
      </w:hyperlink>
    </w:p>
    <w:p>
      <w:pPr>
        <w:pStyle w:val="TableList"/>
      </w:pPr>
      <w:hyperlink w:anchor="v9_218"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93</w:t>
        </w:r>
      </w:hyperlink>
    </w:p>
    <w:p>
      <w:pPr>
        <w:pStyle w:val="TableList"/>
      </w:pPr>
      <w:hyperlink w:anchor="v9_219"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94</w:t>
        </w:r>
      </w:hyperlink>
    </w:p>
    <w:p>
      <w:pPr>
        <w:pStyle w:val="TableList"/>
      </w:pPr>
      <w:hyperlink w:anchor="v9_220" w:history="1">
        <w:r>
          <w:rPr>
            <w:rFonts w:ascii="Times New Roman" w:hAnsi="Times New Roman" w:eastAsia="Songti SC"/>
            <w:color w:val="000000"/>
            <w:sz w:val="22"/>
          </w:rPr>
          <w:t>表H-1 固定尝试轨训练成本存档（人工情景）</w:t>
        </w:r>
        <w:r>
          <w:rPr>
            <w:rFonts w:ascii="Times New Roman" w:hAnsi="Times New Roman" w:eastAsia="Songti SC"/>
            <w:color w:val="000000"/>
            <w:sz w:val="22"/>
          </w:rPr>
          <w:tab/>
          <w:t>97</w:t>
        </w:r>
      </w:hyperlink>
      <w:r>
        <w:fldChar w:fldCharType="end"/>
      </w:r>
    </w:p>
    <w:p>
      <w:pPr>
        <w:sectPr>
          <w:headerReference w:type="default" r:id="rId119"/>
          <w:footerReference w:type="default" r:id="rId120"/>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9_12"/>
      <w:bookmarkEnd w:id="12"/>
    </w:p>
    <w:p>
      <w:pPr>
        <w:pStyle w:val="Heading2"/>
      </w:pPr>
      <w:r>
        <w:t>1.1 研究背景与问题提出</w:t>
      </w:r>
      <w:bookmarkStart w:id="13" w:name="v9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0" w:name="v9_160"/>
      <w:bookmarkEnd w:id="160"/>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方法的必要性还取决于错误的实际数量级。训练侧需观察普通改写在内部正关系、跨边界正关系及两类NONE上的漂移；推理侧需区分组件定位错误、端点已正确时的关系错误，以及候选不能覆盖的对象。上述观察限定在训练侧持出文档中，先冻结诊断抽样和比较条件，再开展独立评价。第三、四章引言列出观察单位与设计响应，完整记录规则见附录H；当前人工情景用于推敲分析方式，不承担真实问题发生率的证明。</w:t>
      </w:r>
    </w:p>
    <w:p>
      <w:pPr>
        <w:pStyle w:val="Heading2"/>
      </w:pPr>
      <w:r>
        <w:t>1.2 国内外研究现状</w:t>
      </w:r>
      <w:bookmarkStart w:id="14" w:name="v9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9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9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这说明可靠性与变化幅度可以共同研究；本文则限定为保留原图监督的局部改写，需分别验证关系影响域检查和对应因素学习的增量。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9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9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1" w:name="v9_161"/>
      <w:bookmarkEnd w:id="16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9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2" w:name="v9_162"/>
      <w:bookmarkEnd w:id="162"/>
    </w:p>
    <w:p>
      <w:pPr>
        <w:pStyle w:val="Heading3"/>
      </w:pPr>
      <w:r>
        <w:t>1.3.1 研究问题</w:t>
      </w:r>
      <w:bookmarkStart w:id="20" w:name="v9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9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9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3" w:name="v9_163"/>
      <w:bookmarkEnd w:id="16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9_23"/>
      <w:bookmarkEnd w:id="23"/>
    </w:p>
    <w:p>
      <w:r>
        <w:rPr>
          <w:rFonts w:ascii="Times New Roman" w:hAnsi="Times New Roman" w:eastAsia="Songti SC"/>
          <w:color w:val="000000"/>
        </w:rPr>
        <w:t>第一章从监督漂移与结构恢复两个问题出发，比较相关方法并明确成果归属。第二章统一原生任务、完整对象评价与公共协议。第三章研究关系影响域约束的增强与成对学习，区分数据构造、学习目标及中心选择。第四章研究依赖闭合事务，并以同评分全局求解检验其使用条件。第五章围绕阶段增量、对象重叠、训练对修正条件的影响、配置选择和最终失败开展综合分析。第六章总结研究认识与适用范围。</w:t>
      </w:r>
    </w:p>
    <w:p>
      <w:r>
        <w:rPr>
          <w:rFonts w:ascii="Times New Roman" w:hAnsi="Times New Roman" w:eastAsia="Songti SC"/>
          <w:color w:val="000000"/>
        </w:rPr>
        <w:t>附录A、B集中保存坐标、序列化、执行边界及性质证明，附录C、D说明成果和构造材料，附录E保留历史数值，附录F提供阅读索引。附录G记录外部方法核查及接入协议，附录H给出诊断、表达变化、资源和对象轨迹的取证规则。正文保留影响研究判断的定义与假设，完整实现细节按引用查阅。</w:t>
      </w:r>
    </w:p>
    <w:p>
      <w:pPr>
        <w:pStyle w:val="Heading1"/>
      </w:pPr>
      <w:r>
        <w:t>第二章 任务表示与方法基础</w:t>
      </w:r>
      <w:bookmarkStart w:id="24" w:name="v9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9_25"/>
      <w:bookmarkEnd w:id="25"/>
    </w:p>
    <w:p>
      <w:pPr>
        <w:pStyle w:val="Heading3"/>
      </w:pPr>
      <w:r>
        <w:t>2.1.1 组件及二元关系</w:t>
      </w:r>
      <w:bookmarkStart w:id="26" w:name="v9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9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4" w:name="v9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9_28"/>
      <w:bookmarkEnd w:id="28"/>
    </w:p>
    <w:p>
      <w:pPr>
        <w:pStyle w:val="Heading3"/>
      </w:pPr>
      <w:r>
        <w:t>2.2.1 语料约束与候选范围</w:t>
      </w:r>
      <w:bookmarkStart w:id="29" w:name="v9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9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9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9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9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9_34"/>
      <w:bookmarkEnd w:id="34"/>
    </w:p>
    <w:p>
      <w:pPr>
        <w:pStyle w:val="Heading3"/>
      </w:pPr>
      <w:r>
        <w:t>2.6.1 数据划分与使用范围</w:t>
      </w:r>
      <w:bookmarkStart w:id="35" w:name="v9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9_36"/>
      <w:bookmarkEnd w:id="36"/>
    </w:p>
    <w:p>
      <w:r>
        <w:rPr>
          <w:rFonts w:ascii="Times New Roman" w:hAnsi="Times New Roman" w:eastAsia="Songti SC"/>
          <w:color w:val="000000"/>
        </w:rPr>
        <w:t>实验采用统一骨干、源文档分组与严格评价，各种方法的变化集中在增强条件、学习目标或修正策略。表2-2固定计算配置和数据规模，全部结果按语料、方法和种子关联，跨章复用相同记录。</w:t>
      </w:r>
    </w:p>
    <w:p>
      <w:pPr>
        <w:pStyle w:val="TableCaption"/>
      </w:pPr>
      <w:r>
        <w:rPr>
          <w:rFonts w:ascii="Times New Roman" w:hAnsi="Times New Roman" w:eastAsia="Songti SC"/>
          <w:color w:val="000000"/>
          <w:sz w:val="21"/>
        </w:rPr>
        <w:t>表2-2 公共配置与评价规模（人工情景）</w:t>
      </w:r>
      <w:bookmarkStart w:id="165" w:name="v9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用于表4-7的固定提案评价，不是全部训练对象数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表中参数定义比较条件，不由测试结果反向选择。数据、配置、候选、结果和统计身份分别存放；正文只复用统一汇总入口。评价记录采用文档与种子配对，组件和关系分别保留TP、FP、FN，成本保留模型生成、对象评分及求解分项。附录A列出字段与复算关系。</w:t>
      </w:r>
    </w:p>
    <w:p>
      <w:pPr>
        <w:pStyle w:val="Heading3"/>
      </w:pPr>
      <w:r>
        <w:t>2.6.3 统计分析与计算成本</w:t>
      </w:r>
      <w:bookmarkStart w:id="37" w:name="v9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首先比较相同逐文档总求解预算，另以相同端到端时限评价部署条件；两种预算分别命名。软件、线程、缓存条件和共同准备开销保持一致，大预算结果不自动视为最优。核心比较包括相同增强集合上的成对项增量、BR-J与组件优先分步策略，以及BR-J与等求解预算全局ILP的差异。其余消融和交互用于解释机制。95%区间为固定三种子条件下逐比较的文档配对区间，未作多重比较校正；区间跨零不能解释为等效。完整求解状态、成本记录和统计规则见附录H.3。</w:t>
      </w:r>
    </w:p>
    <w:p>
      <w:pPr>
        <w:pStyle w:val="Heading2"/>
      </w:pPr>
      <w:r>
        <w:t>2.7 训练与推理的接口</w:t>
      </w:r>
      <w:bookmarkStart w:id="38" w:name="v9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6" w:name="v9_166"/>
      <w:bookmarkEnd w:id="166"/>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9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9_40"/>
      <w:bookmarkEnd w:id="40"/>
    </w:p>
    <w:p>
      <w:pPr>
        <w:pStyle w:val="Heading2"/>
      </w:pPr>
      <w:r>
        <w:t>3.1 引言</w:t>
      </w:r>
      <w:bookmarkStart w:id="41" w:name="v9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表3-1将问题观察与设计连接起来。真实诊断使用训练侧固定持出文档，在选择中心、阈值和提示前冻结抽样；四层均记录源文档数、变体数、被审因素数和漂移数。现有因素记录属于人工情景，真实数量级尚不由本版建立；具体抽样与分母见附录H.1。</w:t>
      </w:r>
    </w:p>
    <w:p>
      <w:pPr>
        <w:pStyle w:val="TableCaption"/>
      </w:pPr>
      <w:r>
        <w:rPr>
          <w:rFonts w:ascii="Times New Roman" w:hAnsi="Times New Roman" w:eastAsia="Songti SC"/>
          <w:color w:val="000000"/>
          <w:sz w:val="21"/>
        </w:rPr>
        <w:t>表3-1 训练侧诊断与方法响应（诊断方案）</w:t>
      </w:r>
      <w:bookmarkStart w:id="167" w:name="v9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515"/>
        <w:gridCol w:w="3515"/>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观察对象</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计数单位与分母</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对应设计</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内部正关系</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改写区内被审正关系因素</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检查原有角色、方向与标签</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跨边界正关系</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连接区内外的被审正关系因素</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把区域外端点纳入条件</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内部NONE</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区内被审无关系组合</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识别改写新引入的关系</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跨边界NONE</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区内外被审无关系组合</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避免只保护显式已有边</w:t>
            </w:r>
          </w:p>
        </w:tc>
      </w:tr>
    </w:tbl>
    <w:p>
      <w:pPr>
        <w:spacing w:after="0" w:line="240" w:lineRule="auto"/>
      </w:pP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用于解释语义如何漂移，表3-1用于规定如何观察其发生频率。方法在原生组件类型和完整关系上展开，AAEC的stance不转换为普通边，CDCP的结论角色也不改变原生类型。下文先说明继承接口，再给出影响域、对应构造和成对目标，实验分别检验质量、表达变化、任务收益和成本。</w:t>
      </w:r>
    </w:p>
    <w:p>
      <w:pPr>
        <w:pStyle w:val="Heading2"/>
      </w:pPr>
      <w:r>
        <w:t>3.2 前期专项建模基础</w:t>
      </w:r>
      <w:bookmarkStart w:id="42" w:name="v9_42"/>
      <w:bookmarkEnd w:id="42"/>
    </w:p>
    <w:p>
      <w:pPr>
        <w:pStyle w:val="Heading3"/>
      </w:pPr>
      <w:r>
        <w:t>3.2.1 类型条件低秩适配</w:t>
      </w:r>
      <w:bookmarkStart w:id="43" w:name="v9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9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9_45"/>
      <w:bookmarkEnd w:id="45"/>
    </w:p>
    <w:p>
      <w:pPr>
        <w:pStyle w:val="Heading3"/>
      </w:pPr>
      <w:r>
        <w:t>3.3.1 改写区域与关系因素</w:t>
      </w:r>
      <w:bookmarkStart w:id="46" w:name="v9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表3-2用人为构造的中文片段说明二元关系，不作为AAEC或CDCP的实测样本。</w:t>
      </w:r>
    </w:p>
    <w:p>
      <w:pPr>
        <w:pStyle w:val="TableCaption"/>
      </w:pPr>
      <w:r>
        <w:rPr>
          <w:rFonts w:ascii="Times New Roman" w:hAnsi="Times New Roman" w:eastAsia="Songti SC"/>
          <w:color w:val="000000"/>
          <w:sz w:val="21"/>
        </w:rPr>
        <w:t>表3-2 关系保持改写的组件示意</w:t>
      </w:r>
      <w:bookmarkStart w:id="168" w:name="v9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69" w:name="v9_169"/>
      <w:bookmarkEnd w:id="169"/>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9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沿用表3-2，</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9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9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增强样本通过检查后，还需要让模型学会“不同表达对应相同论辩功能”。本节保留原文和增强文各自的金标训练，同时比较对应组件与关系的预测分布。例如，表3-2中的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0" w:name="v9_170"/>
      <w:bookmarkEnd w:id="170"/>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9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9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9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9_53"/>
      <w:bookmarkEnd w:id="53"/>
    </w:p>
    <w:p>
      <w:pPr>
        <w:pStyle w:val="Heading3"/>
      </w:pPr>
      <w:r>
        <w:t>3.5.1 数据构造与参数学习</w:t>
      </w:r>
      <w:bookmarkStart w:id="54" w:name="v9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1" w:name="v9_171"/>
      <w:bookmarkEnd w:id="171"/>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9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9_56"/>
      <w:bookmarkEnd w:id="56"/>
    </w:p>
    <w:p>
      <w:r>
        <w:rPr>
          <w:rFonts w:ascii="Times New Roman" w:hAnsi="Times New Roman" w:eastAsia="Songti SC"/>
          <w:color w:val="000000"/>
        </w:rPr>
        <w:t>本节数值、审计判断和成本为人工情景，用于展示比较与分析；正式结果须由对应原始文本和运行记录整体替换。</w:t>
      </w:r>
    </w:p>
    <w:p>
      <w:r>
        <w:rPr>
          <w:rFonts w:ascii="Times New Roman" w:hAnsi="Times New Roman" w:eastAsia="Songti SC"/>
          <w:color w:val="000000"/>
        </w:rPr>
        <w:t>本章分别评价监督可靠性、增强数据的任务作用和成对学习的独立增量。前者关注改写后标签是否保持，后两者关注原始测试文本上的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9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表3-3 训练侧对照与归因条件</w:t>
      </w:r>
      <w:bookmarkStart w:id="172" w:name="v9_172"/>
      <w:bookmarkEnd w:id="17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一般文本增量的作用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比较数据构造，不与T1全机制混比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表3-7、3-6和3-8属于后一轨道；表3-11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9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表3-4 接受样本的标签漂移率（%）（人工情景）</w:t>
      </w:r>
      <w:bookmarkStart w:id="173" w:name="v9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-4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表3-5 接受与拒绝样本的因素漂移审计（人工情景）</w:t>
      </w:r>
      <w:bookmarkStart w:id="174" w:name="v9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表达变化另按变体统计，不能由因素漂移率推出。生成池与接受池分别报告非复制比例，并在实际允许改写的组件区域计算规范化编辑距离的中位数与四分位区间。距离只按一一对应的改写槽位计算，不让全文未改区域稀释变化；解析失败单列，不从总尝试账本消失。</w:t>
      </w:r>
    </w:p>
    <w:p>
      <w:pPr>
        <w:pStyle w:val="TableCaption"/>
      </w:pPr>
      <w:r>
        <w:rPr>
          <w:rFonts w:ascii="Times New Roman" w:hAnsi="Times New Roman" w:eastAsia="Songti SC"/>
          <w:color w:val="000000"/>
          <w:sz w:val="21"/>
        </w:rPr>
        <w:t>表3-6 表达变化与选择偏向的检查项目（诊断方案）</w:t>
      </w:r>
      <w:bookmarkStart w:id="175" w:name="v9_175"/>
      <w:bookmarkEnd w:id="17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3685"/>
        <w:gridCol w:w="3572"/>
      </w:tblGrid>
      <w:tr>
        <w:trPr>
          <w:cantSplit/>
          <w:tblHeader/>
        </w:trPr>
        <w:tc>
          <w:tcPr>
            <w:tcW w:type="dxa" w:w="164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指标</w:t>
            </w:r>
          </w:p>
        </w:tc>
        <w:tc>
          <w:tcPr>
            <w:tcW w:type="dxa" w:w="368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观察单位</w:t>
            </w:r>
          </w:p>
        </w:tc>
        <w:tc>
          <w:tcPr>
            <w:tcW w:type="dxa" w:w="357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配套分组</w:t>
            </w:r>
          </w:p>
        </w:tc>
      </w:tr>
      <w:tr>
        <w:trPr>
          <w:cantSplit/>
        </w:trPr>
        <w:tc>
          <w:tcPr>
            <w:tcW w:type="dxa" w:w="164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非复制比例</w:t>
            </w:r>
          </w:p>
        </w:tc>
        <w:tc>
          <w:tcPr>
            <w:tcW w:type="dxa" w:w="368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生成池／接受池中的可解析变体</w:t>
            </w:r>
          </w:p>
        </w:tc>
        <w:tc>
          <w:tcPr>
            <w:tcW w:type="dxa" w:w="35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源文档、长度、关系复杂度</w:t>
            </w:r>
          </w:p>
        </w:tc>
      </w:tr>
      <w:tr>
        <w:trPr>
          <w:cantSplit/>
        </w:trPr>
        <w:tc>
          <w:tcPr>
            <w:tcW w:type="dxa" w:w="164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规范化编辑距离</w:t>
            </w:r>
          </w:p>
        </w:tc>
        <w:tc>
          <w:tcPr>
            <w:tcW w:type="dxa" w:w="368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同一变体的可改写槽位token</w:t>
            </w:r>
          </w:p>
        </w:tc>
        <w:tc>
          <w:tcPr>
            <w:tcW w:type="dxa" w:w="35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中位数、四分位区间与零值比例</w:t>
            </w:r>
          </w:p>
        </w:tc>
      </w:tr>
      <w:tr>
        <w:trPr>
          <w:cantSplit/>
        </w:trPr>
        <w:tc>
          <w:tcPr>
            <w:tcW w:type="dxa" w:w="164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接受覆盖</w:t>
            </w:r>
          </w:p>
        </w:tc>
        <w:tc>
          <w:tcPr>
            <w:tcW w:type="dxa" w:w="368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源文档是否至少有一条合格变体</w:t>
            </w:r>
          </w:p>
        </w:tc>
        <w:tc>
          <w:tcPr>
            <w:tcW w:type="dxa" w:w="35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短／长、低／高关系度及隐式关系</w:t>
            </w:r>
          </w:p>
        </w:tc>
      </w:tr>
    </w:tbl>
    <w:p>
      <w:pPr>
        <w:spacing w:after="0" w:line="240" w:lineRule="auto"/>
      </w:pPr>
    </w:p>
    <w:p>
      <w:r>
        <w:rPr>
          <w:rFonts w:ascii="Times New Roman" w:hAnsi="Times New Roman" w:eastAsia="Songti SC"/>
          <w:color w:val="000000"/>
        </w:rPr>
        <w:t>只有在表达变化仍然充分、源覆盖没有集中于容易文档时，低漂移才支持“可靠且有变化的增强”。当前计数记录不含原始增强文本，表3-6规定分析口径而不填造距离分布。因素审计继续用于标签保持判断；本章不主张筛选器的变体级精确率，因而也不把拒绝层中的稳定因素视为整条变体误拒。指标公式与记录入口见附录H.2。</w:t>
      </w:r>
    </w:p>
    <w:p>
      <w:pPr>
        <w:pStyle w:val="Heading3"/>
      </w:pPr>
      <w:r>
        <w:t>3.6.3 抽取结果与学习目标消融</w:t>
      </w:r>
      <w:bookmarkStart w:id="59" w:name="v9_59"/>
      <w:bookmarkEnd w:id="59"/>
    </w:p>
    <w:p>
      <w:pPr>
        <w:pStyle w:val="TableCaption"/>
      </w:pPr>
      <w:r>
        <w:rPr>
          <w:rFonts w:ascii="Times New Roman" w:hAnsi="Times New Roman" w:eastAsia="Songti SC"/>
          <w:color w:val="000000"/>
          <w:sz w:val="21"/>
        </w:rPr>
        <w:t>表3-7 训练方案的严格抽取结果（匹配训练规模）（人工情景）</w:t>
      </w:r>
      <w:bookmarkStart w:id="176" w:name="v9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的严格关系F1分别增加7.32和7.21个百分点，这一总差值包含数据构造、头监督和成对学习。数据构造作用由T-B单独解释：QOS式适配与完整增强都采用基础损失，对照表3-8首行，AAEC为55.68对57.47，CDCP为50.25对52.08，差值分别为1.79和1.83个百分点。过滤消融另在共同生成池和相同学习配置下变化审核项，反映跨边界正关系与NONE检查的条件作用。它们不能将T1的全部增量归给增强、中心或某一个损失项。</w:t>
      </w:r>
    </w:p>
    <w:p>
      <w:pPr>
        <w:pStyle w:val="TableCaption"/>
      </w:pPr>
      <w:r>
        <w:rPr>
          <w:rFonts w:ascii="Times New Roman" w:hAnsi="Times New Roman" w:eastAsia="Songti SC"/>
          <w:color w:val="000000"/>
          <w:sz w:val="21"/>
        </w:rPr>
        <w:t>表3-8 相同增强集合上的学习目标比较（匹配训练规模）（人工情景）</w:t>
      </w:r>
      <w:bookmarkStart w:id="177" w:name="v9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表3-8的三行使用完全相同的增强文本、来源权重和更新条件。增加头监督先建立组件与完整关系因素的输入表示；加入成对对齐后，AAEC与CDCP的关系F1分别再增加1.92和1.88个百分点，文档配对95%区间为[+1.17,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training_results.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训练方案与学习目标的严格关系结果（人工情景）</w:t>
      </w:r>
      <w:bookmarkStart w:id="178" w:name="v9_178"/>
      <w:bookmarkEnd w:id="178"/>
    </w:p>
    <w:p>
      <w:pPr>
        <w:pStyle w:val="Heading3"/>
      </w:pPr>
      <w:r>
        <w:t>3.6.4 中心选择与适用条件</w:t>
      </w:r>
      <w:bookmarkStart w:id="60" w:name="v9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表3-9 中心匹配的有效覆盖与自匹配（人工情景）</w:t>
      </w:r>
      <w:bookmarkStart w:id="179" w:name="v9_179"/>
      <w:bookmarkEnd w:id="17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表3-10 结论中心与匹配随机中心的比较（匹配训练规模）（人工情景）</w:t>
      </w:r>
      <w:bookmarkStart w:id="180" w:name="v9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结论中心相对匹配随机中心的关系差值较小：AAEC为0.50个百分点，配对95%区间[-0.22, +1.19]；CDCP为0.51个百分点，区间[-0.48, +1.47]。两者区间均包含0，因此该比较没有建立稳定的结论中心优势。结论优先仍是可解释的计算分配规则，但完整方案的主要增量不宜归因于中心角色本身。</w:t>
      </w:r>
    </w:p>
    <w:p>
      <w:pPr>
        <w:pStyle w:val="Heading3"/>
      </w:pPr>
      <w:r>
        <w:t>3.6.5 生成覆盖与计算成本</w:t>
      </w:r>
      <w:bookmarkStart w:id="61" w:name="v9_61"/>
      <w:bookmarkEnd w:id="61"/>
    </w:p>
    <w:p>
      <w:pPr>
        <w:pStyle w:val="TableCaption"/>
      </w:pPr>
      <w:r>
        <w:rPr>
          <w:rFonts w:ascii="Times New Roman" w:hAnsi="Times New Roman" w:eastAsia="Songti SC"/>
          <w:color w:val="000000"/>
          <w:sz w:val="21"/>
        </w:rPr>
        <w:t>表3-11 固定尝试预算下的覆盖与构造成本（人工情景）</w:t>
      </w:r>
      <w:bookmarkStart w:id="181" w:name="v9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表3-11仅记录固定尝试轨道的覆盖、生成与审核成本，拒绝和失败尝试也计费。完整方案在AAEC、CDCP分别接受520、940个变体，覆盖292、522篇源文档；匹配规模轨道再按预定规则组织500、900个变体。原记录中的训练GPU小时属于固定尝试情景，移至附录H.2存档，不作为匹配规模主成绩的成本。正式比较同时保存两轨的样本清单和训练账本，再讨论任务收益是否值得其投入。</w:t>
      </w:r>
    </w:p>
    <w:p>
      <w:r>
        <w:rPr>
          <w:rFonts w:ascii="Times New Roman" w:hAnsi="Times New Roman" w:eastAsia="Songti SC"/>
          <w:color w:val="000000"/>
        </w:rPr>
        <w:t>增强成本是一次性数据投入，不能与第四章逐文档修正时间直接相加。降低因素漂移有利于监督质量，但拒绝池仍含标签保持的因素；是否采用更严格筛选，应结合训练规模、审核预算和下游收益判断。原图书馆片段用于解释内部、跨边界与NONE变化，字符输运及完整长超边的数学检查保留在附录D，二者分别承担语义直观和结构可复算的作用。</w:t>
      </w:r>
    </w:p>
    <w:p>
      <w:pPr>
        <w:pStyle w:val="Heading2"/>
      </w:pPr>
      <w:r>
        <w:t>3.7 本章小结</w:t>
      </w:r>
      <w:bookmarkStart w:id="62" w:name="v9_62"/>
      <w:bookmarkEnd w:id="62"/>
    </w:p>
    <w:p>
      <w:r>
        <w:rPr>
          <w:rFonts w:ascii="Times New Roman" w:hAnsi="Times New Roman" w:eastAsia="Songti SC"/>
          <w:color w:val="000000"/>
        </w:rPr>
        <w:t>本章将单中心改写、完整关系影响域、标注输运及逐源归一化连接到组件和关系因素学习。结果分析表明，监督质量和增强覆盖需要同时评价；在相同增强集合下，头监督与成对对齐具有可分辨的增量。中心策略的差异较小且区间跨0，因而结论重点放在监督保持与学习目标，而非普遍的结论角色优势。下一章保持原文不变，研究预测组件变化后如何恢复关联结构。</w:t>
      </w:r>
    </w:p>
    <w:p>
      <w:pPr>
        <w:pStyle w:val="Heading1"/>
      </w:pPr>
      <w:r>
        <w:t>第四章 多候选驱动的依赖闭合论辩图修正</w:t>
      </w:r>
      <w:bookmarkStart w:id="63" w:name="v9_63"/>
      <w:bookmarkEnd w:id="63"/>
    </w:p>
    <w:p>
      <w:pPr>
        <w:pStyle w:val="Heading2"/>
      </w:pPr>
      <w:r>
        <w:t>4.1 引言</w:t>
      </w:r>
      <w:bookmarkStart w:id="64" w:name="v9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表4-1给出进入复杂修正前需要观察的错误。组件诊断以严格匹配为基础；对未匹配对象，先检查完全相同跨度但类型错误，再在剩余对象上按token交并比和坐标顺序做一对一诊断匹配，区分边界误差与遗漏／多检。此匹配只解释错误，不改变主F1。关系按全部端点是否正确分层，候选缺失再作为独立可恢复条件交叉统计。</w:t>
      </w:r>
    </w:p>
    <w:p>
      <w:pPr>
        <w:pStyle w:val="TableCaption"/>
      </w:pPr>
      <w:r>
        <w:rPr>
          <w:rFonts w:ascii="Times New Roman" w:hAnsi="Times New Roman" w:eastAsia="Songti SC"/>
          <w:color w:val="000000"/>
          <w:sz w:val="21"/>
        </w:rPr>
        <w:t>表4-1 初始错误诊断与恢复条件（诊断方案）</w:t>
      </w:r>
      <w:bookmarkStart w:id="182" w:name="v9_182"/>
      <w:bookmarkEnd w:id="18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3628"/>
        <w:gridCol w:w="2608"/>
      </w:tblGrid>
      <w:tr>
        <w:trPr>
          <w:cantSplit/>
          <w:tblHeader/>
        </w:trPr>
        <w:tc>
          <w:tcPr>
            <w:tcW w:type="dxa" w:w="2665"/>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观察对象</w:t>
            </w:r>
          </w:p>
        </w:tc>
        <w:tc>
          <w:tcPr>
            <w:tcW w:type="dxa" w:w="362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分母与归类规则</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对应问题</w:t>
            </w:r>
          </w:p>
        </w:tc>
      </w:tr>
      <w:tr>
        <w:trPr>
          <w:cantSplit/>
        </w:trPr>
        <w:tc>
          <w:tcPr>
            <w:tcW w:type="dxa" w:w="266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组件类型、边界、遗漏／多检</w:t>
            </w:r>
          </w:p>
        </w:tc>
        <w:tc>
          <w:tcPr>
            <w:tcW w:type="dxa" w:w="362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未严格匹配组件；按固定顺序归类</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是否需要允许组件集合变化</w:t>
            </w:r>
          </w:p>
        </w:tc>
      </w:tr>
      <w:tr>
        <w:trPr>
          <w:cantSplit/>
        </w:trPr>
        <w:tc>
          <w:tcPr>
            <w:tcW w:type="dxa" w:w="266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端点未全正确的金标关系</w:t>
            </w:r>
          </w:p>
        </w:tc>
        <w:tc>
          <w:tcPr>
            <w:tcW w:type="dxa" w:w="362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金标完整关系；全部端点共同判断</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上游组件错误限制了多少关系</w:t>
            </w:r>
          </w:p>
        </w:tc>
      </w:tr>
      <w:tr>
        <w:trPr>
          <w:cantSplit/>
        </w:trPr>
        <w:tc>
          <w:tcPr>
            <w:tcW w:type="dxa" w:w="266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端点正确但关系错误</w:t>
            </w:r>
          </w:p>
        </w:tc>
        <w:tc>
          <w:tcPr>
            <w:tcW w:type="dxa" w:w="362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端点均命中的金标关系</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纯关系判断的剩余空间</w:t>
            </w:r>
          </w:p>
        </w:tc>
      </w:tr>
      <w:tr>
        <w:trPr>
          <w:cantSplit/>
        </w:trPr>
        <w:tc>
          <w:tcPr>
            <w:tcW w:type="dxa" w:w="266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候选未覆盖的组件／关系</w:t>
            </w:r>
          </w:p>
        </w:tc>
        <w:tc>
          <w:tcPr>
            <w:tcW w:type="dxa" w:w="36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分别使用金标组件／完整关系</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增加求解时间是否有恢复对象</w:t>
            </w:r>
          </w:p>
        </w:tc>
      </w:tr>
    </w:tbl>
    <w:p>
      <w:pPr>
        <w:spacing w:after="0" w:line="240" w:lineRule="auto"/>
      </w:pPr>
    </w:p>
    <w:p>
      <w:r>
        <w:rPr>
          <w:rFonts w:ascii="Times New Roman" w:hAnsi="Times New Roman" w:eastAsia="Songti SC"/>
          <w:color w:val="000000"/>
        </w:rPr>
        <w:t>上述维度不直接相加为互斥因果比例；尤其候选缺失与组件错误可以重叠。诊断使用训练侧持出预测，记录文档、对象和候选快照，方法冻结后才在独立评价中复核。当前人工计数没有完整原文与模型预测，表4-1说明取证方式，不能据此声称已得到现实错误分布。</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9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9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9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9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9_68"/>
      <w:bookmarkEnd w:id="68"/>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69" w:name="v9_69"/>
      <w:bookmarkEnd w:id="69"/>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0" w:name="v9_70"/>
      <w:bookmarkEnd w:id="70"/>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因此预检同时记录受保护／补充跨度、带类型组件、裁剪前完整槽位、全部标签评分对象、评分批次与峰值占用。阈值只在训练侧资源探测中确定，并写入冻结配置；正式文档超限即返回有原因的构造失败，保留已消耗时间，金标仍进入FN与失败率。若保护部分已超限，不得静默删除初始正确对象。</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1" w:name="v9_71"/>
      <w:bookmarkEnd w:id="71"/>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2" w:name="v9_72"/>
      <w:bookmarkEnd w:id="72"/>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3" w:name="v9_73"/>
      <w:bookmarkEnd w:id="73"/>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4" w:name="v9_74"/>
      <w:bookmarkEnd w:id="74"/>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5" w:name="v9_75"/>
      <w:bookmarkEnd w:id="75"/>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6" w:name="v9_76"/>
      <w:bookmarkEnd w:id="76"/>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7" w:name="v9_77"/>
      <w:bookmarkEnd w:id="77"/>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8" w:name="v9_78"/>
      <w:bookmarkEnd w:id="78"/>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9" w:name="v9_79"/>
      <w:bookmarkEnd w:id="79"/>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0" w:name="v9_80"/>
      <w:bookmarkEnd w:id="80"/>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1" w:name="v9_81"/>
      <w:bookmarkEnd w:id="81"/>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2" w:name="v9_82"/>
      <w:bookmarkEnd w:id="82"/>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r>
        <w:rPr>
          <w:rFonts w:ascii="Times New Roman" w:hAnsi="Times New Roman" w:eastAsia="Songti SC"/>
          <w:color w:val="000000"/>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AlgorithmCaption"/>
      </w:pPr>
      <w:r>
        <w:rPr>
          <w:rFonts w:ascii="Times New Roman" w:hAnsi="Times New Roman" w:eastAsia="Songti SC"/>
          <w:color w:val="000000"/>
          <w:sz w:val="21"/>
        </w:rPr>
        <w:t>算法4-1 多候选驱动的依赖闭合修正</w:t>
      </w:r>
      <w:bookmarkStart w:id="184" w:name="v9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9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4851326"/>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652770" cy="4851326"/>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9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3" w:name="v9_83"/>
      <w:bookmarkEnd w:id="83"/>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4" w:name="v9_84"/>
      <w:bookmarkEnd w:id="84"/>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5" w:name="v9_85"/>
      <w:bookmarkEnd w:id="85"/>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6" w:name="v9_86"/>
      <w:bookmarkEnd w:id="86"/>
    </w:p>
    <w:p>
      <w:r>
        <w:rPr>
          <w:rFonts w:ascii="Times New Roman" w:hAnsi="Times New Roman" w:eastAsia="Songti SC"/>
          <w:color w:val="000000"/>
        </w:rPr>
        <w:t>本节表图和案例使用人工情景；求解状态、错误分布与真实延迟的新增诊断按附录H执行后另行报告。</w:t>
      </w:r>
    </w:p>
    <w:p>
      <w:r>
        <w:rPr>
          <w:rFonts w:ascii="Times New Roman" w:hAnsi="Times New Roman" w:eastAsia="Songti SC"/>
          <w:color w:val="000000"/>
        </w:rPr>
        <w:t>本章固定T1训练条件，以I0为共同起点，分别比较完整系统和受控机制。组件及完整关系计数用于评价最终输出，候选覆盖、Oracle、对象评分、恢复风险和资源曲线用于解释增量来源。数学构造保留在方法说明与附录D，用于展示边界情形，不代替完整对照。</w:t>
      </w:r>
    </w:p>
    <w:p>
      <w:pPr>
        <w:pStyle w:val="Heading3"/>
      </w:pPr>
      <w:r>
        <w:t>4.6.1 推理协议与方法对照</w:t>
      </w:r>
      <w:bookmarkStart w:id="87" w:name="v9_87"/>
      <w:bookmarkEnd w:id="87"/>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-2定义各版本的操作接口，表4-3列出归因条件。</w:t>
      </w:r>
    </w:p>
    <w:p>
      <w:pPr>
        <w:pStyle w:val="TableCaption"/>
      </w:pPr>
      <w:r>
        <w:rPr>
          <w:rFonts w:ascii="Times New Roman" w:hAnsi="Times New Roman" w:eastAsia="Songti SC"/>
          <w:color w:val="000000"/>
          <w:sz w:val="21"/>
        </w:rPr>
        <w:t>表4-2 推理方法的修改对象与决策接口</w:t>
      </w:r>
      <w:bookmarkStart w:id="187" w:name="v9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表4-3 推理侧对照及归因</w:t>
      </w:r>
      <w:bookmarkStart w:id="188" w:name="v9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比较分别报告等时间预算下的可行解、求解间隙和最优性状态，不把大预算行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局部事务的价值由质量、端到端代价和变更要求共同决定。主比较首先固定每文档总求解上限，另设端到端时限相同的比较；后者扣除候选准备、裁剪前评分与失败尝试后，将剩余时间分配给各自策略。少量预算点和图规模分组在训练侧确定，报告平均与P95时延、超时、无可行解、F1及误改。当前情景只提供等求解预算行，不能将其改称为等端到端时限实验。若引用全局界，还需记录incumbent、有效bound、gap和最优性状态，详见附录H.3。</w:t>
      </w:r>
    </w:p>
    <w:p>
      <w:pPr>
        <w:pStyle w:val="Heading3"/>
      </w:pPr>
      <w:r>
        <w:t>4.6.2 系统结果与策略对照</w:t>
      </w:r>
      <w:bookmarkStart w:id="88" w:name="v9_88"/>
      <w:bookmarkEnd w:id="88"/>
    </w:p>
    <w:p>
      <w:pPr>
        <w:pStyle w:val="TableCaption"/>
      </w:pPr>
      <w:r>
        <w:rPr>
          <w:rFonts w:ascii="Times New Roman" w:hAnsi="Times New Roman" w:eastAsia="Songti SC"/>
          <w:color w:val="000000"/>
          <w:sz w:val="21"/>
        </w:rPr>
        <w:t>表4-4 推理方法的严格抽取结果（人工情景）</w:t>
      </w:r>
      <w:bookmarkStart w:id="189" w:name="v9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同时提高组件结果。固定组件的BR-C和RelationOnly能够修复部分关系错误，但无法补回错误或遗漏的完整端点。单对象动作进一步扩大修正范围，集合替换则允许拆分、合并及其依赖关系作为共同提议参与决策。</w:t>
      </w:r>
    </w:p>
    <w:p>
      <w:r>
        <w:rPr>
          <w:rFonts w:ascii="Times New Roman" w:hAnsi="Times New Roman" w:eastAsia="Songti SC"/>
          <w:color w:val="000000"/>
        </w:rPr>
        <w:t>相对于组件优先分步策略，BR-J的关系增量为3.41和4.28个百分点，文档配对95%区间分别为[+2.58, +4.16]和[+3.39, +5.14]。该比较支持联合决策策略相对于本节分步策略的整体差异。两者同时改变信息使用、接受条件和批内排序，因而结果不能单独识别纯执行顺序的因果作用。</w:t>
      </w:r>
    </w:p>
    <w:p>
      <w:r>
        <w:rPr>
          <w:rFonts w:ascii="Times New Roman" w:hAnsi="Times New Roman" w:eastAsia="Songti SC"/>
          <w:color w:val="000000"/>
        </w:rPr>
        <w:t>分步决策的风险可由4.4.5节与附录D的数学构造解释：旧、新组件效用为0.20和0.80，旧、新关系效用为0.90和0.20；第一阶段先删除旧关系并提交组件后，第二阶段即使成功，总效用仍可能由1.10降至1.00。联合门拒绝这一特定提议。该例只说明代理目标下的决策差异；若新关系在真实标签上正确而代理分偏低，联合门也可能错误拒绝，故误改必须另看完整对象计数。</w:t>
      </w:r>
    </w:p>
    <w:p>
      <w:r>
        <w:rPr>
          <w:rFonts w:ascii="Times New Roman" w:hAnsi="Times New Roman" w:eastAsia="Songti SC"/>
          <w:color w:val="000000"/>
        </w:rPr>
        <w:t>全局等时限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89" w:name="v9_89"/>
      <w:bookmarkEnd w:id="89"/>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表4-5 从完整组件到完整关系的候选覆盖（人工情景）</w:t>
      </w:r>
      <w:bookmarkStart w:id="190" w:name="v9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。逐文档最优F1再平均不等于该目标。表4-6按共同计数展示三个恢复空间的诊断值，金标只参与离线诊断，不进入测试输出选择或预算调整。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表4-6 三类恢复空间的关系计数诊断（人工情景）</w:t>
      </w:r>
      <w:bookmarkStart w:id="191" w:name="v9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0" w:name="v9_90"/>
      <w:bookmarkEnd w:id="90"/>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表4-7 完整对象评分的区分与校准（人工情景）</w:t>
      </w:r>
      <w:bookmarkStart w:id="192" w:name="v9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-4中未校准评分低于完整BR-J，但概率指标改善仍不构成接受后安全保证：搜索会选择高分对象，接受分布与固定提案分布不同，需进一步观察表4-8的恢复和误改。</w:t>
      </w:r>
    </w:p>
    <w:p>
      <w:pPr>
        <w:pStyle w:val="Heading3"/>
      </w:pPr>
      <w:r>
        <w:t>4.6.5 恢复风险与资源取舍</w:t>
      </w:r>
      <w:bookmarkStart w:id="91" w:name="v9_91"/>
      <w:bookmarkEnd w:id="91"/>
    </w:p>
    <w:p>
      <w:pPr>
        <w:pStyle w:val="TableCaption"/>
      </w:pPr>
      <w:r>
        <w:rPr>
          <w:rFonts w:ascii="Times New Roman" w:hAnsi="Times New Roman" w:eastAsia="Songti SC"/>
          <w:color w:val="000000"/>
          <w:sz w:val="21"/>
        </w:rPr>
        <w:t>表4-8 关系恢复与误改的累计计数（人工情景）</w:t>
      </w:r>
      <w:bookmarkStart w:id="193" w:name="v9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-8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recovery_risk.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联合修正中的关系恢复与原真阳性损失（人工情景）</w:t>
      </w:r>
      <w:bookmarkStart w:id="194" w:name="v9_194"/>
      <w:bookmarkEnd w:id="194"/>
    </w:p>
    <w:p>
      <w:pPr>
        <w:pStyle w:val="TableCaption"/>
      </w:pPr>
      <w:r>
        <w:rPr>
          <w:rFonts w:ascii="Times New Roman" w:hAnsi="Times New Roman" w:eastAsia="Songti SC"/>
          <w:color w:val="000000"/>
          <w:sz w:val="21"/>
        </w:rPr>
        <w:t>表4-9 推理成本与预算取舍（人工情景）</w:t>
      </w:r>
      <w:bookmarkStart w:id="195" w:name="v9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-9的等时限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时限全局ILP节省的平均总时间仅为4.19%和4.73%，关系F1按未舍入值计算分别低0.40和0.50个百分点。表4-8中全局方法的初始关系TP保留率也略高，因此当前情景没有支持“局部更安全”或突出的效率优势。按已有成本分项，BR-J求解仅占总时间的5.00%和5.67%；大部分时间在生成与评分，单独加速局部求解难以等比例改善整体时延。这些是人工成本设定下的算术关系，真实适用条件须由完整资源轨迹决定。冷启动、缓存和一次性准备费用单独报告，不将GPU小时、CPU秒与token互相换算。</w:t>
      </w:r>
    </w:p>
    <w:p>
      <w:pPr>
        <w:keepNext/>
        <w:spacing w:line="240" w:lineRule="auto" w:before="80" w:after="60"/>
        <w:ind w:firstLine="0"/>
        <w:jc w:val="center"/>
      </w:pPr>
      <w:r>
        <w:drawing>
          <wp:inline xmlns:a="http://schemas.openxmlformats.org/drawingml/2006/main" xmlns:pic="http://schemas.openxmlformats.org/drawingml/2006/picture">
            <wp:extent cx="5652770" cy="2673474"/>
            <wp:docPr id="10" name="budget_results.png" descr="不同外层轮数下的关系结果与逐文档时间"/>
            <wp:cNvGraphicFramePr>
              <a:graphicFrameLocks noChangeAspect="1"/>
            </wp:cNvGraphicFramePr>
            <a:graphic>
              <a:graphicData uri="http://schemas.openxmlformats.org/drawingml/2006/picture">
                <pic:pic>
                  <pic:nvPicPr>
                    <pic:cNvPr id="0" name="budget_results.png"/>
                    <pic:cNvPicPr/>
                  </pic:nvPicPr>
                  <pic:blipFill>
                    <a:blip r:embed="rId125"/>
                    <a:stretch>
                      <a:fillRect/>
                    </a:stretch>
                  </pic:blipFill>
                  <pic:spPr>
                    <a:xfrm>
                      <a:off x="0" y="0"/>
                      <a:ext cx="5652770" cy="2673474"/>
                    </a:xfrm>
                    <a:prstGeom prst="rect"/>
                  </pic:spPr>
                </pic:pic>
              </a:graphicData>
            </a:graphic>
          </wp:inline>
        </w:drawing>
      </w:r>
    </w:p>
    <w:p>
      <w:pPr>
        <w:pStyle w:val="FigureCaption"/>
      </w:pPr>
      <w:r>
        <w:rPr>
          <w:rFonts w:ascii="Times New Roman" w:hAnsi="Times New Roman" w:eastAsia="Songti SC"/>
          <w:color w:val="000000"/>
          <w:sz w:val="21"/>
        </w:rPr>
        <w:t>图4-4 外层轮数增加时的结果与时间变化（人工情景）</w:t>
      </w:r>
      <w:bookmarkStart w:id="196" w:name="v9_196"/>
      <w:bookmarkEnd w:id="196"/>
    </w:p>
    <w:p>
      <w:r>
        <w:rPr>
          <w:rFonts w:ascii="Times New Roman" w:hAnsi="Times New Roman" w:eastAsia="Songti SC"/>
          <w:color w:val="000000"/>
        </w:rPr>
        <w:t>轮数曲线显示当前情景的边际增量逐步减小。图中局部轮数与全局时限属于不同控制量，只能结合实际端到端时间阅读；它还不能证明大图或紧预算下局部方法必然更优。完整调度边界见算法4-1、4-2及附录B.4.3。</w:t>
      </w:r>
    </w:p>
    <w:p>
      <w:pPr>
        <w:pStyle w:val="Heading3"/>
      </w:pPr>
      <w:r>
        <w:t>4.6.6 案例分析</w:t>
      </w:r>
      <w:bookmarkStart w:id="92" w:name="v9_92"/>
      <w:bookmarkEnd w:id="92"/>
    </w:p>
    <w:p>
      <w:r>
        <w:rPr>
          <w:rFonts w:ascii="Times New Roman" w:hAnsi="Times New Roman" w:eastAsia="Songti SC"/>
          <w:color w:val="000000"/>
        </w:rPr>
        <w:t>表4-10使用人工机制片段。正式案例按附录B.5和H.4保留完整原文、金标、前后对象、分数、门限和求解状态；可复核轨迹需能重算该次接受或拒绝。</w:t>
      </w:r>
    </w:p>
    <w:p>
      <w:pPr>
        <w:pStyle w:val="TableCaption"/>
      </w:pPr>
      <w:r>
        <w:rPr>
          <w:rFonts w:ascii="Times New Roman" w:hAnsi="Times New Roman" w:eastAsia="Songti SC"/>
          <w:color w:val="000000"/>
          <w:sz w:val="21"/>
        </w:rPr>
        <w:t>表4-10 结构恢复与失败案例（人工情景）</w:t>
      </w:r>
      <w:bookmarkStart w:id="197" w:name="v9_197"/>
      <w:bookmarkEnd w:id="19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2"/>
      </w:pPr>
      <w:r>
        <w:t>4.7 本章小结</w:t>
      </w:r>
      <w:bookmarkStart w:id="93" w:name="v9_93"/>
      <w:bookmarkEnd w:id="93"/>
    </w:p>
    <w:p>
      <w:r>
        <w:rPr>
          <w:rFonts w:ascii="Times New Roman" w:hAnsi="Times New Roman" w:eastAsia="Songti SC"/>
          <w:color w:val="000000"/>
        </w:rPr>
        <w:t>本章明确了集合事务的表达与决策条件。人工情景中，BR-J优于所定义分步策略，但与等求解预算全局方法相比尚无突出质量、时间或保留率优势。局部方法的使用条件需由真实资源和变更轨迹检验；第五章继续分析其与训练条件的关系。</w:t>
      </w:r>
    </w:p>
    <w:p>
      <w:pPr>
        <w:pStyle w:val="Heading1"/>
      </w:pPr>
      <w:r>
        <w:t>第五章 两阶段框架的综合分析</w:t>
      </w:r>
      <w:bookmarkStart w:id="94" w:name="v9_94"/>
      <w:bookmarkEnd w:id="94"/>
    </w:p>
    <w:p>
      <w:r>
        <w:rPr>
          <w:rFonts w:ascii="Times New Roman" w:hAnsi="Times New Roman" w:eastAsia="Songti SC"/>
          <w:color w:val="000000"/>
        </w:rPr>
        <w:t>本章使用同一批人工情景记录，围绕五个综合问题组织分析：两阶段分别增加多少、修复对象是否重叠、训练如何改变修正条件、何时值得启用修正，以及最终失败发生在哪里。四格计数和成本可以复用；对象级结论需要完整预测与候选轨迹，不能由聚合分数反推。</w:t>
      </w:r>
    </w:p>
    <w:p>
      <w:pPr>
        <w:pStyle w:val="Heading2"/>
      </w:pPr>
      <w:r>
        <w:t>5.1 两阶段各自带来多少增量</w:t>
      </w:r>
      <w:bookmarkStart w:id="95" w:name="v9_95"/>
      <w:bookmarkEnd w:id="95"/>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两阶段组合的四格结果（人工情景）</w:t>
      </w:r>
      <w:bookmarkStart w:id="198" w:name="v9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完整组合相对T0＋I0的关系增量为13.31和13.92个百分点。令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条件增量与交互差（人工情景）</w:t>
      </w:r>
      <w:bookmarkStart w:id="199" w:name="v9_199"/>
      <w:bookmarkEnd w:id="19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AAEC关系交互差为−0.64，配对95%区间为[−1.71, +0.41]；CDCP为+0.40，区间为[−1.01, +1.80]。两者均包含0，因此组合增量与稳定超加性应分别判断。AAEC组件交互为负，与收益重叠相容，但不能据此确定两阶段改变的是哪些对象。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1" name="four_cell_results.png" descr="四格中两个训练条件下的推理增量"/>
            <wp:cNvGraphicFramePr>
              <a:graphicFrameLocks noChangeAspect="1"/>
            </wp:cNvGraphicFramePr>
            <a:graphic>
              <a:graphicData uri="http://schemas.openxmlformats.org/drawingml/2006/picture">
                <pic:pic>
                  <pic:nvPicPr>
                    <pic:cNvPr id="0" name="four_cell_results.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两个训练条件下的推理增量与交互关系（人工情景）</w:t>
      </w:r>
      <w:bookmarkStart w:id="200" w:name="v9_200"/>
      <w:bookmarkEnd w:id="200"/>
    </w:p>
    <w:p>
      <w:pPr>
        <w:pStyle w:val="Heading2"/>
      </w:pPr>
      <w:r>
        <w:t>5.2 两阶段修复了哪些相同或不同对象</w:t>
      </w:r>
      <w:bookmarkStart w:id="96" w:name="v9_96"/>
      <w:bookmarkEnd w:id="96"/>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四格比较的净错误计数变化（人工情景）</w:t>
      </w:r>
      <w:bookmarkStart w:id="201" w:name="v9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+211／-202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+130／-126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+90／-89</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+274／-250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+248／-225</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+224／-208</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+203／-193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+201／-179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+176／-156</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+187／-171</w:t>
            </w:r>
          </w:p>
        </w:tc>
      </w:tr>
    </w:tbl>
    <w:p>
      <w:pPr>
        <w:spacing w:after="0" w:line="240" w:lineRule="auto"/>
      </w:pPr>
    </w:p>
    <w:p>
      <w:r>
        <w:rPr>
          <w:rFonts w:ascii="Times New Roman" w:hAnsi="Times New Roman" w:eastAsia="Songti SC"/>
          <w:color w:val="000000"/>
        </w:rPr>
        <w:t>AAEC在T1下修正的关系净TP增加224，小于T0下的248；CDCP则为187与176。训练后剩余修正空间并非在两个语料上同幅度收缩。表4-8中BR-J的恢复与损失分别为289−65、233−46，恰好对应上述净增量；图4-3保留两类数量，第五章不重复绘制同一风险。</w:t>
      </w:r>
    </w:p>
    <w:p>
      <w:r>
        <w:rPr>
          <w:rFonts w:ascii="Times New Roman" w:hAnsi="Times New Roman" w:eastAsia="Songti SC"/>
          <w:color w:val="000000"/>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rPr>
        <w:t>为四格中的预测对象集合，</w:t>
      </w:r>
      <m:oMath>
        <m:r>
          <m:t xml:space="preserve">Ω</m:t>
        </m:r>
      </m:oMath>
      <w:r>
        <w:rPr>
          <w:rFonts w:ascii="Times New Roman" w:hAnsi="Times New Roman" w:eastAsia="Songti SC"/>
          <w:color w:val="000000"/>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rPr>
        <w:t>中的剩余遗漏。原有正确对象被组合破坏、T1正确对象被I1破坏也分别登记，新增错误关系与移除错误关系单列。</w:t>
      </w:r>
    </w:p>
    <w:p>
      <w:r>
        <w:rPr>
          <w:rFonts w:ascii="Times New Roman" w:hAnsi="Times New Roman" w:eastAsia="Songti SC"/>
          <w:color w:val="000000"/>
        </w:rPr>
        <w:t>当前逐文档TP、FP、FN只能支持净变化，无法重建这些集合。同一净增量可以由不同的恢复和损失组成，故本版不填共同／独有修复比例，也不将负交互解释为已证实的对象重叠。附录H.4给出可复用正式四格预测的记录格式；真实分析按文档配对，重复种子不扩大独立文档数。</w:t>
      </w:r>
    </w:p>
    <w:p>
      <w:pPr>
        <w:pStyle w:val="Heading2"/>
      </w:pPr>
      <w:r>
        <w:t>5.3 训练如何改变修正条件</w:t>
      </w:r>
      <w:bookmarkStart w:id="97" w:name="v9_97"/>
      <w:bookmarkEnd w:id="97"/>
    </w:p>
    <w:p>
      <w:r>
        <w:rPr>
          <w:rFonts w:ascii="Times New Roman" w:hAnsi="Times New Roman" w:eastAsia="Songti SC"/>
          <w:color w:val="000000"/>
        </w:rPr>
        <w:t>四格中的训练变化至少经由三个环节影响修正。第一，初始图的错误构成发生变化：边界、类型、完整端点与关系判断需要分别统计。第二，多候选生成可能改变完整对象覆盖，特别是正确组件能否同时共存、完整超边是否进入冻结候选。第三，T0与T1的错误分布不同，评分适配及高分错误对象也可能随之变化。任何一个环节都不能由最终F1单独识别。</w:t>
      </w:r>
    </w:p>
    <w:p>
      <w:r>
        <w:rPr>
          <w:rFonts w:ascii="Times New Roman" w:hAnsi="Times New Roman" w:eastAsia="Songti SC"/>
          <w:color w:val="000000"/>
        </w:rPr>
        <w:t>正式分析在同一评价文档上关联初始错误、裁剪前后覆盖和最终对象变化。评分变化先在共同提案集合上比较，再查看各自搜索访问的提案，避免把访问分布变化误称为校准改善。若需进一步归因，可在训练侧选择固定评分器与适配评分器的交叉比较；缺少这一控制时，四格只解释整个训练条件的影响。</w:t>
      </w:r>
    </w:p>
    <w:p>
      <w:r>
        <w:rPr>
          <w:rFonts w:ascii="Times New Roman" w:hAnsi="Times New Roman" w:eastAsia="Songti SC"/>
          <w:color w:val="000000"/>
        </w:rPr>
        <w:t>现有情景显示AAEC的修正条件增量由6.62降至5.99，而CDCP由6.31增至6.71，但相关交互区间包含0。它提示分析方向，却没有确定变化来自初始错误减少、候选改善或评分适配。表4-5的T1覆盖结果也不能被当作T0到T1的覆盖变化。</w:t>
      </w:r>
    </w:p>
    <w:p>
      <w:pPr>
        <w:pStyle w:val="Heading2"/>
      </w:pPr>
      <w:r>
        <w:t>5.4 何时值得启用修正</w:t>
      </w:r>
      <w:bookmarkStart w:id="98" w:name="v9_98"/>
      <w:bookmarkEnd w:id="98"/>
    </w:p>
    <w:p>
      <w:r>
        <w:rPr>
          <w:rFonts w:ascii="Times New Roman" w:hAnsi="Times New Roman" w:eastAsia="Songti SC"/>
          <w:color w:val="000000"/>
        </w:rPr>
        <w:t>配置选择应同时考虑在线质量、额外时延和错误变更。表5-4压缩重复F1，直接列出相对T0＋I0的关系增量与逐文档额外时间；AAEC和CDCP共同起点分别为17.00秒和22.00秒。</w:t>
      </w:r>
    </w:p>
    <w:p>
      <w:pPr>
        <w:pStyle w:val="TableCaption"/>
      </w:pPr>
      <w:r>
        <w:rPr>
          <w:rFonts w:ascii="Times New Roman" w:hAnsi="Times New Roman" w:eastAsia="Songti SC"/>
          <w:color w:val="000000"/>
          <w:sz w:val="21"/>
        </w:rPr>
        <w:t>表5-4 相对共同起点的关系增量与在线额外时间（人工情景）</w:t>
      </w:r>
      <w:bookmarkStart w:id="202" w:name="v9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+13.31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+13.92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若训练的一次性投入已经完成，仅比较本情景的关系F1与在线平均时间，T1＋I0同时优于T0＋I1：AAEC高0.70个百分点、少13.00秒，CDCP高0.90个百分点、少21.16秒。这说明不能仅因允许预测后修正就默认采用“只修正”配置。若无法重训、服务量很小或已有模型必须冻结，一次性训练投入会改变判断，上述在线比较不适用。</w:t>
      </w:r>
    </w:p>
    <w:p>
      <w:r>
        <w:rPr>
          <w:rFonts w:ascii="Times New Roman" w:hAnsi="Times New Roman" w:eastAsia="Songti SC"/>
          <w:color w:val="000000"/>
        </w:rPr>
        <w:t>在T1上启用BR-J需再增加14.00秒和22.16秒，关系F1增加5.99和6.71个百分点，同时仍发生误改。等求解预算全局ILP则在本情景中具有略高的关系F1与初始TP保留率，其端到端时间只多1.40秒和2.24秒。需要最高抽取质量且能容忍这部分时间时，全局方案应进入优先比较；需要限制每次变更或复核局部修改时，可进一步测量事务策略的实际价值，不能仅凭局部日志预判优劣。</w:t>
      </w:r>
    </w:p>
    <w:p>
      <w:r>
        <w:rPr>
          <w:rFonts w:ascii="Times New Roman" w:hAnsi="Times New Roman" w:eastAsia="Songti SC"/>
          <w:color w:val="000000"/>
        </w:rPr>
        <w:t>上述排序限于设定的平均时间。P95、超时、无可行解、缓存及批量吞吐可能改变实际选择；等端到端时限与真实图规模分组尚需附录H.3的运行记录。若相同资源下局部方法没有稳定质量或变更控制收益，简化它比继续增加规则更有意义。</w:t>
      </w:r>
    </w:p>
    <w:p>
      <w:pPr>
        <w:pStyle w:val="Heading2"/>
      </w:pPr>
      <w:r>
        <w:t>5.5 最终失败发生在哪里</w:t>
      </w:r>
      <w:bookmarkStart w:id="99" w:name="v9_99"/>
      <w:bookmarkEnd w:id="99"/>
    </w:p>
    <w:p>
      <w:r>
        <w:rPr>
          <w:rFonts w:ascii="Times New Roman" w:hAnsi="Times New Roman" w:eastAsia="Songti SC"/>
          <w:color w:val="000000"/>
        </w:rPr>
        <w:t>对于未恢复金标对象，先检查组件候选缺失，再检查完整关系槽位、动作表达、队列纳入、预算执行和接受门。按照最早阻断环节给出一个主标签，其余原因作为附加标签。该顺序把“增加时间能解决什么”与“需要改变候选或动作才能解决什么”分开；它描述恢复路径上的阻断，不自动给出自然语言错误的独立因果比例。成功或错误接受还需完整前后状态，案例格式见附录B.5。</w:t>
      </w:r>
    </w:p>
    <w:p>
      <w:r>
        <w:rPr>
          <w:rFonts w:ascii="Times New Roman" w:hAnsi="Times New Roman" w:eastAsia="Songti SC"/>
          <w:color w:val="000000"/>
        </w:rPr>
        <w:t>长源集合尤其需要区分保护与新建。表5-5保留CDCP原生超边计数，金标数按一个固定人工集合报告，三个种子共享该集合；各组F1分别计算，整体仍从所有对象计数重算。</w:t>
      </w:r>
    </w:p>
    <w:p>
      <w:pPr>
        <w:pStyle w:val="TableCaption"/>
      </w:pPr>
      <w:r>
        <w:rPr>
          <w:rFonts w:ascii="Times New Roman" w:hAnsi="Times New Roman" w:eastAsia="Songti SC"/>
          <w:color w:val="000000"/>
          <w:sz w:val="21"/>
        </w:rPr>
        <w:t>表5-5 CDCP完整关系的源成员数分组（人工情景）</w:t>
      </w:r>
      <w:bookmarkStart w:id="203" w:name="v9_203"/>
      <w:bookmarkEnd w:id="20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38.99±5.35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39.40±3.84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49.95±3.86</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原“3个及以上”实际只含3成员，超过3成员组在当前人工集合中为0，故不报告F1。已有长超边是否保住，应以初始图中已正确预测的长超边为分母；遗漏长超边能否新建，应以初始遗漏的长超边为分母，进一步区分其他完整候选图已经提供的保护槽位与新增枚举槽位。新增枚举上限为3，不排除从其他成功候选图选回更长的受保护对象，但不能创造未在保护池中的任意长源组合。</w:t>
      </w:r>
    </w:p>
    <w:p>
      <w:r>
        <w:rPr>
          <w:rFonts w:ascii="Times New Roman" w:hAnsi="Times New Roman" w:eastAsia="Songti SC"/>
          <w:color w:val="000000"/>
        </w:rPr>
        <w:t>这两个问题需要不同账本，当前0样本组不能用于证明保护成功或恢复无效。本章只比较AAEC与CDCP的原生域内任务，附录E的粗粒度跨域记录保持历史身份。</w:t>
      </w:r>
    </w:p>
    <w:p>
      <w:pPr>
        <w:pStyle w:val="Heading2"/>
      </w:pPr>
      <w:r>
        <w:t>5.6 本章小结</w:t>
      </w:r>
      <w:bookmarkStart w:id="100" w:name="v9_100"/>
      <w:bookmarkEnd w:id="100"/>
    </w:p>
    <w:p>
      <w:r>
        <w:rPr>
          <w:rFonts w:ascii="Times New Roman" w:hAnsi="Times New Roman" w:eastAsia="Songti SC"/>
          <w:color w:val="000000"/>
        </w:rPr>
        <w:t>综合分析得到三点情景内认识：训练与推理均有条件增量，但关系交互尚未显示稳定超加；在线配置的选择受到训练能否摊销以及修正额外时延影响；BR-J面对等求解预算全局对照时，现有质量、时间与保留率不足以建立突出优势。对象重叠、训练对候选和评分的传递，以及真实失败构成仍需完整运行材料。由此，两阶段组合应作为可检验的配置选择，而非预设处处优于单阶段的方法结论。</w:t>
      </w:r>
    </w:p>
    <w:p>
      <w:pPr>
        <w:pStyle w:val="Heading1"/>
      </w:pPr>
      <w:r>
        <w:t>第六章 总结与展望</w:t>
      </w:r>
      <w:bookmarkStart w:id="101" w:name="v9_101"/>
      <w:bookmarkEnd w:id="101"/>
    </w:p>
    <w:p>
      <w:pPr>
        <w:pStyle w:val="Heading2"/>
      </w:pPr>
      <w:r>
        <w:t>6.1 研究总结</w:t>
      </w:r>
      <w:bookmarkStart w:id="102" w:name="v9_102"/>
      <w:bookmarkEnd w:id="102"/>
    </w:p>
    <w:p>
      <w:r>
        <w:rPr>
          <w:rFonts w:ascii="Times New Roman" w:hAnsi="Times New Roman" w:eastAsia="Songti SC"/>
          <w:color w:val="000000"/>
        </w:rPr>
        <w:t>本文以组件与关系之间的依赖为主线，分别研究训练时监督保持和推理时结构恢复。第一项工作按关系影响域检查局部改写，以标注对应连接原文、增强文及成对因素学习；第二项工作以组件集合替换及全部受影响关系重建作为共同决策单位，在固定候选与评分下比较局部事务和全局结构选择。两项工作共享原生任务和严格评价，承担不同阶段的问题。</w:t>
      </w:r>
    </w:p>
    <w:p>
      <w:r>
        <w:rPr>
          <w:rFonts w:ascii="Times New Roman" w:hAnsi="Times New Roman" w:eastAsia="Songti SC"/>
          <w:color w:val="000000"/>
        </w:rPr>
        <w:t>第一项工作需要同时回答增强是否可靠、是否仍有充分变化，以及对应因素学习是否具有独立作用。本文把数据构造、头监督、成对项和中心策略分开比较。现有人工情景中，数据构造与成对项分别表现出条件增量，而中心差值区间包含0；因此贡献落在关系影响域及可靠对应的组织方式，结论优先保留为默认策略。</w:t>
      </w:r>
    </w:p>
    <w:p>
      <w:r>
        <w:rPr>
          <w:rFonts w:ascii="Times New Roman" w:hAnsi="Times New Roman" w:eastAsia="Songti SC"/>
          <w:color w:val="000000"/>
        </w:rPr>
        <w:t>第二项工作明确了集合动作如何联合处理相互依赖的修改，但动作表达能力不等于使用价值。在当前情景中，BR-J相对分步策略改善关系结果；同评分、等求解预算全局ILP又取得略高关系F1和保留率，BR-J只节省少量端到端时间。这使研究结论转向具体资源和变更要求下的取舍，局部方法是否值得保留需由实际比较决定。</w:t>
      </w:r>
    </w:p>
    <w:p>
      <w:r>
        <w:rPr>
          <w:rFonts w:ascii="Times New Roman" w:hAnsi="Times New Roman" w:eastAsia="Songti SC"/>
          <w:color w:val="000000"/>
        </w:rPr>
        <w:t>两阶段四格避免把组合总增量误写为相互独立或稳定超加。第五章进一步区分净计数与对象重叠，讨论离线训练投入、在线时延及完整超边范围。方法价值最终由现实问题规模、可复核输出和相应代价支撑；数学构造与文档复算负责检验定义和论述的内部一致性。</w:t>
      </w:r>
    </w:p>
    <w:p>
      <w:pPr>
        <w:pStyle w:val="Heading2"/>
      </w:pPr>
      <w:r>
        <w:t>6.2 研究局限</w:t>
      </w:r>
      <w:bookmarkStart w:id="103" w:name="v9_103"/>
      <w:bookmarkEnd w:id="103"/>
    </w:p>
    <w:p>
      <w:r>
        <w:rPr>
          <w:rFonts w:ascii="Times New Roman" w:hAnsi="Times New Roman" w:eastAsia="Songti SC"/>
          <w:color w:val="000000"/>
        </w:rPr>
        <w:t>本版采用人工计数情景，尚未完成真实语料上的训练、增强审阅与求解比较，情景数值不用于证明方法有效。原始改写文本、四格完整预测和求解状态等材料缺失，使表达变化、对象级互补和真实尾延迟尚不能定量判断；外部方法已完成定位与接入条件核查，尚无本版同协议复跑成绩。</w:t>
      </w:r>
    </w:p>
    <w:p>
      <w:r>
        <w:rPr>
          <w:rFonts w:ascii="Times New Roman" w:hAnsi="Times New Roman" w:eastAsia="Songti SC"/>
          <w:color w:val="000000"/>
        </w:rPr>
        <w:t>方法本身也有边界。影响域检查受语义判断与标注完备性影响，严格筛选可能改变源分布；成对项约束辅助因素，不能保证生成整图严格等变。推理只能访问冻结候选及声明动作，长超边新增能力受限；对象评分偏差会造成误改，分项门也可能拒绝真实有益方案。固定效用的性质限定决策过程，不提供真实F1或全局最优保证。</w:t>
      </w:r>
    </w:p>
    <w:p>
      <w:r>
        <w:rPr>
          <w:rFonts w:ascii="Times New Roman" w:hAnsi="Times New Roman" w:eastAsia="Songti SC"/>
          <w:color w:val="000000"/>
        </w:rPr>
        <w:t>统计结论限定于原生AAEC与CDCP及三个重复种子的协议。原生关系、二元投影与历史跨域Link-F1分别解释；平均时间也不能替代部署中的尾延迟、批量吞吐和一次性投入。结论中的取舍须随真实结果一起更新。</w:t>
      </w:r>
    </w:p>
    <w:p>
      <w:pPr>
        <w:pStyle w:val="Heading2"/>
      </w:pPr>
      <w:r>
        <w:t>6.3 后续研究方向</w:t>
      </w:r>
      <w:bookmarkStart w:id="104" w:name="v9_104"/>
      <w:bookmarkEnd w:id="104"/>
    </w:p>
    <w:p>
      <w:r>
        <w:rPr>
          <w:rFonts w:ascii="Times New Roman" w:hAnsi="Times New Roman" w:eastAsia="Songti SC"/>
          <w:color w:val="000000"/>
        </w:rPr>
        <w:t>首先完成训练侧的小规模问题诊断和全流程资源测量，以真实漂移、表达变化、初始错误及裁剪前规模决定设计是否值得继续。其次在共同候选与评分下比较BR-J和等求解／等端到端预算全局方法，保留不利和不显著结果。关键假设不成立时，先调整定位或简化机制。</w:t>
      </w:r>
    </w:p>
    <w:p>
      <w:r>
        <w:rPr>
          <w:rFonts w:ascii="Times New Roman" w:hAnsi="Times New Roman" w:eastAsia="Songti SC"/>
          <w:color w:val="000000"/>
        </w:rPr>
        <w:t>之后复用同一批正式运行完成外部系统定位、同数据学习比较、推理策略及四格对象分析。新增候选组织或长超边扩展仅在覆盖与资源证据需要时开展，并重新核对全部对照的共同条件。主要主张已有直接证据后，工作重点转为压缩论证和整理交付，不继续以模块或检查数量扩张研究范围。</w:t>
      </w:r>
    </w:p>
    <w:p>
      <w:pPr>
        <w:pStyle w:val="Heading1"/>
      </w:pPr>
      <w:r>
        <w:t>参考文献</w:t>
      </w:r>
      <w:bookmarkStart w:id="105" w:name="v9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9_106"/>
      <w:bookmarkEnd w:id="106"/>
    </w:p>
    <w:p>
      <w:pPr>
        <w:pStyle w:val="Heading2"/>
      </w:pPr>
      <w:r>
        <w:t>A.1 坐标与结构数据</w:t>
      </w:r>
      <w:bookmarkStart w:id="107" w:name="v9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9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4" w:name="v9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9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9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配置身份为1010-v1-global-review。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5" w:name="v9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9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2"/>
      </w:pPr>
      <w:r>
        <w:t>A.6 序列化、坐标与候选构造细则</w:t>
      </w:r>
      <w:bookmarkStart w:id="112" w:name="v9_112"/>
      <w:bookmarkEnd w:id="112"/>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9_113"/>
      <w:bookmarkEnd w:id="113"/>
    </w:p>
    <w:p>
      <w:pPr>
        <w:pStyle w:val="Heading2"/>
      </w:pPr>
      <w:r>
        <w:t>B.1 数据与模型身份</w:t>
      </w:r>
      <w:bookmarkStart w:id="114" w:name="v9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9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9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pStyle w:val="Heading2"/>
      </w:pPr>
      <w:r>
        <w:t>B.4 实现一致性测试</w:t>
      </w:r>
      <w:bookmarkStart w:id="117" w:name="v9_117"/>
      <w:bookmarkEnd w:id="117"/>
    </w:p>
    <w:p>
      <w:pPr>
        <w:pStyle w:val="Heading3"/>
      </w:pPr>
      <w:r>
        <w:t>B.4.1 已执行的构造检查</w:t>
      </w:r>
      <w:bookmarkStart w:id="118" w:name="v9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9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9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6" w:name="v9_206"/>
      <w:bookmarkEnd w:id="20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9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9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9_123"/>
      <w:bookmarkEnd w:id="123"/>
    </w:p>
    <w:p>
      <w:pPr>
        <w:pStyle w:val="Heading2"/>
      </w:pPr>
      <w:r>
        <w:t>C.1 前期共同成果</w:t>
      </w:r>
      <w:bookmarkStart w:id="124" w:name="v9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9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9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9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9_128"/>
      <w:bookmarkEnd w:id="128"/>
    </w:p>
    <w:p>
      <w:pPr>
        <w:pStyle w:val="Heading2"/>
      </w:pPr>
      <w:r>
        <w:t>D.1 前期结果的使用范围</w:t>
      </w:r>
      <w:bookmarkStart w:id="129" w:name="v9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9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9_131"/>
      <w:bookmarkEnd w:id="131"/>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2" w:name="v9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9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9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5" w:name="v9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9_136"/>
      <w:bookmarkEnd w:id="136"/>
    </w:p>
    <w:p>
      <w:pPr>
        <w:pStyle w:val="TableCaption"/>
        <w:spacing w:line="380" w:lineRule="exact"/>
      </w:pPr>
      <w:r>
        <w:rPr>
          <w:rFonts w:ascii="Times New Roman" w:hAnsi="Times New Roman" w:eastAsia="Songti SC"/>
          <w:color w:val="000000"/>
          <w:sz w:val="21"/>
        </w:rPr>
        <w:t>表E-1 AAEC组件分类别旧稿记录</w:t>
      </w:r>
      <w:bookmarkStart w:id="207" w:name="v9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9_137"/>
      <w:bookmarkEnd w:id="137"/>
    </w:p>
    <w:p>
      <w:pPr>
        <w:pStyle w:val="TableCaption"/>
        <w:spacing w:line="380" w:lineRule="exact"/>
      </w:pPr>
      <w:r>
        <w:rPr>
          <w:rFonts w:ascii="Times New Roman" w:hAnsi="Times New Roman" w:eastAsia="Songti SC"/>
          <w:color w:val="000000"/>
          <w:sz w:val="21"/>
        </w:rPr>
        <w:t>表E-2 ICIC原版AAEC域内结果记录</w:t>
      </w:r>
      <w:bookmarkStart w:id="208" w:name="v9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9_138"/>
      <w:bookmarkEnd w:id="138"/>
    </w:p>
    <w:p>
      <w:pPr>
        <w:pStyle w:val="TableCaption"/>
        <w:spacing w:line="380" w:lineRule="exact"/>
      </w:pPr>
      <w:r>
        <w:rPr>
          <w:rFonts w:ascii="Times New Roman" w:hAnsi="Times New Roman" w:eastAsia="Songti SC"/>
          <w:color w:val="000000"/>
          <w:sz w:val="21"/>
        </w:rPr>
        <w:t>表E-3 ICIC原版CDCP域内结果记录</w:t>
      </w:r>
      <w:bookmarkStart w:id="209" w:name="v9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9_139"/>
      <w:bookmarkEnd w:id="139"/>
    </w:p>
    <w:p>
      <w:pPr>
        <w:pStyle w:val="TableCaption"/>
        <w:spacing w:line="380" w:lineRule="exact"/>
      </w:pPr>
      <w:r>
        <w:rPr>
          <w:rFonts w:ascii="Times New Roman" w:hAnsi="Times New Roman" w:eastAsia="Songti SC"/>
          <w:color w:val="000000"/>
          <w:sz w:val="21"/>
        </w:rPr>
        <w:t>表E-4 ICIC原版模块消融记录</w:t>
      </w:r>
      <w:bookmarkStart w:id="210" w:name="v9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9_140"/>
      <w:bookmarkEnd w:id="140"/>
    </w:p>
    <w:p>
      <w:pPr>
        <w:pStyle w:val="TableCaption"/>
        <w:spacing w:line="380" w:lineRule="exact"/>
      </w:pPr>
      <w:r>
        <w:rPr>
          <w:rFonts w:ascii="Times New Roman" w:hAnsi="Times New Roman" w:eastAsia="Songti SC"/>
          <w:color w:val="000000"/>
          <w:sz w:val="21"/>
        </w:rPr>
        <w:t>表E-5 ICIC原版验证器替换记录</w:t>
      </w:r>
      <w:bookmarkStart w:id="211" w:name="v9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9_141"/>
      <w:bookmarkEnd w:id="141"/>
    </w:p>
    <w:p>
      <w:pPr>
        <w:pStyle w:val="TableCaption"/>
        <w:spacing w:line="380" w:lineRule="exact"/>
      </w:pPr>
      <w:r>
        <w:rPr>
          <w:rFonts w:ascii="Times New Roman" w:hAnsi="Times New Roman" w:eastAsia="Songti SC"/>
          <w:color w:val="000000"/>
          <w:sz w:val="21"/>
        </w:rPr>
        <w:t>表E-6 ICIC原版Oracle记录</w:t>
      </w:r>
      <w:bookmarkStart w:id="212" w:name="v9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9_142"/>
      <w:bookmarkEnd w:id="142"/>
    </w:p>
    <w:p>
      <w:pPr>
        <w:pStyle w:val="TableCaption"/>
        <w:spacing w:line="380" w:lineRule="exact"/>
      </w:pPr>
      <w:r>
        <w:rPr>
          <w:rFonts w:ascii="Times New Roman" w:hAnsi="Times New Roman" w:eastAsia="Songti SC"/>
          <w:color w:val="000000"/>
          <w:sz w:val="21"/>
        </w:rPr>
        <w:t>表E-7 ICIC原版修正行为记录</w:t>
      </w:r>
      <w:bookmarkStart w:id="213" w:name="v9_213"/>
      <w:bookmarkEnd w:id="21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9_143"/>
      <w:bookmarkEnd w:id="143"/>
    </w:p>
    <w:p>
      <w:pPr>
        <w:pStyle w:val="TableCaption"/>
        <w:spacing w:line="380" w:lineRule="exact"/>
      </w:pPr>
      <w:r>
        <w:rPr>
          <w:rFonts w:ascii="Times New Roman" w:hAnsi="Times New Roman" w:eastAsia="Songti SC"/>
          <w:color w:val="000000"/>
          <w:sz w:val="21"/>
        </w:rPr>
        <w:t>表E-8 前期粗粒度组件映射</w:t>
      </w:r>
      <w:bookmarkStart w:id="214" w:name="v9_214"/>
      <w:bookmarkEnd w:id="21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9_144"/>
      <w:bookmarkEnd w:id="144"/>
    </w:p>
    <w:p>
      <w:pPr>
        <w:pStyle w:val="TableCaption"/>
        <w:spacing w:line="380" w:lineRule="exact"/>
      </w:pPr>
      <w:r>
        <w:rPr>
          <w:rFonts w:ascii="Times New Roman" w:hAnsi="Times New Roman" w:eastAsia="Songti SC"/>
          <w:color w:val="000000"/>
          <w:sz w:val="21"/>
        </w:rPr>
        <w:t>表E-9 ICIC原版AAEC到CDCP迁移记录</w:t>
      </w:r>
      <w:bookmarkStart w:id="215" w:name="v9_215"/>
      <w:bookmarkEnd w:id="21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9_145"/>
      <w:bookmarkEnd w:id="145"/>
    </w:p>
    <w:p>
      <w:pPr>
        <w:pStyle w:val="Heading2"/>
      </w:pPr>
      <w:r>
        <w:t>F.1 核心术语与符号</w:t>
      </w:r>
      <w:bookmarkStart w:id="146" w:name="v9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6" w:name="v9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9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9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7" w:name="v9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5.1至5.5阶段增量、对象变化与配置选择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5.5及附录E.8至E.9</w:t>
            </w:r>
          </w:p>
        </w:tc>
      </w:tr>
    </w:tbl>
    <w:p>
      <w:pPr>
        <w:spacing w:after="0" w:line="240" w:lineRule="auto"/>
      </w:pPr>
    </w:p>
    <w:p>
      <w:pPr>
        <w:pStyle w:val="Heading1"/>
      </w:pPr>
      <w:r>
        <w:t>附录G 外部方法定位与比较协议</w:t>
      </w:r>
      <w:bookmarkStart w:id="149" w:name="v9_149"/>
      <w:bookmarkEnd w:id="149"/>
    </w:p>
    <w:p>
      <w:pPr>
        <w:pStyle w:val="Heading2"/>
      </w:pPr>
      <w:r>
        <w:t>G.1 检索范围与方法选择</w:t>
      </w:r>
      <w:bookmarkStart w:id="150" w:name="v9_150"/>
      <w:bookmarkEnd w:id="150"/>
    </w:p>
    <w:p>
      <w:pPr>
        <w:spacing w:line="380" w:lineRule="exact"/>
      </w:pPr>
      <w:r>
        <w:rPr>
          <w:rFonts w:ascii="Times New Roman" w:hAnsi="Times New Roman" w:eastAsia="Songti SC"/>
          <w:color w:val="000000"/>
          <w:sz w:val="22"/>
        </w:rPr>
        <w:t>本轮检索截至2026年10月10日，优先使用ACL Anthology、论文原文、arXiv作者版本与论文所指向的公开仓库。表G-1记录纳入考虑的方法类别，检索目的为建立可执行的比较范围，未据此作穷尽性新颖性或“首次”判断。原论文成绩不并入本版人工情景主表。</w:t>
      </w:r>
    </w:p>
    <w:p>
      <w:pPr>
        <w:pStyle w:val="TableCaption"/>
        <w:spacing w:line="380" w:lineRule="exact"/>
      </w:pPr>
      <w:r>
        <w:rPr>
          <w:rFonts w:ascii="Times New Roman" w:hAnsi="Times New Roman" w:eastAsia="Songti SC"/>
          <w:color w:val="000000"/>
          <w:sz w:val="21"/>
        </w:rPr>
        <w:t>表G-1 外部研究候选与本稿比较用途</w:t>
      </w:r>
      <w:bookmarkStart w:id="218" w:name="v9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9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；本轮访问未取得可检查的仓库内容，因此仅确认论文所载地址，不标记环境可运行。QOS／DOS的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所列分类任务用于说明输入边界。AASP、ARGUS的本轮记录以原文方法为限，不将未检查的代码写成已复现。</w:t>
      </w:r>
    </w:p>
    <w:p>
      <w:pPr>
        <w:spacing w:line="380" w:lineRule="exact"/>
      </w:pPr>
      <w:r>
        <w:rPr>
          <w:rFonts w:ascii="Times New Roman" w:hAnsi="Times New Roman" w:eastAsia="Songti SC"/>
          <w:color w:val="000000"/>
          <w:sz w:val="22"/>
        </w:rPr>
        <w:t>本轮没有安装或执行上述模型。系统主对照优先完成Kawarada与UniASA的表示审计，再依据真实接入结果保留至少一种原生任务可比方法；GMAM、DENIM和动作模型用于必要的补充，避免用大量异口径原报告分数替代一个可靠对照。</w:t>
      </w:r>
    </w:p>
    <w:p>
      <w:pPr>
        <w:pStyle w:val="Heading2"/>
      </w:pPr>
      <w:r>
        <w:t>G.3 QOS式适配与本方法的差异</w:t>
      </w:r>
      <w:bookmarkStart w:id="152" w:name="v9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9" w:name="v9_219"/>
      <w:bookmarkEnd w:id="21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-8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9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9_154"/>
      <w:bookmarkEnd w:id="154"/>
    </w:p>
    <w:p>
      <w:pPr>
        <w:pStyle w:val="Heading2"/>
      </w:pPr>
      <w:r>
        <w:t>H.1 训练侧问题规模与初始错误</w:t>
      </w:r>
      <w:bookmarkStart w:id="155" w:name="v9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9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并在训练侧冻结的长度、关系数及显式／隐式关系组中并列展示非复制、编辑距离、接受比例与因素漂移。任务结果另来自匹配规模轨道；分组差异用于检查选择偏向，不据聚合相关性声称某种改写幅度必然提高F1。</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固定尝试轨训练成本存档（人工情景）</w:t>
      </w:r>
      <w:bookmarkStart w:id="220" w:name="v9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9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现有人工情景的平均与P95耗时是设定输入，不是从真实逐文档延迟计算的尾分位，也没有真实求解证书。新预算轨和规模分组在取得日志前只作为协议，不补填超时率、gap或可行解覆盖。</w:t>
      </w:r>
    </w:p>
    <w:p>
      <w:pPr>
        <w:pStyle w:val="Heading2"/>
      </w:pPr>
      <w:r>
        <w:t>H.4 四格对象、恢复阻断与案例</w:t>
      </w:r>
      <w:bookmarkStart w:id="158" w:name="v9_158"/>
      <w:bookmarkEnd w:id="158"/>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从模拟情景替换为真实证据的顺序</w:t>
      </w:r>
      <w:bookmarkStart w:id="159" w:name="v9_159"/>
      <w:bookmarkEnd w:id="159"/>
    </w:p>
    <w:p>
      <w:pPr>
        <w:spacing w:line="380" w:lineRule="exact"/>
      </w:pPr>
      <w:r>
        <w:rPr>
          <w:rFonts w:ascii="Times New Roman" w:hAnsi="Times New Roman" w:eastAsia="Songti SC"/>
          <w:color w:val="000000"/>
          <w:sz w:val="22"/>
        </w:rPr>
        <w:t>先取得增强文本与基线OOF预测，检查问题频率和表达变化；再跑通候选—评分—修正全链路及强全局对照，测量实际规模与资源。若关键收益不足，先简化方法和调整定位，再决定正式比较规模。之后复用冻结的训练、推理与外部基线运行形成主表、误改、四格对象和案例，不为每个分析另选有利运行。</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sectPr>
      <w:headerReference w:type="default" r:id="rId121"/>
      <w:footerReference w:type="default" r:id="rId122"/>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1010-v1 模拟数据演示稿；模拟身份见封面、摘要与实验表图</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