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1010-v2 模拟数据演示稿</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模拟数据演示稿。除附录E历史存档和明示的数学构造外，新增实验表图、审计判定、运行配置、成本及案例均为人工设定并由程序汇总的计数级模拟情景，不代表真实实验记录或效果预测。本稿供方法与分析推敲；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0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版使用AAEC与CDCP人工计数情景演示评价，数值不代表真实模型实验。情景中，同基础损失的数据构造差值为1.79／1.83个关系F1百分点，同增强集合上的成对项差值为1.92／1.88个百分点；中心差异与两阶段关系交互区间均包含0。同求解预算全局ILP的关系F1和初始真阳性保留率略高，BR-J仅节省4.19%／4.73%的端到端时间。现有材料说明了两类增量的区分及结构恢复的质量与代价取舍，尚不能证明真实增益或局部方案的采用优势。</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0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Artificial count scenarios for AAEC and CDCP illustrate evaluation; these are not empirical model results. The scenarios separate data-construction differences of 1.79/1.83 relation F1 points under the same base loss from paired-learning differences of 1.92/1.88 points on the same augmented data. Intervals for center differences and relation interactions include zero. Equal-solver-budget global ILP has slightly higher relation F1 and initial true-positive retention, while BR-J saves only 4.19%/4.73% of end-to-end time. The available material distinguishes these increments and illustrates quality–cost trade-offs in structural recovery; it establishes neither empirical gains nor an adoption advantage for local repair.</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0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0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0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0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0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0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0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0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0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0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0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10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0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10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10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10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10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10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10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10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10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10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10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10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10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10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10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10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10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10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10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17</w:t>
        </w:r>
      </w:hyperlink>
    </w:p>
    <w:p>
      <w:pPr>
        <w:pStyle w:val="TOC2"/>
      </w:pPr>
      <w:hyperlink w:anchor="v10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10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10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10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10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10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10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10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10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10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10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10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10_53" w:history="1">
        <w:r>
          <w:rPr>
            <w:rFonts w:ascii="Times New Roman" w:hAnsi="Times New Roman" w:eastAsia="Songti SC"/>
            <w:color w:val="000000"/>
            <w:sz w:val="22"/>
          </w:rPr>
          <w:t>3.5 算法及性质</w:t>
        </w:r>
        <w:r>
          <w:rPr>
            <w:rFonts w:ascii="Times New Roman" w:hAnsi="Times New Roman" w:eastAsia="Songti SC"/>
            <w:color w:val="000000"/>
            <w:sz w:val="22"/>
          </w:rPr>
          <w:tab/>
          <w:t>25</w:t>
        </w:r>
      </w:hyperlink>
    </w:p>
    <w:p>
      <w:pPr>
        <w:pStyle w:val="TOC3"/>
      </w:pPr>
      <w:hyperlink w:anchor="v10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25</w:t>
        </w:r>
      </w:hyperlink>
    </w:p>
    <w:p>
      <w:pPr>
        <w:pStyle w:val="TOC3"/>
      </w:pPr>
      <w:hyperlink w:anchor="v10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10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10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10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10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31</w:t>
        </w:r>
      </w:hyperlink>
    </w:p>
    <w:p>
      <w:pPr>
        <w:pStyle w:val="TOC3"/>
      </w:pPr>
      <w:hyperlink w:anchor="v10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10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2"/>
      </w:pPr>
      <w:hyperlink w:anchor="v10_62" w:history="1">
        <w:r>
          <w:rPr>
            <w:rFonts w:ascii="Times New Roman" w:hAnsi="Times New Roman" w:eastAsia="Songti SC"/>
            <w:color w:val="000000"/>
            <w:sz w:val="22"/>
          </w:rPr>
          <w:t>3.7 本章小结</w:t>
        </w:r>
        <w:r>
          <w:rPr>
            <w:rFonts w:ascii="Times New Roman" w:hAnsi="Times New Roman" w:eastAsia="Songti SC"/>
            <w:color w:val="000000"/>
            <w:sz w:val="22"/>
          </w:rPr>
          <w:tab/>
          <w:t>33</w:t>
        </w:r>
      </w:hyperlink>
    </w:p>
    <w:p>
      <w:pPr>
        <w:pStyle w:val="TOC1"/>
        <w:keepNext/>
        <w:spacing w:before="120"/>
      </w:pPr>
      <w:hyperlink w:anchor="v10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34</w:t>
        </w:r>
      </w:hyperlink>
    </w:p>
    <w:p>
      <w:pPr>
        <w:pStyle w:val="TOC2"/>
      </w:pPr>
      <w:hyperlink w:anchor="v10_64" w:history="1">
        <w:r>
          <w:rPr>
            <w:rFonts w:ascii="Times New Roman" w:hAnsi="Times New Roman" w:eastAsia="Songti SC"/>
            <w:color w:val="000000"/>
            <w:sz w:val="22"/>
          </w:rPr>
          <w:t>4.1 引言</w:t>
        </w:r>
        <w:r>
          <w:rPr>
            <w:rFonts w:ascii="Times New Roman" w:hAnsi="Times New Roman" w:eastAsia="Songti SC"/>
            <w:color w:val="000000"/>
            <w:sz w:val="22"/>
          </w:rPr>
          <w:tab/>
          <w:t>34</w:t>
        </w:r>
      </w:hyperlink>
    </w:p>
    <w:p>
      <w:pPr>
        <w:pStyle w:val="TOC2"/>
      </w:pPr>
      <w:hyperlink w:anchor="v10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36</w:t>
        </w:r>
      </w:hyperlink>
    </w:p>
    <w:p>
      <w:pPr>
        <w:pStyle w:val="TOC3"/>
      </w:pPr>
      <w:hyperlink w:anchor="v10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36</w:t>
        </w:r>
      </w:hyperlink>
    </w:p>
    <w:p>
      <w:pPr>
        <w:pStyle w:val="TOC3"/>
      </w:pPr>
      <w:hyperlink w:anchor="v10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36</w:t>
        </w:r>
      </w:hyperlink>
    </w:p>
    <w:p>
      <w:pPr>
        <w:pStyle w:val="TOC3"/>
      </w:pPr>
      <w:hyperlink w:anchor="v10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37</w:t>
        </w:r>
      </w:hyperlink>
    </w:p>
    <w:p>
      <w:pPr>
        <w:pStyle w:val="TOC3"/>
      </w:pPr>
      <w:hyperlink w:anchor="v10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37</w:t>
        </w:r>
      </w:hyperlink>
    </w:p>
    <w:p>
      <w:pPr>
        <w:pStyle w:val="TOC3"/>
      </w:pPr>
      <w:hyperlink w:anchor="v10_70"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38</w:t>
        </w:r>
      </w:hyperlink>
    </w:p>
    <w:p>
      <w:pPr>
        <w:pStyle w:val="TOC2"/>
      </w:pPr>
      <w:hyperlink w:anchor="v10_71"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38</w:t>
        </w:r>
      </w:hyperlink>
    </w:p>
    <w:p>
      <w:pPr>
        <w:pStyle w:val="TOC3"/>
      </w:pPr>
      <w:hyperlink w:anchor="v10_72"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39</w:t>
        </w:r>
      </w:hyperlink>
    </w:p>
    <w:p>
      <w:pPr>
        <w:pStyle w:val="TOC3"/>
      </w:pPr>
      <w:hyperlink w:anchor="v10_73"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39</w:t>
        </w:r>
      </w:hyperlink>
    </w:p>
    <w:p>
      <w:pPr>
        <w:pStyle w:val="TOC2"/>
      </w:pPr>
      <w:hyperlink w:anchor="v10_74"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40</w:t>
        </w:r>
      </w:hyperlink>
    </w:p>
    <w:p>
      <w:pPr>
        <w:pStyle w:val="TOC3"/>
      </w:pPr>
      <w:hyperlink w:anchor="v10_75"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41</w:t>
        </w:r>
      </w:hyperlink>
    </w:p>
    <w:p>
      <w:pPr>
        <w:pStyle w:val="TOC3"/>
      </w:pPr>
      <w:hyperlink w:anchor="v10_76"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41</w:t>
        </w:r>
      </w:hyperlink>
    </w:p>
    <w:p>
      <w:pPr>
        <w:pStyle w:val="TOC3"/>
      </w:pPr>
      <w:hyperlink w:anchor="v10_77" w:history="1">
        <w:r>
          <w:rPr>
            <w:rFonts w:ascii="Times New Roman" w:hAnsi="Times New Roman" w:eastAsia="Songti SC"/>
            <w:color w:val="000000"/>
            <w:sz w:val="22"/>
          </w:rPr>
          <w:t>4.4.3 固定计数效用</w:t>
        </w:r>
        <w:r>
          <w:rPr>
            <w:rFonts w:ascii="Times New Roman" w:hAnsi="Times New Roman" w:eastAsia="Songti SC"/>
            <w:color w:val="000000"/>
            <w:sz w:val="22"/>
          </w:rPr>
          <w:tab/>
          <w:t>42</w:t>
        </w:r>
      </w:hyperlink>
    </w:p>
    <w:p>
      <w:pPr>
        <w:pStyle w:val="TOC3"/>
      </w:pPr>
      <w:hyperlink w:anchor="v10_78"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42</w:t>
        </w:r>
      </w:hyperlink>
    </w:p>
    <w:p>
      <w:pPr>
        <w:pStyle w:val="TOC3"/>
      </w:pPr>
      <w:hyperlink w:anchor="v10_79"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43</w:t>
        </w:r>
      </w:hyperlink>
    </w:p>
    <w:p>
      <w:pPr>
        <w:pStyle w:val="TOC2"/>
      </w:pPr>
      <w:hyperlink w:anchor="v10_80" w:history="1">
        <w:r>
          <w:rPr>
            <w:rFonts w:ascii="Times New Roman" w:hAnsi="Times New Roman" w:eastAsia="Songti SC"/>
            <w:color w:val="000000"/>
            <w:sz w:val="22"/>
          </w:rPr>
          <w:t>4.5 求解算法及性质</w:t>
        </w:r>
        <w:r>
          <w:rPr>
            <w:rFonts w:ascii="Times New Roman" w:hAnsi="Times New Roman" w:eastAsia="Songti SC"/>
            <w:color w:val="000000"/>
            <w:sz w:val="22"/>
          </w:rPr>
          <w:tab/>
          <w:t>44</w:t>
        </w:r>
      </w:hyperlink>
    </w:p>
    <w:p>
      <w:pPr>
        <w:pStyle w:val="TOC3"/>
      </w:pPr>
      <w:hyperlink w:anchor="v10_81"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44</w:t>
        </w:r>
      </w:hyperlink>
    </w:p>
    <w:p>
      <w:pPr>
        <w:pStyle w:val="TOC3"/>
      </w:pPr>
      <w:hyperlink w:anchor="v10_82"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45</w:t>
        </w:r>
      </w:hyperlink>
    </w:p>
    <w:p>
      <w:pPr>
        <w:pStyle w:val="TOC3"/>
      </w:pPr>
      <w:hyperlink w:anchor="v10_83"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48</w:t>
        </w:r>
      </w:hyperlink>
    </w:p>
    <w:p>
      <w:pPr>
        <w:pStyle w:val="TOC3"/>
      </w:pPr>
      <w:hyperlink w:anchor="v10_84"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48</w:t>
        </w:r>
      </w:hyperlink>
    </w:p>
    <w:p>
      <w:pPr>
        <w:pStyle w:val="TOC3"/>
      </w:pPr>
      <w:hyperlink w:anchor="v10_85"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48</w:t>
        </w:r>
      </w:hyperlink>
    </w:p>
    <w:p>
      <w:pPr>
        <w:pStyle w:val="TOC2"/>
      </w:pPr>
      <w:hyperlink w:anchor="v10_86" w:history="1">
        <w:r>
          <w:rPr>
            <w:rFonts w:ascii="Times New Roman" w:hAnsi="Times New Roman" w:eastAsia="Songti SC"/>
            <w:color w:val="000000"/>
            <w:sz w:val="22"/>
          </w:rPr>
          <w:t>4.6 实验与分析</w:t>
        </w:r>
        <w:r>
          <w:rPr>
            <w:rFonts w:ascii="Times New Roman" w:hAnsi="Times New Roman" w:eastAsia="Songti SC"/>
            <w:color w:val="000000"/>
            <w:sz w:val="22"/>
          </w:rPr>
          <w:tab/>
          <w:t>49</w:t>
        </w:r>
      </w:hyperlink>
    </w:p>
    <w:p>
      <w:pPr>
        <w:pStyle w:val="TOC3"/>
      </w:pPr>
      <w:hyperlink w:anchor="v10_87"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49</w:t>
        </w:r>
      </w:hyperlink>
    </w:p>
    <w:p>
      <w:pPr>
        <w:pStyle w:val="TOC3"/>
      </w:pPr>
      <w:hyperlink w:anchor="v10_88"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52</w:t>
        </w:r>
      </w:hyperlink>
    </w:p>
    <w:p>
      <w:pPr>
        <w:pStyle w:val="TOC3"/>
      </w:pPr>
      <w:hyperlink w:anchor="v10_89"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53</w:t>
        </w:r>
      </w:hyperlink>
    </w:p>
    <w:p>
      <w:pPr>
        <w:pStyle w:val="TOC3"/>
      </w:pPr>
      <w:hyperlink w:anchor="v10_90"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55</w:t>
        </w:r>
      </w:hyperlink>
    </w:p>
    <w:p>
      <w:pPr>
        <w:pStyle w:val="TOC3"/>
      </w:pPr>
      <w:hyperlink w:anchor="v10_91"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56</w:t>
        </w:r>
      </w:hyperlink>
    </w:p>
    <w:p>
      <w:pPr>
        <w:pStyle w:val="TOC3"/>
      </w:pPr>
      <w:hyperlink w:anchor="v10_92" w:history="1">
        <w:r>
          <w:rPr>
            <w:rFonts w:ascii="Times New Roman" w:hAnsi="Times New Roman" w:eastAsia="Songti SC"/>
            <w:color w:val="000000"/>
            <w:sz w:val="22"/>
          </w:rPr>
          <w:t>4.6.6 案例分析</w:t>
        </w:r>
        <w:r>
          <w:rPr>
            <w:rFonts w:ascii="Times New Roman" w:hAnsi="Times New Roman" w:eastAsia="Songti SC"/>
            <w:color w:val="000000"/>
            <w:sz w:val="22"/>
          </w:rPr>
          <w:tab/>
          <w:t>58</w:t>
        </w:r>
      </w:hyperlink>
    </w:p>
    <w:p>
      <w:pPr>
        <w:pStyle w:val="TOC2"/>
      </w:pPr>
      <w:hyperlink w:anchor="v10_93" w:history="1">
        <w:r>
          <w:rPr>
            <w:rFonts w:ascii="Times New Roman" w:hAnsi="Times New Roman" w:eastAsia="Songti SC"/>
            <w:color w:val="000000"/>
            <w:sz w:val="22"/>
          </w:rPr>
          <w:t>4.7 本章小结</w:t>
        </w:r>
        <w:r>
          <w:rPr>
            <w:rFonts w:ascii="Times New Roman" w:hAnsi="Times New Roman" w:eastAsia="Songti SC"/>
            <w:color w:val="000000"/>
            <w:sz w:val="22"/>
          </w:rPr>
          <w:tab/>
          <w:t>59</w:t>
        </w:r>
      </w:hyperlink>
    </w:p>
    <w:p>
      <w:pPr>
        <w:pStyle w:val="TOC1"/>
        <w:keepNext/>
        <w:spacing w:before="120"/>
      </w:pPr>
      <w:hyperlink w:anchor="v10_94"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60</w:t>
        </w:r>
      </w:hyperlink>
    </w:p>
    <w:p>
      <w:pPr>
        <w:pStyle w:val="TOC2"/>
      </w:pPr>
      <w:hyperlink w:anchor="v10_95"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60</w:t>
        </w:r>
      </w:hyperlink>
    </w:p>
    <w:p>
      <w:pPr>
        <w:pStyle w:val="TOC2"/>
      </w:pPr>
      <w:hyperlink w:anchor="v10_96" w:history="1">
        <w:r>
          <w:rPr>
            <w:rFonts w:ascii="Times New Roman" w:hAnsi="Times New Roman" w:eastAsia="Songti SC"/>
            <w:color w:val="000000"/>
            <w:sz w:val="22"/>
          </w:rPr>
          <w:t>5.2 净错误变化与对象分析边界</w:t>
        </w:r>
        <w:r>
          <w:rPr>
            <w:rFonts w:ascii="Times New Roman" w:hAnsi="Times New Roman" w:eastAsia="Songti SC"/>
            <w:color w:val="000000"/>
            <w:sz w:val="22"/>
          </w:rPr>
          <w:tab/>
          <w:t>61</w:t>
        </w:r>
      </w:hyperlink>
    </w:p>
    <w:p>
      <w:pPr>
        <w:pStyle w:val="TOC2"/>
      </w:pPr>
      <w:hyperlink w:anchor="v10_97" w:history="1">
        <w:r>
          <w:rPr>
            <w:rFonts w:ascii="Times New Roman" w:hAnsi="Times New Roman" w:eastAsia="Songti SC"/>
            <w:color w:val="000000"/>
            <w:sz w:val="22"/>
          </w:rPr>
          <w:t>5.3 训练条件变化的解释边界</w:t>
        </w:r>
        <w:r>
          <w:rPr>
            <w:rFonts w:ascii="Times New Roman" w:hAnsi="Times New Roman" w:eastAsia="Songti SC"/>
            <w:color w:val="000000"/>
            <w:sz w:val="22"/>
          </w:rPr>
          <w:tab/>
          <w:t>62</w:t>
        </w:r>
      </w:hyperlink>
    </w:p>
    <w:p>
      <w:pPr>
        <w:pStyle w:val="TOC2"/>
      </w:pPr>
      <w:hyperlink w:anchor="v10_98" w:history="1">
        <w:r>
          <w:rPr>
            <w:rFonts w:ascii="Times New Roman" w:hAnsi="Times New Roman" w:eastAsia="Songti SC"/>
            <w:color w:val="000000"/>
            <w:sz w:val="22"/>
          </w:rPr>
          <w:t>5.4 在线配置的质量与时间取舍</w:t>
        </w:r>
        <w:r>
          <w:rPr>
            <w:rFonts w:ascii="Times New Roman" w:hAnsi="Times New Roman" w:eastAsia="Songti SC"/>
            <w:color w:val="000000"/>
            <w:sz w:val="22"/>
          </w:rPr>
          <w:tab/>
          <w:t>62</w:t>
        </w:r>
      </w:hyperlink>
    </w:p>
    <w:p>
      <w:pPr>
        <w:pStyle w:val="TOC2"/>
      </w:pPr>
      <w:hyperlink w:anchor="v10_99" w:history="1">
        <w:r>
          <w:rPr>
            <w:rFonts w:ascii="Times New Roman" w:hAnsi="Times New Roman" w:eastAsia="Songti SC"/>
            <w:color w:val="000000"/>
            <w:sz w:val="22"/>
          </w:rPr>
          <w:t>5.5 超边规模与恢复范围</w:t>
        </w:r>
        <w:r>
          <w:rPr>
            <w:rFonts w:ascii="Times New Roman" w:hAnsi="Times New Roman" w:eastAsia="Songti SC"/>
            <w:color w:val="000000"/>
            <w:sz w:val="22"/>
          </w:rPr>
          <w:tab/>
          <w:t>63</w:t>
        </w:r>
      </w:hyperlink>
    </w:p>
    <w:p>
      <w:pPr>
        <w:pStyle w:val="TOC2"/>
      </w:pPr>
      <w:hyperlink w:anchor="v10_100" w:history="1">
        <w:r>
          <w:rPr>
            <w:rFonts w:ascii="Times New Roman" w:hAnsi="Times New Roman" w:eastAsia="Songti SC"/>
            <w:color w:val="000000"/>
            <w:sz w:val="22"/>
          </w:rPr>
          <w:t>5.6 本章小结</w:t>
        </w:r>
        <w:r>
          <w:rPr>
            <w:rFonts w:ascii="Times New Roman" w:hAnsi="Times New Roman" w:eastAsia="Songti SC"/>
            <w:color w:val="000000"/>
            <w:sz w:val="22"/>
          </w:rPr>
          <w:tab/>
          <w:t>63</w:t>
        </w:r>
      </w:hyperlink>
    </w:p>
    <w:p>
      <w:pPr>
        <w:pStyle w:val="TOC1"/>
        <w:keepNext/>
        <w:spacing w:before="120"/>
      </w:pPr>
      <w:hyperlink w:anchor="v10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64</w:t>
        </w:r>
      </w:hyperlink>
    </w:p>
    <w:p>
      <w:pPr>
        <w:pStyle w:val="TOC2"/>
      </w:pPr>
      <w:hyperlink w:anchor="v10_102" w:history="1">
        <w:r>
          <w:rPr>
            <w:rFonts w:ascii="Times New Roman" w:hAnsi="Times New Roman" w:eastAsia="Songti SC"/>
            <w:color w:val="000000"/>
            <w:sz w:val="22"/>
          </w:rPr>
          <w:t>6.1 研究总结</w:t>
        </w:r>
        <w:r>
          <w:rPr>
            <w:rFonts w:ascii="Times New Roman" w:hAnsi="Times New Roman" w:eastAsia="Songti SC"/>
            <w:color w:val="000000"/>
            <w:sz w:val="22"/>
          </w:rPr>
          <w:tab/>
          <w:t>64</w:t>
        </w:r>
      </w:hyperlink>
    </w:p>
    <w:p>
      <w:pPr>
        <w:pStyle w:val="TOC2"/>
      </w:pPr>
      <w:hyperlink w:anchor="v10_103" w:history="1">
        <w:r>
          <w:rPr>
            <w:rFonts w:ascii="Times New Roman" w:hAnsi="Times New Roman" w:eastAsia="Songti SC"/>
            <w:color w:val="000000"/>
            <w:sz w:val="22"/>
          </w:rPr>
          <w:t>6.2 研究局限</w:t>
        </w:r>
        <w:r>
          <w:rPr>
            <w:rFonts w:ascii="Times New Roman" w:hAnsi="Times New Roman" w:eastAsia="Songti SC"/>
            <w:color w:val="000000"/>
            <w:sz w:val="22"/>
          </w:rPr>
          <w:tab/>
          <w:t>64</w:t>
        </w:r>
      </w:hyperlink>
    </w:p>
    <w:p>
      <w:pPr>
        <w:pStyle w:val="TOC2"/>
      </w:pPr>
      <w:hyperlink w:anchor="v10_104" w:history="1">
        <w:r>
          <w:rPr>
            <w:rFonts w:ascii="Times New Roman" w:hAnsi="Times New Roman" w:eastAsia="Songti SC"/>
            <w:color w:val="000000"/>
            <w:sz w:val="22"/>
          </w:rPr>
          <w:t>6.3 后续研究方向</w:t>
        </w:r>
        <w:r>
          <w:rPr>
            <w:rFonts w:ascii="Times New Roman" w:hAnsi="Times New Roman" w:eastAsia="Songti SC"/>
            <w:color w:val="000000"/>
            <w:sz w:val="22"/>
          </w:rPr>
          <w:tab/>
          <w:t>65</w:t>
        </w:r>
      </w:hyperlink>
    </w:p>
    <w:p>
      <w:pPr>
        <w:pStyle w:val="TOC1"/>
        <w:keepNext/>
        <w:spacing w:before="120"/>
      </w:pPr>
      <w:hyperlink w:anchor="v10_105" w:history="1">
        <w:r>
          <w:rPr>
            <w:rFonts w:ascii="Times New Roman" w:hAnsi="Times New Roman" w:eastAsia="Songti SC"/>
            <w:color w:val="000000"/>
            <w:sz w:val="22"/>
          </w:rPr>
          <w:t>参考文献</w:t>
        </w:r>
        <w:r>
          <w:rPr>
            <w:rFonts w:ascii="Times New Roman" w:hAnsi="Times New Roman" w:eastAsia="Songti SC"/>
            <w:color w:val="000000"/>
            <w:sz w:val="22"/>
          </w:rPr>
          <w:tab/>
          <w:t>66</w:t>
        </w:r>
      </w:hyperlink>
    </w:p>
    <w:p>
      <w:pPr>
        <w:pStyle w:val="TOC1"/>
        <w:keepNext/>
        <w:spacing w:before="120"/>
      </w:pPr>
      <w:hyperlink w:anchor="v10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70</w:t>
        </w:r>
      </w:hyperlink>
    </w:p>
    <w:p>
      <w:pPr>
        <w:pStyle w:val="TOC2"/>
      </w:pPr>
      <w:hyperlink w:anchor="v10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70</w:t>
        </w:r>
      </w:hyperlink>
    </w:p>
    <w:p>
      <w:pPr>
        <w:pStyle w:val="TOC2"/>
      </w:pPr>
      <w:hyperlink w:anchor="v10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70</w:t>
        </w:r>
      </w:hyperlink>
    </w:p>
    <w:p>
      <w:pPr>
        <w:pStyle w:val="TOC2"/>
      </w:pPr>
      <w:hyperlink w:anchor="v10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71</w:t>
        </w:r>
      </w:hyperlink>
    </w:p>
    <w:p>
      <w:pPr>
        <w:pStyle w:val="TOC2"/>
      </w:pPr>
      <w:hyperlink w:anchor="v10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71</w:t>
        </w:r>
      </w:hyperlink>
    </w:p>
    <w:p>
      <w:pPr>
        <w:pStyle w:val="TOC2"/>
      </w:pPr>
      <w:hyperlink w:anchor="v10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72</w:t>
        </w:r>
      </w:hyperlink>
    </w:p>
    <w:p>
      <w:pPr>
        <w:pStyle w:val="TOC2"/>
      </w:pPr>
      <w:hyperlink w:anchor="v10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73</w:t>
        </w:r>
      </w:hyperlink>
    </w:p>
    <w:p>
      <w:pPr>
        <w:pStyle w:val="TOC1"/>
        <w:keepNext/>
        <w:spacing w:before="120"/>
      </w:pPr>
      <w:hyperlink w:anchor="v10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74</w:t>
        </w:r>
      </w:hyperlink>
    </w:p>
    <w:p>
      <w:pPr>
        <w:pStyle w:val="TOC2"/>
      </w:pPr>
      <w:hyperlink w:anchor="v10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74</w:t>
        </w:r>
      </w:hyperlink>
    </w:p>
    <w:p>
      <w:pPr>
        <w:pStyle w:val="TOC2"/>
      </w:pPr>
      <w:hyperlink w:anchor="v10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74</w:t>
        </w:r>
      </w:hyperlink>
    </w:p>
    <w:p>
      <w:pPr>
        <w:pStyle w:val="TOC2"/>
      </w:pPr>
      <w:hyperlink w:anchor="v10_116" w:history="1">
        <w:r>
          <w:rPr>
            <w:rFonts w:ascii="Times New Roman" w:hAnsi="Times New Roman" w:eastAsia="Songti SC"/>
            <w:color w:val="000000"/>
            <w:sz w:val="22"/>
          </w:rPr>
          <w:t>B.3 回退与预算</w:t>
        </w:r>
        <w:r>
          <w:rPr>
            <w:rFonts w:ascii="Times New Roman" w:hAnsi="Times New Roman" w:eastAsia="Songti SC"/>
            <w:color w:val="000000"/>
            <w:sz w:val="22"/>
          </w:rPr>
          <w:tab/>
          <w:t>74</w:t>
        </w:r>
      </w:hyperlink>
    </w:p>
    <w:p>
      <w:pPr>
        <w:pStyle w:val="TOC2"/>
      </w:pPr>
      <w:hyperlink w:anchor="v10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74</w:t>
        </w:r>
      </w:hyperlink>
    </w:p>
    <w:p>
      <w:pPr>
        <w:pStyle w:val="TOC3"/>
      </w:pPr>
      <w:hyperlink w:anchor="v10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74</w:t>
        </w:r>
      </w:hyperlink>
    </w:p>
    <w:p>
      <w:pPr>
        <w:pStyle w:val="TOC3"/>
      </w:pPr>
      <w:hyperlink w:anchor="v10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75</w:t>
        </w:r>
      </w:hyperlink>
    </w:p>
    <w:p>
      <w:pPr>
        <w:pStyle w:val="TOC3"/>
      </w:pPr>
      <w:hyperlink w:anchor="v10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75</w:t>
        </w:r>
      </w:hyperlink>
    </w:p>
    <w:p>
      <w:pPr>
        <w:pStyle w:val="TOC2"/>
      </w:pPr>
      <w:hyperlink w:anchor="v10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76</w:t>
        </w:r>
      </w:hyperlink>
    </w:p>
    <w:p>
      <w:pPr>
        <w:pStyle w:val="TOC2"/>
      </w:pPr>
      <w:hyperlink w:anchor="v10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76</w:t>
        </w:r>
      </w:hyperlink>
    </w:p>
    <w:p>
      <w:pPr>
        <w:pStyle w:val="TOC1"/>
        <w:keepNext/>
        <w:spacing w:before="120"/>
      </w:pPr>
      <w:hyperlink w:anchor="v10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78</w:t>
        </w:r>
      </w:hyperlink>
    </w:p>
    <w:p>
      <w:pPr>
        <w:pStyle w:val="TOC2"/>
      </w:pPr>
      <w:hyperlink w:anchor="v10_124" w:history="1">
        <w:r>
          <w:rPr>
            <w:rFonts w:ascii="Times New Roman" w:hAnsi="Times New Roman" w:eastAsia="Songti SC"/>
            <w:color w:val="000000"/>
            <w:sz w:val="22"/>
          </w:rPr>
          <w:t>C.1 前期共同成果</w:t>
        </w:r>
        <w:r>
          <w:rPr>
            <w:rFonts w:ascii="Times New Roman" w:hAnsi="Times New Roman" w:eastAsia="Songti SC"/>
            <w:color w:val="000000"/>
            <w:sz w:val="22"/>
          </w:rPr>
          <w:tab/>
          <w:t>78</w:t>
        </w:r>
      </w:hyperlink>
    </w:p>
    <w:p>
      <w:pPr>
        <w:pStyle w:val="TOC2"/>
      </w:pPr>
      <w:hyperlink w:anchor="v10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78</w:t>
        </w:r>
      </w:hyperlink>
    </w:p>
    <w:p>
      <w:pPr>
        <w:pStyle w:val="TOC2"/>
      </w:pPr>
      <w:hyperlink w:anchor="v10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78</w:t>
        </w:r>
      </w:hyperlink>
    </w:p>
    <w:p>
      <w:pPr>
        <w:pStyle w:val="TOC2"/>
      </w:pPr>
      <w:hyperlink w:anchor="v10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78</w:t>
        </w:r>
      </w:hyperlink>
    </w:p>
    <w:p>
      <w:pPr>
        <w:pStyle w:val="TOC1"/>
        <w:keepNext/>
        <w:spacing w:before="120"/>
      </w:pPr>
      <w:hyperlink w:anchor="v10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79</w:t>
        </w:r>
      </w:hyperlink>
    </w:p>
    <w:p>
      <w:pPr>
        <w:pStyle w:val="TOC2"/>
      </w:pPr>
      <w:hyperlink w:anchor="v10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79</w:t>
        </w:r>
      </w:hyperlink>
    </w:p>
    <w:p>
      <w:pPr>
        <w:pStyle w:val="TOC2"/>
      </w:pPr>
      <w:hyperlink w:anchor="v10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79</w:t>
        </w:r>
      </w:hyperlink>
    </w:p>
    <w:p>
      <w:pPr>
        <w:pStyle w:val="TOC2"/>
      </w:pPr>
      <w:hyperlink w:anchor="v10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79</w:t>
        </w:r>
      </w:hyperlink>
    </w:p>
    <w:p>
      <w:pPr>
        <w:pStyle w:val="TOC2"/>
      </w:pPr>
      <w:hyperlink w:anchor="v10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79</w:t>
        </w:r>
      </w:hyperlink>
    </w:p>
    <w:p>
      <w:pPr>
        <w:pStyle w:val="TOC2"/>
      </w:pPr>
      <w:hyperlink w:anchor="v10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80</w:t>
        </w:r>
      </w:hyperlink>
    </w:p>
    <w:p>
      <w:pPr>
        <w:pStyle w:val="TOC2"/>
      </w:pPr>
      <w:hyperlink w:anchor="v10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80</w:t>
        </w:r>
      </w:hyperlink>
    </w:p>
    <w:p>
      <w:pPr>
        <w:pStyle w:val="TOC1"/>
        <w:keepNext/>
        <w:spacing w:before="120"/>
      </w:pPr>
      <w:hyperlink w:anchor="v10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82</w:t>
        </w:r>
      </w:hyperlink>
    </w:p>
    <w:p>
      <w:pPr>
        <w:pStyle w:val="TOC2"/>
      </w:pPr>
      <w:hyperlink w:anchor="v10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82</w:t>
        </w:r>
      </w:hyperlink>
    </w:p>
    <w:p>
      <w:pPr>
        <w:pStyle w:val="TOC2"/>
      </w:pPr>
      <w:hyperlink w:anchor="v10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82</w:t>
        </w:r>
      </w:hyperlink>
    </w:p>
    <w:p>
      <w:pPr>
        <w:pStyle w:val="TOC2"/>
      </w:pPr>
      <w:hyperlink w:anchor="v10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83</w:t>
        </w:r>
      </w:hyperlink>
    </w:p>
    <w:p>
      <w:pPr>
        <w:pStyle w:val="TOC2"/>
      </w:pPr>
      <w:hyperlink w:anchor="v10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83</w:t>
        </w:r>
      </w:hyperlink>
    </w:p>
    <w:p>
      <w:pPr>
        <w:pStyle w:val="TOC2"/>
      </w:pPr>
      <w:hyperlink w:anchor="v10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84</w:t>
        </w:r>
      </w:hyperlink>
    </w:p>
    <w:p>
      <w:pPr>
        <w:pStyle w:val="TOC2"/>
      </w:pPr>
      <w:hyperlink w:anchor="v10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84</w:t>
        </w:r>
      </w:hyperlink>
    </w:p>
    <w:p>
      <w:pPr>
        <w:pStyle w:val="TOC2"/>
      </w:pPr>
      <w:hyperlink w:anchor="v10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84</w:t>
        </w:r>
      </w:hyperlink>
    </w:p>
    <w:p>
      <w:pPr>
        <w:pStyle w:val="TOC2"/>
      </w:pPr>
      <w:hyperlink w:anchor="v10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85</w:t>
        </w:r>
      </w:hyperlink>
    </w:p>
    <w:p>
      <w:pPr>
        <w:pStyle w:val="TOC2"/>
      </w:pPr>
      <w:hyperlink w:anchor="v10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86</w:t>
        </w:r>
      </w:hyperlink>
    </w:p>
    <w:p>
      <w:pPr>
        <w:pStyle w:val="TOC1"/>
        <w:keepNext/>
        <w:spacing w:before="120"/>
      </w:pPr>
      <w:hyperlink w:anchor="v10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87</w:t>
        </w:r>
      </w:hyperlink>
    </w:p>
    <w:p>
      <w:pPr>
        <w:pStyle w:val="TOC2"/>
      </w:pPr>
      <w:hyperlink w:anchor="v10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87</w:t>
        </w:r>
      </w:hyperlink>
    </w:p>
    <w:p>
      <w:pPr>
        <w:pStyle w:val="TOC2"/>
      </w:pPr>
      <w:hyperlink w:anchor="v10_147" w:history="1">
        <w:r>
          <w:rPr>
            <w:rFonts w:ascii="Times New Roman" w:hAnsi="Times New Roman" w:eastAsia="Songti SC"/>
            <w:color w:val="000000"/>
            <w:sz w:val="22"/>
          </w:rPr>
          <w:t>F.2 实现接口补充</w:t>
        </w:r>
        <w:r>
          <w:rPr>
            <w:rFonts w:ascii="Times New Roman" w:hAnsi="Times New Roman" w:eastAsia="Songti SC"/>
            <w:color w:val="000000"/>
            <w:sz w:val="22"/>
          </w:rPr>
          <w:tab/>
          <w:t>88</w:t>
        </w:r>
      </w:hyperlink>
    </w:p>
    <w:p>
      <w:pPr>
        <w:pStyle w:val="TOC2"/>
      </w:pPr>
      <w:hyperlink w:anchor="v10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89</w:t>
        </w:r>
      </w:hyperlink>
    </w:p>
    <w:p>
      <w:pPr>
        <w:pStyle w:val="TOC1"/>
        <w:keepNext/>
        <w:spacing w:before="120"/>
      </w:pPr>
      <w:hyperlink w:anchor="v10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90</w:t>
        </w:r>
      </w:hyperlink>
    </w:p>
    <w:p>
      <w:pPr>
        <w:pStyle w:val="TOC2"/>
      </w:pPr>
      <w:hyperlink w:anchor="v10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90</w:t>
        </w:r>
      </w:hyperlink>
    </w:p>
    <w:p>
      <w:pPr>
        <w:pStyle w:val="TOC2"/>
      </w:pPr>
      <w:hyperlink w:anchor="v10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91</w:t>
        </w:r>
      </w:hyperlink>
    </w:p>
    <w:p>
      <w:pPr>
        <w:pStyle w:val="TOC2"/>
      </w:pPr>
      <w:hyperlink w:anchor="v10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91</w:t>
        </w:r>
      </w:hyperlink>
    </w:p>
    <w:p>
      <w:pPr>
        <w:pStyle w:val="TOC2"/>
      </w:pPr>
      <w:hyperlink w:anchor="v10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92</w:t>
        </w:r>
      </w:hyperlink>
    </w:p>
    <w:p>
      <w:pPr>
        <w:pStyle w:val="TOC1"/>
        <w:keepNext/>
        <w:spacing w:before="120"/>
      </w:pPr>
      <w:hyperlink w:anchor="v10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93</w:t>
        </w:r>
      </w:hyperlink>
    </w:p>
    <w:p>
      <w:pPr>
        <w:pStyle w:val="TOC2"/>
      </w:pPr>
      <w:hyperlink w:anchor="v10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93</w:t>
        </w:r>
      </w:hyperlink>
    </w:p>
    <w:p>
      <w:pPr>
        <w:pStyle w:val="TOC2"/>
      </w:pPr>
      <w:hyperlink w:anchor="v10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93</w:t>
        </w:r>
      </w:hyperlink>
    </w:p>
    <w:p>
      <w:pPr>
        <w:pStyle w:val="TOC2"/>
      </w:pPr>
      <w:hyperlink w:anchor="v10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94</w:t>
        </w:r>
      </w:hyperlink>
    </w:p>
    <w:p>
      <w:pPr>
        <w:pStyle w:val="TOC2"/>
      </w:pPr>
      <w:hyperlink w:anchor="v10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95</w:t>
        </w:r>
      </w:hyperlink>
    </w:p>
    <w:p>
      <w:pPr>
        <w:pStyle w:val="TOC2"/>
      </w:pPr>
      <w:hyperlink w:anchor="v10_159" w:history="1">
        <w:r>
          <w:rPr>
            <w:rFonts w:ascii="Times New Roman" w:hAnsi="Times New Roman" w:eastAsia="Songti SC"/>
            <w:color w:val="000000"/>
            <w:sz w:val="22"/>
          </w:rPr>
          <w:t>H.5 核心验证缺口与推进顺序</w:t>
        </w:r>
        <w:r>
          <w:rPr>
            <w:rFonts w:ascii="Times New Roman" w:hAnsi="Times New Roman" w:eastAsia="Songti SC"/>
            <w:color w:val="000000"/>
            <w:sz w:val="22"/>
          </w:rPr>
          <w:tab/>
          <w:t>95</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0_160"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0_162"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10_166"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10_168"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10_169"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23</w:t>
        </w:r>
      </w:hyperlink>
    </w:p>
    <w:p>
      <w:pPr>
        <w:pStyle w:val="FigureList"/>
      </w:pPr>
      <w:hyperlink w:anchor="v10_176" w:history="1">
        <w:r>
          <w:rPr>
            <w:rFonts w:ascii="Times New Roman" w:hAnsi="Times New Roman" w:eastAsia="Songti SC"/>
            <w:color w:val="000000"/>
            <w:sz w:val="22"/>
          </w:rPr>
          <w:t>图3-3 训练方案与学习目标的严格关系结果（人工情景）</w:t>
        </w:r>
        <w:r>
          <w:rPr>
            <w:rFonts w:ascii="Times New Roman" w:hAnsi="Times New Roman" w:eastAsia="Songti SC"/>
            <w:color w:val="000000"/>
            <w:sz w:val="22"/>
          </w:rPr>
          <w:tab/>
          <w:t>32</w:t>
        </w:r>
      </w:hyperlink>
    </w:p>
    <w:p>
      <w:pPr>
        <w:pStyle w:val="FigureList"/>
      </w:pPr>
      <w:hyperlink w:anchor="v10_180"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35</w:t>
        </w:r>
      </w:hyperlink>
    </w:p>
    <w:p>
      <w:pPr>
        <w:pStyle w:val="FigureList"/>
      </w:pPr>
      <w:hyperlink w:anchor="v10_183"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47</w:t>
        </w:r>
      </w:hyperlink>
    </w:p>
    <w:p>
      <w:pPr>
        <w:pStyle w:val="FigureList"/>
      </w:pPr>
      <w:hyperlink w:anchor="v10_191" w:history="1">
        <w:r>
          <w:rPr>
            <w:rFonts w:ascii="Times New Roman" w:hAnsi="Times New Roman" w:eastAsia="Songti SC"/>
            <w:color w:val="000000"/>
            <w:sz w:val="22"/>
          </w:rPr>
          <w:t>图4-3 联合修正中的关系恢复与原真阳性损失（人工情景）</w:t>
        </w:r>
        <w:r>
          <w:rPr>
            <w:rFonts w:ascii="Times New Roman" w:hAnsi="Times New Roman" w:eastAsia="Songti SC"/>
            <w:color w:val="000000"/>
            <w:sz w:val="22"/>
          </w:rPr>
          <w:tab/>
          <w:t>57</w:t>
        </w:r>
      </w:hyperlink>
    </w:p>
    <w:p>
      <w:pPr>
        <w:pStyle w:val="FigureList"/>
      </w:pPr>
      <w:hyperlink w:anchor="v10_193" w:history="1">
        <w:r>
          <w:rPr>
            <w:rFonts w:ascii="Times New Roman" w:hAnsi="Times New Roman" w:eastAsia="Songti SC"/>
            <w:color w:val="000000"/>
            <w:sz w:val="22"/>
          </w:rPr>
          <w:t>图4-4 外层轮数增加时的结果与时间变化（人工情景）</w:t>
        </w:r>
        <w:r>
          <w:rPr>
            <w:rFonts w:ascii="Times New Roman" w:hAnsi="Times New Roman" w:eastAsia="Songti SC"/>
            <w:color w:val="000000"/>
            <w:sz w:val="22"/>
          </w:rPr>
          <w:tab/>
          <w:t>58</w:t>
        </w:r>
      </w:hyperlink>
    </w:p>
    <w:p>
      <w:pPr>
        <w:pStyle w:val="FigureList"/>
      </w:pPr>
      <w:hyperlink w:anchor="v10_197" w:history="1">
        <w:r>
          <w:rPr>
            <w:rFonts w:ascii="Times New Roman" w:hAnsi="Times New Roman" w:eastAsia="Songti SC"/>
            <w:color w:val="000000"/>
            <w:sz w:val="22"/>
          </w:rPr>
          <w:t>图5-1 两个训练条件下的推理增量与交互关系（人工情景）</w:t>
        </w:r>
        <w:r>
          <w:rPr>
            <w:rFonts w:ascii="Times New Roman" w:hAnsi="Times New Roman" w:eastAsia="Songti SC"/>
            <w:color w:val="000000"/>
            <w:sz w:val="22"/>
          </w:rPr>
          <w:tab/>
          <w:t>61</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0_161"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10_163"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0_164"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10_165" w:history="1">
        <w:r>
          <w:rPr>
            <w:rFonts w:ascii="Times New Roman" w:hAnsi="Times New Roman" w:eastAsia="Songti SC"/>
            <w:color w:val="000000"/>
            <w:sz w:val="22"/>
          </w:rPr>
          <w:t>表2-2 公共配置与评价规模（人工情景）</w:t>
        </w:r>
        <w:r>
          <w:rPr>
            <w:rFonts w:ascii="Times New Roman" w:hAnsi="Times New Roman" w:eastAsia="Songti SC"/>
            <w:color w:val="000000"/>
            <w:sz w:val="22"/>
          </w:rPr>
          <w:tab/>
          <w:t>14</w:t>
        </w:r>
      </w:hyperlink>
    </w:p>
    <w:p>
      <w:pPr>
        <w:pStyle w:val="TableList"/>
      </w:pPr>
      <w:hyperlink w:anchor="v10_167"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10_171"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10_172" w:history="1">
        <w:r>
          <w:rPr>
            <w:rFonts w:ascii="Times New Roman" w:hAnsi="Times New Roman" w:eastAsia="Songti SC"/>
            <w:color w:val="000000"/>
            <w:sz w:val="22"/>
          </w:rPr>
          <w:t>表3-3 接受样本的标签漂移率（%）（人工情景）</w:t>
        </w:r>
        <w:r>
          <w:rPr>
            <w:rFonts w:ascii="Times New Roman" w:hAnsi="Times New Roman" w:eastAsia="Songti SC"/>
            <w:color w:val="000000"/>
            <w:sz w:val="22"/>
          </w:rPr>
          <w:tab/>
          <w:t>29</w:t>
        </w:r>
      </w:hyperlink>
    </w:p>
    <w:p>
      <w:pPr>
        <w:pStyle w:val="TableList"/>
      </w:pPr>
      <w:hyperlink w:anchor="v10_173" w:history="1">
        <w:r>
          <w:rPr>
            <w:rFonts w:ascii="Times New Roman" w:hAnsi="Times New Roman" w:eastAsia="Songti SC"/>
            <w:color w:val="000000"/>
            <w:sz w:val="22"/>
          </w:rPr>
          <w:t>表3-4 接受与拒绝样本的因素漂移审计（人工情景）</w:t>
        </w:r>
        <w:r>
          <w:rPr>
            <w:rFonts w:ascii="Times New Roman" w:hAnsi="Times New Roman" w:eastAsia="Songti SC"/>
            <w:color w:val="000000"/>
            <w:sz w:val="22"/>
          </w:rPr>
          <w:tab/>
          <w:t>30</w:t>
        </w:r>
      </w:hyperlink>
    </w:p>
    <w:p>
      <w:pPr>
        <w:pStyle w:val="TableList"/>
      </w:pPr>
      <w:hyperlink w:anchor="v10_174" w:history="1">
        <w:r>
          <w:rPr>
            <w:rFonts w:ascii="Times New Roman" w:hAnsi="Times New Roman" w:eastAsia="Songti SC"/>
            <w:color w:val="000000"/>
            <w:sz w:val="22"/>
          </w:rPr>
          <w:t>表3-5 训练方案的严格抽取结果（匹配训练规模）（人工情景）</w:t>
        </w:r>
        <w:r>
          <w:rPr>
            <w:rFonts w:ascii="Times New Roman" w:hAnsi="Times New Roman" w:eastAsia="Songti SC"/>
            <w:color w:val="000000"/>
            <w:sz w:val="22"/>
          </w:rPr>
          <w:tab/>
          <w:t>31</w:t>
        </w:r>
      </w:hyperlink>
    </w:p>
    <w:p>
      <w:pPr>
        <w:pStyle w:val="TableList"/>
      </w:pPr>
      <w:hyperlink w:anchor="v10_175" w:history="1">
        <w:r>
          <w:rPr>
            <w:rFonts w:ascii="Times New Roman" w:hAnsi="Times New Roman" w:eastAsia="Songti SC"/>
            <w:color w:val="000000"/>
            <w:sz w:val="22"/>
          </w:rPr>
          <w:t>表3-6 相同增强集合上的学习目标比较（匹配训练规模）（人工情景）</w:t>
        </w:r>
        <w:r>
          <w:rPr>
            <w:rFonts w:ascii="Times New Roman" w:hAnsi="Times New Roman" w:eastAsia="Songti SC"/>
            <w:color w:val="000000"/>
            <w:sz w:val="22"/>
          </w:rPr>
          <w:tab/>
          <w:t>31</w:t>
        </w:r>
      </w:hyperlink>
    </w:p>
    <w:p>
      <w:pPr>
        <w:pStyle w:val="TableList"/>
      </w:pPr>
      <w:hyperlink w:anchor="v10_177" w:history="1">
        <w:r>
          <w:rPr>
            <w:rFonts w:ascii="Times New Roman" w:hAnsi="Times New Roman" w:eastAsia="Songti SC"/>
            <w:color w:val="000000"/>
            <w:sz w:val="22"/>
          </w:rPr>
          <w:t>表3-7 中心匹配的有效覆盖与自匹配（人工情景）</w:t>
        </w:r>
        <w:r>
          <w:rPr>
            <w:rFonts w:ascii="Times New Roman" w:hAnsi="Times New Roman" w:eastAsia="Songti SC"/>
            <w:color w:val="000000"/>
            <w:sz w:val="22"/>
          </w:rPr>
          <w:tab/>
          <w:t>32</w:t>
        </w:r>
      </w:hyperlink>
    </w:p>
    <w:p>
      <w:pPr>
        <w:pStyle w:val="TableList"/>
      </w:pPr>
      <w:hyperlink w:anchor="v10_178" w:history="1">
        <w:r>
          <w:rPr>
            <w:rFonts w:ascii="Times New Roman" w:hAnsi="Times New Roman" w:eastAsia="Songti SC"/>
            <w:color w:val="000000"/>
            <w:sz w:val="22"/>
          </w:rPr>
          <w:t>表3-8 结论中心与匹配随机中心的比较（匹配训练规模）（人工情景）</w:t>
        </w:r>
        <w:r>
          <w:rPr>
            <w:rFonts w:ascii="Times New Roman" w:hAnsi="Times New Roman" w:eastAsia="Songti SC"/>
            <w:color w:val="000000"/>
            <w:sz w:val="22"/>
          </w:rPr>
          <w:tab/>
          <w:t>33</w:t>
        </w:r>
      </w:hyperlink>
    </w:p>
    <w:p>
      <w:pPr>
        <w:pStyle w:val="TableList"/>
      </w:pPr>
      <w:hyperlink w:anchor="v10_179" w:history="1">
        <w:r>
          <w:rPr>
            <w:rFonts w:ascii="Times New Roman" w:hAnsi="Times New Roman" w:eastAsia="Songti SC"/>
            <w:color w:val="000000"/>
            <w:sz w:val="22"/>
          </w:rPr>
          <w:t>表3-9 固定尝试预算下的覆盖与构造成本（人工情景）</w:t>
        </w:r>
        <w:r>
          <w:rPr>
            <w:rFonts w:ascii="Times New Roman" w:hAnsi="Times New Roman" w:eastAsia="Songti SC"/>
            <w:color w:val="000000"/>
            <w:sz w:val="22"/>
          </w:rPr>
          <w:tab/>
          <w:t>33</w:t>
        </w:r>
      </w:hyperlink>
    </w:p>
    <w:p>
      <w:pPr>
        <w:pStyle w:val="TableList"/>
      </w:pPr>
      <w:hyperlink w:anchor="v10_184"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50</w:t>
        </w:r>
      </w:hyperlink>
    </w:p>
    <w:p>
      <w:pPr>
        <w:pStyle w:val="TableList"/>
      </w:pPr>
      <w:hyperlink w:anchor="v10_185"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51</w:t>
        </w:r>
      </w:hyperlink>
    </w:p>
    <w:p>
      <w:pPr>
        <w:pStyle w:val="TableList"/>
      </w:pPr>
      <w:hyperlink w:anchor="v10_186" w:history="1">
        <w:r>
          <w:rPr>
            <w:rFonts w:ascii="Times New Roman" w:hAnsi="Times New Roman" w:eastAsia="Songti SC"/>
            <w:color w:val="000000"/>
            <w:sz w:val="22"/>
          </w:rPr>
          <w:t>表4-3 推理方法的严格抽取结果（人工情景）</w:t>
        </w:r>
        <w:r>
          <w:rPr>
            <w:rFonts w:ascii="Times New Roman" w:hAnsi="Times New Roman" w:eastAsia="Songti SC"/>
            <w:color w:val="000000"/>
            <w:sz w:val="22"/>
          </w:rPr>
          <w:tab/>
          <w:t>52</w:t>
        </w:r>
      </w:hyperlink>
    </w:p>
    <w:p>
      <w:pPr>
        <w:pStyle w:val="TableList"/>
      </w:pPr>
      <w:hyperlink w:anchor="v10_187" w:history="1">
        <w:r>
          <w:rPr>
            <w:rFonts w:ascii="Times New Roman" w:hAnsi="Times New Roman" w:eastAsia="Songti SC"/>
            <w:color w:val="000000"/>
            <w:sz w:val="22"/>
          </w:rPr>
          <w:t>表4-4 从完整组件到完整关系的候选覆盖（人工情景）</w:t>
        </w:r>
        <w:r>
          <w:rPr>
            <w:rFonts w:ascii="Times New Roman" w:hAnsi="Times New Roman" w:eastAsia="Songti SC"/>
            <w:color w:val="000000"/>
            <w:sz w:val="22"/>
          </w:rPr>
          <w:tab/>
          <w:t>54</w:t>
        </w:r>
      </w:hyperlink>
    </w:p>
    <w:p>
      <w:pPr>
        <w:pStyle w:val="TableList"/>
      </w:pPr>
      <w:hyperlink w:anchor="v10_188" w:history="1">
        <w:r>
          <w:rPr>
            <w:rFonts w:ascii="Times New Roman" w:hAnsi="Times New Roman" w:eastAsia="Songti SC"/>
            <w:color w:val="000000"/>
            <w:sz w:val="22"/>
          </w:rPr>
          <w:t>表4-5 三类恢复空间的关系计数诊断（人工情景）</w:t>
        </w:r>
        <w:r>
          <w:rPr>
            <w:rFonts w:ascii="Times New Roman" w:hAnsi="Times New Roman" w:eastAsia="Songti SC"/>
            <w:color w:val="000000"/>
            <w:sz w:val="22"/>
          </w:rPr>
          <w:tab/>
          <w:t>54</w:t>
        </w:r>
      </w:hyperlink>
    </w:p>
    <w:p>
      <w:pPr>
        <w:pStyle w:val="TableList"/>
      </w:pPr>
      <w:hyperlink w:anchor="v10_189" w:history="1">
        <w:r>
          <w:rPr>
            <w:rFonts w:ascii="Times New Roman" w:hAnsi="Times New Roman" w:eastAsia="Songti SC"/>
            <w:color w:val="000000"/>
            <w:sz w:val="22"/>
          </w:rPr>
          <w:t>表4-6 完整对象评分的区分与校准（人工情景）</w:t>
        </w:r>
        <w:r>
          <w:rPr>
            <w:rFonts w:ascii="Times New Roman" w:hAnsi="Times New Roman" w:eastAsia="Songti SC"/>
            <w:color w:val="000000"/>
            <w:sz w:val="22"/>
          </w:rPr>
          <w:tab/>
          <w:t>55</w:t>
        </w:r>
      </w:hyperlink>
    </w:p>
    <w:p>
      <w:pPr>
        <w:pStyle w:val="TableList"/>
      </w:pPr>
      <w:hyperlink w:anchor="v10_190" w:history="1">
        <w:r>
          <w:rPr>
            <w:rFonts w:ascii="Times New Roman" w:hAnsi="Times New Roman" w:eastAsia="Songti SC"/>
            <w:color w:val="000000"/>
            <w:sz w:val="22"/>
          </w:rPr>
          <w:t>表4-7 关系恢复与误改的累计计数（人工情景）</w:t>
        </w:r>
        <w:r>
          <w:rPr>
            <w:rFonts w:ascii="Times New Roman" w:hAnsi="Times New Roman" w:eastAsia="Songti SC"/>
            <w:color w:val="000000"/>
            <w:sz w:val="22"/>
          </w:rPr>
          <w:tab/>
          <w:t>56</w:t>
        </w:r>
      </w:hyperlink>
    </w:p>
    <w:p>
      <w:pPr>
        <w:pStyle w:val="TableList"/>
      </w:pPr>
      <w:hyperlink w:anchor="v10_192" w:history="1">
        <w:r>
          <w:rPr>
            <w:rFonts w:ascii="Times New Roman" w:hAnsi="Times New Roman" w:eastAsia="Songti SC"/>
            <w:color w:val="000000"/>
            <w:sz w:val="22"/>
          </w:rPr>
          <w:t>表4-8 推理成本与预算取舍（人工情景）</w:t>
        </w:r>
        <w:r>
          <w:rPr>
            <w:rFonts w:ascii="Times New Roman" w:hAnsi="Times New Roman" w:eastAsia="Songti SC"/>
            <w:color w:val="000000"/>
            <w:sz w:val="22"/>
          </w:rPr>
          <w:tab/>
          <w:t>57</w:t>
        </w:r>
      </w:hyperlink>
    </w:p>
    <w:p>
      <w:pPr>
        <w:pStyle w:val="TableList"/>
      </w:pPr>
      <w:hyperlink w:anchor="v10_194" w:history="1">
        <w:r>
          <w:rPr>
            <w:rFonts w:ascii="Times New Roman" w:hAnsi="Times New Roman" w:eastAsia="Songti SC"/>
            <w:color w:val="000000"/>
            <w:sz w:val="22"/>
          </w:rPr>
          <w:t>表4-9 结构恢复与失败案例（人工情景）</w:t>
        </w:r>
        <w:r>
          <w:rPr>
            <w:rFonts w:ascii="Times New Roman" w:hAnsi="Times New Roman" w:eastAsia="Songti SC"/>
            <w:color w:val="000000"/>
            <w:sz w:val="22"/>
          </w:rPr>
          <w:tab/>
          <w:t>59</w:t>
        </w:r>
      </w:hyperlink>
    </w:p>
    <w:p>
      <w:pPr>
        <w:pStyle w:val="TableList"/>
      </w:pPr>
      <w:hyperlink w:anchor="v10_195" w:history="1">
        <w:r>
          <w:rPr>
            <w:rFonts w:ascii="Times New Roman" w:hAnsi="Times New Roman" w:eastAsia="Songti SC"/>
            <w:color w:val="000000"/>
            <w:sz w:val="22"/>
          </w:rPr>
          <w:t>表5-1 两阶段组合的四格结果（人工情景）</w:t>
        </w:r>
        <w:r>
          <w:rPr>
            <w:rFonts w:ascii="Times New Roman" w:hAnsi="Times New Roman" w:eastAsia="Songti SC"/>
            <w:color w:val="000000"/>
            <w:sz w:val="22"/>
          </w:rPr>
          <w:tab/>
          <w:t>60</w:t>
        </w:r>
      </w:hyperlink>
    </w:p>
    <w:p>
      <w:pPr>
        <w:pStyle w:val="TableList"/>
      </w:pPr>
      <w:hyperlink w:anchor="v10_196" w:history="1">
        <w:r>
          <w:rPr>
            <w:rFonts w:ascii="Times New Roman" w:hAnsi="Times New Roman" w:eastAsia="Songti SC"/>
            <w:color w:val="000000"/>
            <w:sz w:val="22"/>
          </w:rPr>
          <w:t>表5-2 条件增量与交互差（人工情景）</w:t>
        </w:r>
        <w:r>
          <w:rPr>
            <w:rFonts w:ascii="Times New Roman" w:hAnsi="Times New Roman" w:eastAsia="Songti SC"/>
            <w:color w:val="000000"/>
            <w:sz w:val="22"/>
          </w:rPr>
          <w:tab/>
          <w:t>60</w:t>
        </w:r>
      </w:hyperlink>
    </w:p>
    <w:p>
      <w:pPr>
        <w:pStyle w:val="TableList"/>
      </w:pPr>
      <w:hyperlink w:anchor="v10_198" w:history="1">
        <w:r>
          <w:rPr>
            <w:rFonts w:ascii="Times New Roman" w:hAnsi="Times New Roman" w:eastAsia="Songti SC"/>
            <w:color w:val="000000"/>
            <w:sz w:val="22"/>
          </w:rPr>
          <w:t>表5-3 四格比较的净错误计数变化（人工情景）</w:t>
        </w:r>
        <w:r>
          <w:rPr>
            <w:rFonts w:ascii="Times New Roman" w:hAnsi="Times New Roman" w:eastAsia="Songti SC"/>
            <w:color w:val="000000"/>
            <w:sz w:val="22"/>
          </w:rPr>
          <w:tab/>
          <w:t>61</w:t>
        </w:r>
      </w:hyperlink>
    </w:p>
    <w:p>
      <w:pPr>
        <w:pStyle w:val="TableList"/>
      </w:pPr>
      <w:hyperlink w:anchor="v10_199" w:history="1">
        <w:r>
          <w:rPr>
            <w:rFonts w:ascii="Times New Roman" w:hAnsi="Times New Roman" w:eastAsia="Songti SC"/>
            <w:color w:val="000000"/>
            <w:sz w:val="22"/>
          </w:rPr>
          <w:t>表5-4 相对共同起点的关系增量与在线额外时间（人工情景）</w:t>
        </w:r>
        <w:r>
          <w:rPr>
            <w:rFonts w:ascii="Times New Roman" w:hAnsi="Times New Roman" w:eastAsia="Songti SC"/>
            <w:color w:val="000000"/>
            <w:sz w:val="22"/>
          </w:rPr>
          <w:tab/>
          <w:t>62</w:t>
        </w:r>
      </w:hyperlink>
    </w:p>
    <w:p>
      <w:pPr>
        <w:pStyle w:val="TableList"/>
      </w:pPr>
      <w:hyperlink w:anchor="v10_200" w:history="1">
        <w:r>
          <w:rPr>
            <w:rFonts w:ascii="Times New Roman" w:hAnsi="Times New Roman" w:eastAsia="Songti SC"/>
            <w:color w:val="000000"/>
            <w:sz w:val="22"/>
          </w:rPr>
          <w:t>表5-5 CDCP完整关系的源成员数分组（人工情景）</w:t>
        </w:r>
        <w:r>
          <w:rPr>
            <w:rFonts w:ascii="Times New Roman" w:hAnsi="Times New Roman" w:eastAsia="Songti SC"/>
            <w:color w:val="000000"/>
            <w:sz w:val="22"/>
          </w:rPr>
          <w:tab/>
          <w:t>63</w:t>
        </w:r>
      </w:hyperlink>
    </w:p>
    <w:p>
      <w:pPr>
        <w:pStyle w:val="TableList"/>
      </w:pPr>
      <w:hyperlink w:anchor="v10_201"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70</w:t>
        </w:r>
      </w:hyperlink>
    </w:p>
    <w:p>
      <w:pPr>
        <w:pStyle w:val="TableList"/>
      </w:pPr>
      <w:hyperlink w:anchor="v10_202" w:history="1">
        <w:r>
          <w:rPr>
            <w:rFonts w:ascii="Times New Roman" w:hAnsi="Times New Roman" w:eastAsia="Songti SC"/>
            <w:color w:val="000000"/>
            <w:sz w:val="22"/>
          </w:rPr>
          <w:t>表A-2 本版参考配置</w:t>
        </w:r>
        <w:r>
          <w:rPr>
            <w:rFonts w:ascii="Times New Roman" w:hAnsi="Times New Roman" w:eastAsia="Songti SC"/>
            <w:color w:val="000000"/>
            <w:sz w:val="22"/>
          </w:rPr>
          <w:tab/>
          <w:t>71</w:t>
        </w:r>
      </w:hyperlink>
    </w:p>
    <w:p>
      <w:pPr>
        <w:pStyle w:val="TableList"/>
      </w:pPr>
      <w:hyperlink w:anchor="v10_203"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75</w:t>
        </w:r>
      </w:hyperlink>
    </w:p>
    <w:p>
      <w:pPr>
        <w:pStyle w:val="TableList"/>
      </w:pPr>
      <w:hyperlink w:anchor="v10_204"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82</w:t>
        </w:r>
      </w:hyperlink>
    </w:p>
    <w:p>
      <w:pPr>
        <w:pStyle w:val="TableList"/>
      </w:pPr>
      <w:hyperlink w:anchor="v10_205"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82</w:t>
        </w:r>
      </w:hyperlink>
    </w:p>
    <w:p>
      <w:pPr>
        <w:pStyle w:val="TableList"/>
      </w:pPr>
      <w:hyperlink w:anchor="v10_206"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83</w:t>
        </w:r>
      </w:hyperlink>
    </w:p>
    <w:p>
      <w:pPr>
        <w:pStyle w:val="TableList"/>
      </w:pPr>
      <w:hyperlink w:anchor="v10_207"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83</w:t>
        </w:r>
      </w:hyperlink>
    </w:p>
    <w:p>
      <w:pPr>
        <w:pStyle w:val="TableList"/>
      </w:pPr>
      <w:hyperlink w:anchor="v10_208"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84</w:t>
        </w:r>
      </w:hyperlink>
    </w:p>
    <w:p>
      <w:pPr>
        <w:pStyle w:val="TableList"/>
      </w:pPr>
      <w:hyperlink w:anchor="v10_209"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84</w:t>
        </w:r>
      </w:hyperlink>
    </w:p>
    <w:p>
      <w:pPr>
        <w:pStyle w:val="TableList"/>
      </w:pPr>
      <w:hyperlink w:anchor="v10_210"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84</w:t>
        </w:r>
      </w:hyperlink>
    </w:p>
    <w:p>
      <w:pPr>
        <w:pStyle w:val="TableList"/>
      </w:pPr>
      <w:hyperlink w:anchor="v10_211"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85</w:t>
        </w:r>
      </w:hyperlink>
    </w:p>
    <w:p>
      <w:pPr>
        <w:pStyle w:val="TableList"/>
      </w:pPr>
      <w:hyperlink w:anchor="v10_212"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86</w:t>
        </w:r>
      </w:hyperlink>
    </w:p>
    <w:p>
      <w:pPr>
        <w:pStyle w:val="TableList"/>
      </w:pPr>
      <w:hyperlink w:anchor="v10_213"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87</w:t>
        </w:r>
      </w:hyperlink>
    </w:p>
    <w:p>
      <w:pPr>
        <w:pStyle w:val="TableList"/>
      </w:pPr>
      <w:hyperlink w:anchor="v10_214"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89</w:t>
        </w:r>
      </w:hyperlink>
    </w:p>
    <w:p>
      <w:pPr>
        <w:pStyle w:val="TableList"/>
      </w:pPr>
      <w:hyperlink w:anchor="v10_215"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90</w:t>
        </w:r>
      </w:hyperlink>
    </w:p>
    <w:p>
      <w:pPr>
        <w:pStyle w:val="TableList"/>
      </w:pPr>
      <w:hyperlink w:anchor="v10_216"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91</w:t>
        </w:r>
      </w:hyperlink>
    </w:p>
    <w:p>
      <w:pPr>
        <w:pStyle w:val="TableList"/>
      </w:pPr>
      <w:hyperlink w:anchor="v10_217" w:history="1">
        <w:r>
          <w:rPr>
            <w:rFonts w:ascii="Times New Roman" w:hAnsi="Times New Roman" w:eastAsia="Songti SC"/>
            <w:color w:val="000000"/>
            <w:sz w:val="22"/>
          </w:rPr>
          <w:t>表H-1 固定尝试轨训练成本存档（人工情景）</w:t>
        </w:r>
        <w:r>
          <w:rPr>
            <w:rFonts w:ascii="Times New Roman" w:hAnsi="Times New Roman" w:eastAsia="Songti SC"/>
            <w:color w:val="000000"/>
            <w:sz w:val="22"/>
          </w:rPr>
          <w:tab/>
          <w:t>94</w:t>
        </w:r>
      </w:hyperlink>
      <w:r>
        <w:fldChar w:fldCharType="end"/>
      </w:r>
    </w:p>
    <w:p>
      <w:pPr>
        <w:sectPr>
          <w:headerReference w:type="default" r:id="rId137"/>
          <w:footerReference w:type="default" r:id="rId138"/>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0_12"/>
      <w:bookmarkEnd w:id="12"/>
    </w:p>
    <w:p>
      <w:pPr>
        <w:pStyle w:val="Heading2"/>
      </w:pPr>
      <w:r>
        <w:t>1.1 研究背景与问题提出</w:t>
      </w:r>
      <w:bookmarkStart w:id="13" w:name="v10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0" w:name="v10_160"/>
      <w:bookmarkEnd w:id="160"/>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当前人工情景不建立真实问题发生率，诊断方案集中于附录H.1。</w:t>
      </w:r>
    </w:p>
    <w:p>
      <w:pPr>
        <w:pStyle w:val="Heading2"/>
      </w:pPr>
      <w:r>
        <w:t>1.2 国内外研究现状</w:t>
      </w:r>
      <w:bookmarkStart w:id="14" w:name="v10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0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0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0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0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1" w:name="v10_161"/>
      <w:bookmarkEnd w:id="16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0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2" w:name="v10_162"/>
      <w:bookmarkEnd w:id="162"/>
    </w:p>
    <w:p>
      <w:pPr>
        <w:pStyle w:val="Heading3"/>
      </w:pPr>
      <w:r>
        <w:t>1.3.1 研究问题</w:t>
      </w:r>
      <w:bookmarkStart w:id="20" w:name="v10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0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0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3" w:name="v10_163"/>
      <w:bookmarkEnd w:id="16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0_23"/>
      <w:bookmarkEnd w:id="23"/>
    </w:p>
    <w:p>
      <w:r>
        <w:rPr>
          <w:rFonts w:ascii="Times New Roman" w:hAnsi="Times New Roman" w:eastAsia="Songti SC"/>
          <w:color w:val="000000"/>
        </w:rPr>
        <w:t>第一章从监督漂移与结构恢复两个问题出发，比较相关方法并明确成果归属。第二章统一原生任务、完整对象评价与公共协议。第三章研究关系影响域约束的增强与成对学习，区分数据构造、学习目标及中心选择。第四章研究依赖闭合事务，并以同评分全局求解检验其使用条件。第五章比较条件增量、净错误变化、在线配置与超边规模，并说明对象重叠和作用路径尚不能由聚合计数识别。第六章总结研究认识与适用范围。</w:t>
      </w:r>
    </w:p>
    <w:p>
      <w:r>
        <w:rPr>
          <w:rFonts w:ascii="Times New Roman" w:hAnsi="Times New Roman" w:eastAsia="Songti SC"/>
          <w:color w:val="000000"/>
        </w:rPr>
        <w:t>附录A、B集中保存坐标、序列化、执行边界及性质证明，附录C、D说明成果和构造材料，附录E保留历史数值，附录F提供阅读索引。附录G记录外部方法核查及接入协议，附录H集中未完成的诊断、表达变化、资源与对象分析方案。正文保留影响研究判断的定义与假设，完整实现细节按引用查阅。</w:t>
      </w:r>
    </w:p>
    <w:p>
      <w:pPr>
        <w:pStyle w:val="Heading1"/>
      </w:pPr>
      <w:r>
        <w:t>第二章 任务表示与方法基础</w:t>
      </w:r>
      <w:bookmarkStart w:id="24" w:name="v10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0_25"/>
      <w:bookmarkEnd w:id="25"/>
    </w:p>
    <w:p>
      <w:pPr>
        <w:pStyle w:val="Heading3"/>
      </w:pPr>
      <w:r>
        <w:t>2.1.1 组件及二元关系</w:t>
      </w:r>
      <w:bookmarkStart w:id="26" w:name="v10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0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4" w:name="v10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0_28"/>
      <w:bookmarkEnd w:id="28"/>
    </w:p>
    <w:p>
      <w:pPr>
        <w:pStyle w:val="Heading3"/>
      </w:pPr>
      <w:r>
        <w:t>2.2.1 语料约束与候选范围</w:t>
      </w:r>
      <w:bookmarkStart w:id="29" w:name="v10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0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0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0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0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0_34"/>
      <w:bookmarkEnd w:id="34"/>
    </w:p>
    <w:p>
      <w:pPr>
        <w:pStyle w:val="Heading3"/>
      </w:pPr>
      <w:r>
        <w:t>2.6.1 数据划分与使用范围</w:t>
      </w:r>
      <w:bookmarkStart w:id="35" w:name="v10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0_36"/>
      <w:bookmarkEnd w:id="36"/>
    </w:p>
    <w:p>
      <w:r>
        <w:rPr>
          <w:rFonts w:ascii="Times New Roman" w:hAnsi="Times New Roman" w:eastAsia="Songti SC"/>
          <w:color w:val="000000"/>
        </w:rPr>
        <w:t>实验采用统一骨干、源文档分组与严格评价，各种方法的变化集中在增强条件、学习目标或修正策略。表2-2固定计算配置和数据规模，全部结果按语料、方法和种子关联，跨章复用相同记录。</w:t>
      </w:r>
    </w:p>
    <w:p>
      <w:pPr>
        <w:pStyle w:val="TableCaption"/>
      </w:pPr>
      <w:r>
        <w:rPr>
          <w:rFonts w:ascii="Times New Roman" w:hAnsi="Times New Roman" w:eastAsia="Songti SC"/>
          <w:color w:val="000000"/>
          <w:sz w:val="21"/>
        </w:rPr>
        <w:t>表2-2 公共配置与评价规模（人工情景）</w:t>
      </w:r>
      <w:bookmarkStart w:id="165" w:name="v10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表中参数定义比较条件，不由测试结果反向选择。数据、配置、候选、结果和统计身份分别存放；正文只复用统一汇总入口。评价记录采用文档与种子配对，组件和关系分别保留TP、FP、FN，成本保留模型生成、对象评分及求解分项。附录A列出字段与复算关系。</w:t>
      </w:r>
    </w:p>
    <w:p>
      <w:pPr>
        <w:pStyle w:val="Heading3"/>
      </w:pPr>
      <w:r>
        <w:t>2.6.3 统计分析与计算成本</w:t>
      </w:r>
      <w:bookmarkStart w:id="37" w:name="v10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首先比较相同逐文档总求解预算，另以相同端到端时限评价部署条件；两种预算分别命名。软件、线程、缓存条件和共同准备开销保持一致，大预算结果不自动视为最优。核心比较包括相同增强集合上的成对项增量、BR-J与组件优先分步策略，以及BR-J与等求解预算全局ILP的差异。其余消融和交互用于解释机制。95%区间为固定三种子条件下逐比较的文档配对区间，未作多重比较校正；区间跨零不能解释为等效。完整求解状态、成本记录和统计规则见附录H.3。</w:t>
      </w:r>
    </w:p>
    <w:p>
      <w:pPr>
        <w:pStyle w:val="Heading2"/>
      </w:pPr>
      <w:r>
        <w:t>2.7 训练与推理的接口</w:t>
      </w:r>
      <w:bookmarkStart w:id="38" w:name="v10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6" w:name="v10_166"/>
      <w:bookmarkEnd w:id="166"/>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0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0_40"/>
      <w:bookmarkEnd w:id="40"/>
    </w:p>
    <w:p>
      <w:pPr>
        <w:pStyle w:val="Heading2"/>
      </w:pPr>
      <w:r>
        <w:t>3.1 引言</w:t>
      </w:r>
      <w:bookmarkStart w:id="41" w:name="v10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0_42"/>
      <w:bookmarkEnd w:id="42"/>
    </w:p>
    <w:p>
      <w:pPr>
        <w:pStyle w:val="Heading3"/>
      </w:pPr>
      <w:r>
        <w:t>3.2.1 类型条件低秩适配</w:t>
      </w:r>
      <w:bookmarkStart w:id="43" w:name="v10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0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0_45"/>
      <w:bookmarkEnd w:id="45"/>
    </w:p>
    <w:p>
      <w:pPr>
        <w:pStyle w:val="Heading3"/>
      </w:pPr>
      <w:r>
        <w:t>3.3.1 改写区域与关系因素</w:t>
      </w:r>
      <w:bookmarkStart w:id="46" w:name="v10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67" w:name="v10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68" w:name="v10_168"/>
      <w:bookmarkEnd w:id="168"/>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0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0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0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69" w:name="v10_169"/>
      <w:bookmarkEnd w:id="169"/>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10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0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0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0_53"/>
      <w:bookmarkEnd w:id="53"/>
    </w:p>
    <w:p>
      <w:pPr>
        <w:pStyle w:val="Heading3"/>
      </w:pPr>
      <w:r>
        <w:t>3.5.1 数据构造与参数学习</w:t>
      </w:r>
      <w:bookmarkStart w:id="54" w:name="v10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0" w:name="v10_170"/>
      <w:bookmarkEnd w:id="170"/>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0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0_56"/>
      <w:bookmarkEnd w:id="56"/>
    </w:p>
    <w:p>
      <w:r>
        <w:rPr>
          <w:rFonts w:ascii="Times New Roman" w:hAnsi="Times New Roman" w:eastAsia="Songti SC"/>
          <w:color w:val="000000"/>
        </w:rPr>
        <w:t>本节数值、审计判断和成本为人工情景，用于展示比较与分析；正式结果须由对应原始文本和运行记录整体替换。</w:t>
      </w:r>
    </w:p>
    <w:p>
      <w:r>
        <w:rPr>
          <w:rFonts w:ascii="Times New Roman" w:hAnsi="Times New Roman" w:eastAsia="Songti SC"/>
          <w:color w:val="000000"/>
        </w:rPr>
        <w:t>本章分别评价监督可靠性、增强数据的任务作用和成对学习的独立增量。前者关注改写后标签是否保持，后两者关注原始测试文本上的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0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1" w:name="v10_171"/>
      <w:bookmarkEnd w:id="17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一般文本增量的作用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比较数据构造，不与T1全机制混比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0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接受样本的标签漂移率（%）（人工情景）</w:t>
      </w:r>
      <w:bookmarkStart w:id="172" w:name="v10_172"/>
      <w:bookmarkEnd w:id="17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接受与拒绝样本的因素漂移审计（人工情景）</w:t>
      </w:r>
      <w:bookmarkStart w:id="173" w:name="v10_173"/>
      <w:bookmarkEnd w:id="17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证明增强具有充分变化，也不能排除选择偏向。只要一个受检因素失败就拒绝整个变体，可能使关系密集、受检因素较多的文档更难通过；单因素判断存在误差时也需警惕这一风险，但当前材料不能认定偏差已经发生。原始增强文本缺失，故本节不报告非复制、编辑距离或复杂度分组结果，测量口径统一放在附录H.2。</w:t>
      </w:r>
    </w:p>
    <w:p>
      <w:pPr>
        <w:pStyle w:val="Heading3"/>
      </w:pPr>
      <w:r>
        <w:t>3.6.3 抽取结果与学习目标消融</w:t>
      </w:r>
      <w:bookmarkStart w:id="59" w:name="v10_59"/>
      <w:bookmarkEnd w:id="59"/>
    </w:p>
    <w:p>
      <w:pPr>
        <w:pStyle w:val="TableCaption"/>
      </w:pPr>
      <w:r>
        <w:rPr>
          <w:rFonts w:ascii="Times New Roman" w:hAnsi="Times New Roman" w:eastAsia="Songti SC"/>
          <w:color w:val="000000"/>
          <w:sz w:val="21"/>
        </w:rPr>
        <w:t>表3-5 训练方案的严格抽取结果（匹配训练规模）（人工情景）</w:t>
      </w:r>
      <w:bookmarkStart w:id="174" w:name="v10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78.68±0.37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53.86±0.45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70.56±0.31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48.56±0.27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54.06±0.53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48.84±0.21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79.77±0.42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55.68±0.28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71.58±0.25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50.25±0.44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81.38±0.47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57.96±0.22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73.47±0.29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52.06±0.49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81.68±0.43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58.37±0.17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73.78±0.45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52.67±0.35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T1相对T0的严格关系F1分别增加7.32和7.21个百分点，这一总差值包含数据构造、头监督和成对学习。数据构造作用由T-B单独解释：QOS式适配与完整增强都采用基础损失，对照表3-6首行，AAEC为55.68对57.47，CDCP为50.25对52.08，差值分别为1.79和1.83个百分点。过滤消融另在共同生成池和相同学习配置下变化审核项，反映跨边界正关系与NONE检查的条件作用。它们不能将T1的全部增量归给增强、中心或某一个损失项。</w:t>
      </w:r>
    </w:p>
    <w:p>
      <w:pPr>
        <w:pStyle w:val="TableCaption"/>
      </w:pPr>
      <w:r>
        <w:rPr>
          <w:rFonts w:ascii="Times New Roman" w:hAnsi="Times New Roman" w:eastAsia="Songti SC"/>
          <w:color w:val="000000"/>
          <w:sz w:val="21"/>
        </w:rPr>
        <w:t>表3-6 相同增强集合上的学习目标比较（匹配训练规模）（人工情景）</w:t>
      </w:r>
      <w:bookmarkStart w:id="175" w:name="v10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80.78±0.32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57.47±0.48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72.87±0.42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52.08±0.33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81.56±0.02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58.65±0.62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73.47±0.65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表3-6的三行使用完全相同的增强文本、来源权重和更新条件。增加头监督先建立组件与完整关系因素的输入表示；加入成对对齐后，AAEC与CDCP的关系F1分别再增加1.92和1.88个百分点，文档配对95%区间为[+1.17, +2.72]和[+0.81, +2.85]。因此，在这组相同数据的比较中，完整结果的提升同时包含数据构造、辅助监督和成对目标三部分，不能将总增量全部归给对齐项。</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训练方案与学习目标的严格关系结果（人工情景）</w:t>
      </w:r>
      <w:bookmarkStart w:id="176" w:name="v10_176"/>
      <w:bookmarkEnd w:id="176"/>
    </w:p>
    <w:p>
      <w:pPr>
        <w:pStyle w:val="Heading3"/>
      </w:pPr>
      <w:r>
        <w:t>3.6.4 中心选择与适用条件</w:t>
      </w:r>
      <w:bookmarkStart w:id="60" w:name="v10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中心匹配的有效覆盖与自匹配（人工情景）</w:t>
      </w:r>
      <w:bookmarkStart w:id="177" w:name="v10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结论中心与匹配随机中心的比较（匹配训练规模）（人工情景）</w:t>
      </w:r>
      <w:bookmarkStart w:id="178" w:name="v10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82.07±0.39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60.07±0.45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54.75±0.42</w:t>
            </w:r>
          </w:p>
        </w:tc>
      </w:tr>
    </w:tbl>
    <w:p>
      <w:pPr>
        <w:spacing w:after="0" w:line="240" w:lineRule="auto"/>
      </w:pPr>
    </w:p>
    <w:p>
      <w:r>
        <w:rPr>
          <w:rFonts w:ascii="Times New Roman" w:hAnsi="Times New Roman" w:eastAsia="Songti SC"/>
          <w:color w:val="000000"/>
        </w:rPr>
        <w:t>结论中心相对匹配随机中心的关系差值为AAEC 0.50、CDCP 0.51个百分点，配对95%区间分别为[-0.22, +1.19]、[-0.48, +1.47]。区间均含0，未建立稳定的结论中心优势，完整方案增量不能归因于中心角色。</w:t>
      </w:r>
    </w:p>
    <w:p>
      <w:pPr>
        <w:pStyle w:val="Heading3"/>
      </w:pPr>
      <w:r>
        <w:t>3.6.5 生成覆盖与计算成本</w:t>
      </w:r>
      <w:bookmarkStart w:id="61" w:name="v10_61"/>
      <w:bookmarkEnd w:id="61"/>
    </w:p>
    <w:p>
      <w:pPr>
        <w:pStyle w:val="TableCaption"/>
      </w:pPr>
      <w:r>
        <w:rPr>
          <w:rFonts w:ascii="Times New Roman" w:hAnsi="Times New Roman" w:eastAsia="Songti SC"/>
          <w:color w:val="000000"/>
          <w:sz w:val="21"/>
        </w:rPr>
        <w:t>表3-9 固定尝试预算下的覆盖与构造成本（人工情景）</w:t>
      </w:r>
      <w:bookmarkStart w:id="179" w:name="v10_179"/>
      <w:bookmarkEnd w:id="17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2"/>
      </w:pPr>
      <w:r>
        <w:t>3.7 本章小结</w:t>
      </w:r>
      <w:bookmarkStart w:id="62" w:name="v10_62"/>
      <w:bookmarkEnd w:id="62"/>
    </w:p>
    <w:p>
      <w:r>
        <w:rPr>
          <w:rFonts w:ascii="Times New Roman" w:hAnsi="Times New Roman" w:eastAsia="Songti SC"/>
          <w:color w:val="000000"/>
        </w:rPr>
        <w:t>本章将影响域检查和标注对应连接到成对学习。人工情景把数据构造、头监督和成对项增量分开，同时保留中心区间跨0及源覆盖下降，说明可靠性判断不能只看接受池。真实必要性、有效变化和学习收益仍待验证。</w:t>
      </w:r>
    </w:p>
    <w:p>
      <w:pPr>
        <w:pStyle w:val="Heading1"/>
      </w:pPr>
      <w:r>
        <w:t>第四章 多候选驱动的依赖闭合论辩图修正</w:t>
      </w:r>
      <w:bookmarkStart w:id="63" w:name="v10_63"/>
      <w:bookmarkEnd w:id="63"/>
    </w:p>
    <w:p>
      <w:pPr>
        <w:pStyle w:val="Heading2"/>
      </w:pPr>
      <w:r>
        <w:t>4.1 引言</w:t>
      </w:r>
      <w:bookmarkStart w:id="64" w:name="v10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当前材料没有真实错误分布，完整诊断方案见附录H.1。</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0" w:name="v10_180"/>
      <w:bookmarkEnd w:id="180"/>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10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10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10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10_68"/>
      <w:bookmarkEnd w:id="68"/>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69" w:name="v10_69"/>
      <w:bookmarkEnd w:id="69"/>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0" w:name="v10_70"/>
      <w:bookmarkEnd w:id="70"/>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1" w:name="v10_71"/>
      <w:bookmarkEnd w:id="71"/>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2" w:name="v10_72"/>
      <w:bookmarkEnd w:id="72"/>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3" w:name="v10_73"/>
      <w:bookmarkEnd w:id="73"/>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4" w:name="v10_74"/>
      <w:bookmarkEnd w:id="74"/>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5" w:name="v10_75"/>
      <w:bookmarkEnd w:id="75"/>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6" w:name="v10_76"/>
      <w:bookmarkEnd w:id="76"/>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7" w:name="v10_77"/>
      <w:bookmarkEnd w:id="77"/>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8" w:name="v10_78"/>
      <w:bookmarkEnd w:id="78"/>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9" w:name="v10_79"/>
      <w:bookmarkEnd w:id="79"/>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0" w:name="v10_80"/>
      <w:bookmarkEnd w:id="80"/>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1" w:name="v10_81"/>
      <w:bookmarkEnd w:id="81"/>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2" w:name="v10_82"/>
      <w:bookmarkEnd w:id="82"/>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rPr>
        <w:t>和完整槽位集合组成，重复提议只评估一次；拒绝缓存也包含状态身份。组件改变后可在新状态重新枚举旧状态非法的槽位，但不能扩张冻结候选宇宙。</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r>
        <w:rPr>
          <w:rFonts w:ascii="Times New Roman" w:hAnsi="Times New Roman" w:eastAsia="Songti SC"/>
          <w:color w:val="000000"/>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AlgorithmCaption"/>
      </w:pPr>
      <w:r>
        <w:rPr>
          <w:rFonts w:ascii="Times New Roman" w:hAnsi="Times New Roman" w:eastAsia="Songti SC"/>
          <w:color w:val="000000"/>
          <w:sz w:val="21"/>
        </w:rPr>
        <w:t>算法4-1 多候选驱动的依赖闭合修正</w:t>
      </w:r>
      <w:bookmarkStart w:id="181" w:name="v10_181"/>
      <w:bookmarkEnd w:id="181"/>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2" w:name="v10_182"/>
      <w:bookmarkEnd w:id="182"/>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4851326"/>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652770" cy="4851326"/>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3" w:name="v10_183"/>
      <w:bookmarkEnd w:id="183"/>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3" w:name="v10_83"/>
      <w:bookmarkEnd w:id="83"/>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4" w:name="v10_84"/>
      <w:bookmarkEnd w:id="84"/>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5" w:name="v10_85"/>
      <w:bookmarkEnd w:id="85"/>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6" w:name="v10_86"/>
      <w:bookmarkEnd w:id="86"/>
    </w:p>
    <w:p>
      <w:r>
        <w:rPr>
          <w:rFonts w:ascii="Times New Roman" w:hAnsi="Times New Roman" w:eastAsia="Songti SC"/>
          <w:color w:val="000000"/>
        </w:rPr>
        <w:t>本节表图和案例使用人工情景；求解状态、错误分布与真实延迟的新增诊断按附录H执行后另行报告。</w:t>
      </w:r>
    </w:p>
    <w:p>
      <w:r>
        <w:rPr>
          <w:rFonts w:ascii="Times New Roman" w:hAnsi="Times New Roman" w:eastAsia="Songti SC"/>
          <w:color w:val="000000"/>
        </w:rPr>
        <w:t>本章固定T1训练条件，以I0为共同起点，分别比较完整系统和受控机制。组件及完整关系计数用于评价最终输出，候选覆盖、Oracle、对象评分、恢复风险和资源曲线用于解释增量来源。数学构造保留在方法说明与附录D，用于展示边界情形，不代替完整对照。</w:t>
      </w:r>
    </w:p>
    <w:p>
      <w:pPr>
        <w:pStyle w:val="Heading3"/>
      </w:pPr>
      <w:r>
        <w:t>4.6.1 推理协议与方法对照</w:t>
      </w:r>
      <w:bookmarkStart w:id="87" w:name="v10_87"/>
      <w:bookmarkEnd w:id="87"/>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4" w:name="v10_184"/>
      <w:bookmarkEnd w:id="18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5" w:name="v10_185"/>
      <w:bookmarkEnd w:id="18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8" w:name="v10_88"/>
      <w:bookmarkEnd w:id="88"/>
    </w:p>
    <w:p>
      <w:pPr>
        <w:pStyle w:val="TableCaption"/>
      </w:pPr>
      <w:r>
        <w:rPr>
          <w:rFonts w:ascii="Times New Roman" w:hAnsi="Times New Roman" w:eastAsia="Songti SC"/>
          <w:color w:val="000000"/>
          <w:sz w:val="21"/>
        </w:rPr>
        <w:t>表4-3 推理方法的严格抽取结果（人工情景）</w:t>
      </w:r>
      <w:bookmarkStart w:id="186" w:name="v10_186"/>
      <w:bookmarkEnd w:id="18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75.07±0.40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56.76±0.26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56.97±0.32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62.97±0.44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57.57±0.52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82.98±0.28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57.68±0.26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75.76±0.33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58.95±0.27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76.57±0.30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59.06±0.39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84.77±0.38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67.87±0.45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77.37±0.53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63.36±0.29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63.67±0.33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75.46±0.45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58.05±0.42</w:t>
            </w:r>
          </w:p>
        </w:tc>
      </w:tr>
    </w:tbl>
    <w:p>
      <w:pPr>
        <w:spacing w:after="0" w:line="240" w:lineRule="auto"/>
      </w:pPr>
    </w:p>
    <w:p>
      <w:r>
        <w:rPr>
          <w:rFonts w:ascii="Times New Roman" w:hAnsi="Times New Roman" w:eastAsia="Songti SC"/>
          <w:color w:val="000000"/>
        </w:rPr>
        <w:t>BR-J相对I0在AAEC和CDCP上的关系F1分别增加5.99和6.71个百分点，同时提高组件结果。固定组件的BR-C和RelationOnly能够修复部分关系错误，但无法补回错误或遗漏的完整端点。单对象动作进一步扩大修正范围，集合替换则允许拆分、合并及其依赖关系作为共同提议参与决策。</w:t>
      </w:r>
    </w:p>
    <w:p>
      <w:r>
        <w:rPr>
          <w:rFonts w:ascii="Times New Roman" w:hAnsi="Times New Roman" w:eastAsia="Songti SC"/>
          <w:color w:val="000000"/>
        </w:rPr>
        <w:t>相对于组件优先分步策略，BR-J的关系增量为3.41和4.28个百分点，文档配对95%区间分别为[+2.58, +4.16]和[+3.39, +5.14]。该比较支持联合决策策略相对于本节分步策略的整体差异。两者同时改变信息使用、接受条件和批内排序，因而结果不能单独识别纯执行顺序的因果作用。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时限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89" w:name="v10_89"/>
      <w:bookmarkEnd w:id="89"/>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从完整组件到完整关系的候选覆盖（人工情景）</w:t>
      </w:r>
      <w:bookmarkStart w:id="187" w:name="v10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三类恢复空间的关系计数诊断（人工情景）</w:t>
      </w:r>
      <w:bookmarkStart w:id="188" w:name="v10_188"/>
      <w:bookmarkEnd w:id="18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0" w:name="v10_90"/>
      <w:bookmarkEnd w:id="90"/>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完整对象评分的区分与校准（人工情景）</w:t>
      </w:r>
      <w:bookmarkStart w:id="189" w:name="v10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1" w:name="v10_91"/>
      <w:bookmarkEnd w:id="91"/>
    </w:p>
    <w:p>
      <w:pPr>
        <w:pStyle w:val="TableCaption"/>
      </w:pPr>
      <w:r>
        <w:rPr>
          <w:rFonts w:ascii="Times New Roman" w:hAnsi="Times New Roman" w:eastAsia="Songti SC"/>
          <w:color w:val="000000"/>
          <w:sz w:val="21"/>
        </w:rPr>
        <w:t>表4-7 关系恢复与误改的累计计数（人工情景）</w:t>
      </w:r>
      <w:bookmarkStart w:id="190" w:name="v10_190"/>
      <w:bookmarkEnd w:id="19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267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95.35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97.06</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97.65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94.40</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96.93</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全局等时限</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97.20</w:t>
            </w:r>
          </w:p>
        </w:tc>
      </w:tr>
    </w:tbl>
    <w:p>
      <w:pPr>
        <w:spacing w:after="0" w:line="240" w:lineRule="auto"/>
      </w:pPr>
    </w:p>
    <w:p>
      <w:r>
        <w:rPr>
          <w:rFonts w:ascii="Times New Roman" w:hAnsi="Times New Roman" w:eastAsia="Songti SC"/>
          <w:color w:val="000000"/>
        </w:rPr>
        <w:t>表4-7累加三种子的关系对象变化，恢复为新增真阳性，损失为初始真阳性消失；FP移除与新增分别计数。BR-J在AAEC和CDCP保留了97.06%和96.93%的初始关系真阳性，高于本比较中的分步策略。尽管最终关系F1提高，仍有28和60个文档与种子配对的关系F1下降，分别占11.67%和13.51%。因此，分项代理门控制的是代理分量，不能保证每篇文档的真实指标非下降。</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联合修正中的关系恢复与原真阳性损失（人工情景）</w:t>
      </w:r>
      <w:bookmarkStart w:id="191" w:name="v10_191"/>
      <w:bookmarkEnd w:id="191"/>
    </w:p>
    <w:p>
      <w:pPr>
        <w:pStyle w:val="TableCaption"/>
      </w:pPr>
      <w:r>
        <w:rPr>
          <w:rFonts w:ascii="Times New Roman" w:hAnsi="Times New Roman" w:eastAsia="Songti SC"/>
          <w:color w:val="000000"/>
          <w:sz w:val="21"/>
        </w:rPr>
        <w:t>表4-8 推理成本与预算取舍（人工情景）</w:t>
      </w:r>
      <w:bookmarkStart w:id="192" w:name="v10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全局ILP等时限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时限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时限全局ILP节省的平均总时间仅为4.19%和4.73%，关系F1按未舍入值计算分别低0.40和0.50个百分点。表4-7中全局方法的初始关系TP保留率也略高，因此当前情景没有支持“局部更安全”或突出的效率优势。按已有成本分项，BR-J求解仅占总时间的5.00%和5.67%；大部分时间在生成与评分，单独加速局部求解难以等比例改善整体时延。这些是人工成本设定下的算术关系，该情景中的局部仍略快，不能说被全局在所有维度严格支配；但这点节时也不足以支持突出效率优势。真实采用条件尚未确定，冷启动、缓存和一次性准备费用按附录H.3分别解释。</w:t>
      </w:r>
    </w:p>
    <w:p>
      <w:pPr>
        <w:keepNext/>
        <w:spacing w:line="240" w:lineRule="auto" w:before="80" w:after="60"/>
        <w:ind w:firstLine="0"/>
        <w:jc w:val="center"/>
      </w:pPr>
      <w:r>
        <w:drawing>
          <wp:inline xmlns:a="http://schemas.openxmlformats.org/drawingml/2006/main" xmlns:pic="http://schemas.openxmlformats.org/drawingml/2006/picture">
            <wp:extent cx="5652770" cy="2673474"/>
            <wp:docPr id="10" name="budget_results.png" descr="不同外层轮数下的关系结果与逐文档时间"/>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652770" cy="2673474"/>
                    </a:xfrm>
                    <a:prstGeom prst="rect"/>
                  </pic:spPr>
                </pic:pic>
              </a:graphicData>
            </a:graphic>
          </wp:inline>
        </w:drawing>
      </w:r>
    </w:p>
    <w:p>
      <w:pPr>
        <w:pStyle w:val="FigureCaption"/>
      </w:pPr>
      <w:r>
        <w:rPr>
          <w:rFonts w:ascii="Times New Roman" w:hAnsi="Times New Roman" w:eastAsia="Songti SC"/>
          <w:color w:val="000000"/>
          <w:sz w:val="21"/>
        </w:rPr>
        <w:t>图4-4 外层轮数增加时的结果与时间变化（人工情景）</w:t>
      </w:r>
      <w:bookmarkStart w:id="193" w:name="v10_193"/>
      <w:bookmarkEnd w:id="193"/>
    </w:p>
    <w:p>
      <w:r>
        <w:rPr>
          <w:rFonts w:ascii="Times New Roman" w:hAnsi="Times New Roman" w:eastAsia="Songti SC"/>
          <w:color w:val="000000"/>
        </w:rPr>
        <w:t>轮数曲线显示当前情景的边际增量逐步减小。图中局部轮数与全局时限属于不同控制量，只能结合实际端到端时间阅读；它还不能证明大图或紧预算下局部方法必然更优。完整调度边界见算法4-1、4-2及附录B.4.3。</w:t>
      </w:r>
    </w:p>
    <w:p>
      <w:pPr>
        <w:pStyle w:val="Heading3"/>
      </w:pPr>
      <w:r>
        <w:t>4.6.6 案例分析</w:t>
      </w:r>
      <w:bookmarkStart w:id="92" w:name="v10_92"/>
      <w:bookmarkEnd w:id="92"/>
    </w:p>
    <w:p>
      <w:r>
        <w:rPr>
          <w:rFonts w:ascii="Times New Roman" w:hAnsi="Times New Roman" w:eastAsia="Songti SC"/>
          <w:color w:val="000000"/>
        </w:rPr>
        <w:t>表4-9仅以人工机制片段说明四种决策情形。真实同文档前后案例尚未取得，取例与复核要求见附录B.5及H.4。</w:t>
      </w:r>
    </w:p>
    <w:p>
      <w:pPr>
        <w:pStyle w:val="TableCaption"/>
      </w:pPr>
      <w:r>
        <w:rPr>
          <w:rFonts w:ascii="Times New Roman" w:hAnsi="Times New Roman" w:eastAsia="Songti SC"/>
          <w:color w:val="000000"/>
          <w:sz w:val="21"/>
        </w:rPr>
        <w:t>表4-9 结构恢复与失败案例（人工情景）</w:t>
      </w:r>
      <w:bookmarkStart w:id="194" w:name="v10_194"/>
      <w:bookmarkEnd w:id="19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四类片段分别说明动作表达、评分偏差、接受门和候选限制；真实频率与误改风险由总体运行记录评价。</w:t>
      </w:r>
    </w:p>
    <w:p>
      <w:pPr>
        <w:pStyle w:val="Heading2"/>
      </w:pPr>
      <w:r>
        <w:t>4.7 本章小结</w:t>
      </w:r>
      <w:bookmarkStart w:id="93" w:name="v10_93"/>
      <w:bookmarkEnd w:id="93"/>
    </w:p>
    <w:p>
      <w:r>
        <w:rPr>
          <w:rFonts w:ascii="Times New Roman" w:hAnsi="Times New Roman" w:eastAsia="Songti SC"/>
          <w:color w:val="000000"/>
        </w:rPr>
        <w:t>本章明确了集合事务的表达与决策条件。人工情景中，BR-J优于所定义分步策略，但与等求解预算全局方法相比尚无突出质量、时间或保留率优势。局部方法的使用条件需由真实资源和变更轨迹检验；第五章继续分析其与训练条件的关系。</w:t>
      </w:r>
    </w:p>
    <w:p>
      <w:pPr>
        <w:pStyle w:val="Heading1"/>
      </w:pPr>
      <w:r>
        <w:t>第五章 两阶段框架的综合分析</w:t>
      </w:r>
      <w:bookmarkStart w:id="94" w:name="v10_94"/>
      <w:bookmarkEnd w:id="94"/>
    </w:p>
    <w:p>
      <w:r>
        <w:rPr>
          <w:rFonts w:ascii="Times New Roman" w:hAnsi="Times New Roman" w:eastAsia="Songti SC"/>
          <w:color w:val="000000"/>
        </w:rPr>
        <w:t>本章复用四格人工计数与成本，分析条件增量、净错误变化和在线配置取舍，并说明超边规模的评价范围。聚合计数能支持这些比较，不能识别共同修复对象或训练影响修正的具体路径；相应分析设计集中于附录H.4。</w:t>
      </w:r>
    </w:p>
    <w:p>
      <w:pPr>
        <w:pStyle w:val="Heading2"/>
      </w:pPr>
      <w:r>
        <w:t>5.1 两阶段的条件增量</w:t>
      </w:r>
      <w:bookmarkStart w:id="95" w:name="v10_95"/>
      <w:bookmarkEnd w:id="95"/>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两阶段组合的四格结果（人工情景）</w:t>
      </w:r>
      <w:bookmarkStart w:id="195" w:name="v10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80.77±0.51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59.87±0.35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54.35±0.40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bl>
    <w:p>
      <w:pPr>
        <w:spacing w:after="0" w:line="240" w:lineRule="auto"/>
      </w:pPr>
    </w:p>
    <w:p>
      <w:r>
        <w:rPr>
          <w:rFonts w:ascii="Times New Roman" w:hAnsi="Times New Roman" w:eastAsia="Songti SC"/>
          <w:color w:val="000000"/>
        </w:rPr>
        <w:t>完整组合相对T0＋I0的关系增量为13.31和13.92个百分点。令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条件增量与交互差（人工情景）</w:t>
      </w:r>
      <w:bookmarkStart w:id="196" w:name="v10_196"/>
      <w:bookmarkEnd w:id="19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+0.40</w:t>
            </w:r>
          </w:p>
        </w:tc>
      </w:tr>
    </w:tbl>
    <w:p>
      <w:pPr>
        <w:spacing w:after="0" w:line="240" w:lineRule="auto"/>
      </w:pPr>
    </w:p>
    <w:p>
      <w:r>
        <w:rPr>
          <w:rFonts w:ascii="Times New Roman" w:hAnsi="Times New Roman" w:eastAsia="Songti SC"/>
          <w:color w:val="000000"/>
        </w:rPr>
        <w:t>AAEC关系交互差为−0.64，配对95%区间为[−1.71, +0.41]；CDCP为+0.40，区间为[−1.01, +1.80]。两者均包含0，因此组合增量与稳定超加性应分别判断。AAEC组件交互为负，与收益重叠相容，但不能据此确定两阶段改变的是哪些对象。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1"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两个训练条件下的推理增量与交互关系（人工情景）</w:t>
      </w:r>
      <w:bookmarkStart w:id="197" w:name="v10_197"/>
      <w:bookmarkEnd w:id="197"/>
    </w:p>
    <w:p>
      <w:pPr>
        <w:pStyle w:val="Heading2"/>
      </w:pPr>
      <w:r>
        <w:t>5.2 净错误变化与对象分析边界</w:t>
      </w:r>
      <w:bookmarkStart w:id="96" w:name="v10_96"/>
      <w:bookmarkEnd w:id="96"/>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四格比较的净错误计数变化（人工情景）</w:t>
      </w:r>
      <w:bookmarkStart w:id="198" w:name="v10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+211／-202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+130／-126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+90／-89</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+274／-250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+248／-225</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+224／-208</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+203／-193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+201／-179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+176／-156</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+187／-171</w:t>
            </w:r>
          </w:p>
        </w:tc>
      </w:tr>
    </w:tbl>
    <w:p>
      <w:pPr>
        <w:spacing w:after="0" w:line="240" w:lineRule="auto"/>
      </w:pPr>
    </w:p>
    <w:p>
      <w:r>
        <w:rPr>
          <w:rFonts w:ascii="Times New Roman" w:hAnsi="Times New Roman" w:eastAsia="Songti SC"/>
          <w:color w:val="000000"/>
        </w:rPr>
        <w:t>AAEC在T1下修正的关系净TP增加224，小于T0下的248；CDCP则为187与176。训练后剩余修正空间并非在两个语料上同幅度收缩。表4-7中BR-J的恢复与损失分别为289−65、233−46，恰好对应上述净增量；图4-3保留两类数量，第五章不重复绘制同一风险。</w:t>
      </w:r>
    </w:p>
    <w:p>
      <w:r>
        <w:rPr>
          <w:rFonts w:ascii="Times New Roman" w:hAnsi="Times New Roman" w:eastAsia="Songti SC"/>
          <w:color w:val="000000"/>
        </w:rPr>
        <w:t>同一净增量可以由不同的恢复和损失组成。当前TP、FP、FN未绑定完整预测对象，无法计算共同／独有修复比例，也不能把负交互解释为已证实的对象重叠。相关集合定义与同文档案例规则见附录H.4。</w:t>
      </w:r>
    </w:p>
    <w:p>
      <w:pPr>
        <w:pStyle w:val="Heading2"/>
      </w:pPr>
      <w:r>
        <w:t>5.3 训练条件变化的解释边界</w:t>
      </w:r>
      <w:bookmarkStart w:id="97" w:name="v10_97"/>
      <w:bookmarkEnd w:id="97"/>
    </w:p>
    <w:p>
      <w:r>
        <w:rPr>
          <w:rFonts w:ascii="Times New Roman" w:hAnsi="Times New Roman" w:eastAsia="Songti SC"/>
          <w:color w:val="000000"/>
        </w:rPr>
        <w:t>现有情景中，AAEC的修正增量由6.62降至5.99，CDCP由6.31增至6.71，相关交互区间均包含0。训练条件可以同时改变初始错误、候选覆盖与评分适配，四格不能分辨各路径；表4-4只有T1覆盖，也不能充当T0到T1的覆盖变化。因此，本稿只将这些差值解释为条件系统增量，不作机制归因，进一步分析设计见附录H.4。</w:t>
      </w:r>
    </w:p>
    <w:p>
      <w:pPr>
        <w:pStyle w:val="Heading2"/>
      </w:pPr>
      <w:r>
        <w:t>5.4 在线配置的质量与时间取舍</w:t>
      </w:r>
      <w:bookmarkStart w:id="98" w:name="v10_98"/>
      <w:bookmarkEnd w:id="98"/>
    </w:p>
    <w:p>
      <w:r>
        <w:rPr>
          <w:rFonts w:ascii="Times New Roman" w:hAnsi="Times New Roman" w:eastAsia="Songti SC"/>
          <w:color w:val="000000"/>
        </w:rPr>
        <w:t>配置选择应同时考虑在线质量、额外时延和错误变更。表5-4压缩重复F1，直接列出相对T0＋I0的关系增量与逐文档额外时间；AAEC和CDCP共同起点分别为17.00秒和22.00秒。</w:t>
      </w:r>
    </w:p>
    <w:p>
      <w:pPr>
        <w:pStyle w:val="TableCaption"/>
      </w:pPr>
      <w:r>
        <w:rPr>
          <w:rFonts w:ascii="Times New Roman" w:hAnsi="Times New Roman" w:eastAsia="Songti SC"/>
          <w:color w:val="000000"/>
          <w:sz w:val="21"/>
        </w:rPr>
        <w:t>表5-4 相对共同起点的关系增量与在线额外时间（人工情景）</w:t>
      </w:r>
      <w:bookmarkStart w:id="199" w:name="v10_199"/>
      <w:bookmarkEnd w:id="19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+13.31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+13.92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若训练的一次性投入已经完成，仅比较本情景的关系F1与在线平均时间，T1＋I0同时优于T0＋I1：AAEC高0.70个百分点、少13.00秒，CDCP高0.90个百分点、少21.16秒。这说明不能仅因允许预测后修正就默认采用“只修正”配置。若无法重训、服务量很小或已有模型必须冻结，一次性训练投入会改变判断，上述在线比较不适用。</w:t>
      </w:r>
    </w:p>
    <w:p>
      <w:r>
        <w:rPr>
          <w:rFonts w:ascii="Times New Roman" w:hAnsi="Times New Roman" w:eastAsia="Songti SC"/>
          <w:color w:val="000000"/>
        </w:rPr>
        <w:t>在T1上启用BR-J需再增加14.00秒和22.16秒，关系F1增加5.99和6.71个百分点，同时仍发生误改。等求解预算全局ILP则在本情景中具有略高的关系F1与初始TP保留率，其端到端时间只多1.40秒和2.24秒。需要最高抽取质量且能容忍这部分时间时，全局方案应进入优先比较；需要限制每次变更或复核局部修改时，可进一步测量事务策略的实际价值，不能仅凭局部日志预判优劣。</w:t>
      </w:r>
    </w:p>
    <w:p>
      <w:r>
        <w:rPr>
          <w:rFonts w:ascii="Times New Roman" w:hAnsi="Times New Roman" w:eastAsia="Songti SC"/>
          <w:color w:val="000000"/>
        </w:rPr>
        <w:t>上述排序限于设定的平均时间。P95、超时、无可行解、缓存及批量吞吐可能改变实际选择；等端到端时限与真实图规模分组尚需附录H.3的运行记录。若相同资源下局部方法没有稳定质量或变更控制收益，简化它比继续增加规则更有意义。</w:t>
      </w:r>
    </w:p>
    <w:p>
      <w:pPr>
        <w:pStyle w:val="Heading2"/>
      </w:pPr>
      <w:r>
        <w:t>5.5 超边规模与恢复范围</w:t>
      </w:r>
      <w:bookmarkStart w:id="99" w:name="v10_99"/>
      <w:bookmarkEnd w:id="99"/>
    </w:p>
    <w:p>
      <w:r>
        <w:rPr>
          <w:rFonts w:ascii="Times New Roman" w:hAnsi="Times New Roman" w:eastAsia="Songti SC"/>
          <w:color w:val="000000"/>
        </w:rPr>
        <w:t>本节按人工源成员分组讨论恢复范围；缺失的逐对象阻断分布与同文档案例设计见附录H.4。</w:t>
      </w:r>
    </w:p>
    <w:p>
      <w:r>
        <w:rPr>
          <w:rFonts w:ascii="Times New Roman" w:hAnsi="Times New Roman" w:eastAsia="Songti SC"/>
          <w:color w:val="000000"/>
        </w:rPr>
        <w:t>表5-5按固定人工金标集分组，三个种子共享该集合；各组F1分别计算，整体仍从全部对象计数重算。</w:t>
      </w:r>
    </w:p>
    <w:p>
      <w:pPr>
        <w:pStyle w:val="TableCaption"/>
      </w:pPr>
      <w:r>
        <w:rPr>
          <w:rFonts w:ascii="Times New Roman" w:hAnsi="Times New Roman" w:eastAsia="Songti SC"/>
          <w:color w:val="000000"/>
          <w:sz w:val="21"/>
        </w:rPr>
        <w:t>表5-5 CDCP完整关系的源成员数分组（人工情景）</w:t>
      </w:r>
      <w:bookmarkStart w:id="200" w:name="v10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60.50±0.98</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59.28±1.11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66.32±0.58</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49.73±2.69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49.10±0.56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56.92±1.07</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38.99±5.35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39.40±3.84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49.95±3.86</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5.6 本章小结</w:t>
      </w:r>
      <w:bookmarkStart w:id="100" w:name="v10_100"/>
      <w:bookmarkEnd w:id="100"/>
    </w:p>
    <w:p>
      <w:r>
        <w:rPr>
          <w:rFonts w:ascii="Times New Roman" w:hAnsi="Times New Roman" w:eastAsia="Songti SC"/>
          <w:color w:val="000000"/>
        </w:rPr>
        <w:t>综合分析得到三点情景内认识：训练与推理均有条件增量，但关系交互尚未显示稳定超加；在线配置的选择受到训练能否摊销以及修正额外时延影响；BR-J面对等求解预算全局对照时，现有质量、时间与保留率不足以建立突出优势。对象重叠、训练对候选和评分的传递，以及真实失败构成仍需完整运行材料。由此，两阶段组合应作为可检验的配置选择，而非预设处处优于单阶段的方法结论。</w:t>
      </w:r>
    </w:p>
    <w:p>
      <w:pPr>
        <w:pStyle w:val="Heading1"/>
      </w:pPr>
      <w:r>
        <w:t>第六章 总结与展望</w:t>
      </w:r>
      <w:bookmarkStart w:id="101" w:name="v10_101"/>
      <w:bookmarkEnd w:id="101"/>
    </w:p>
    <w:p>
      <w:pPr>
        <w:pStyle w:val="Heading2"/>
      </w:pPr>
      <w:r>
        <w:t>6.1 研究总结</w:t>
      </w:r>
      <w:bookmarkStart w:id="102" w:name="v10_102"/>
      <w:bookmarkEnd w:id="102"/>
    </w:p>
    <w:p>
      <w:r>
        <w:rPr>
          <w:rFonts w:ascii="Times New Roman" w:hAnsi="Times New Roman" w:eastAsia="Songti SC"/>
          <w:color w:val="000000"/>
        </w:rPr>
        <w:t>本文以组件与关系之间的依赖为主线，分别研究训练时监督保持和推理时结构恢复。第一项工作按关系影响域检查局部改写，以标注对应连接原文、增强文及成对因素学习；第二项工作以组件集合替换及全部受影响关系重建作为共同决策单位，在固定候选与评分下比较局部事务和全局结构选择。两项工作共享原生任务和严格评价，承担不同阶段的问题。</w:t>
      </w:r>
    </w:p>
    <w:p>
      <w:r>
        <w:rPr>
          <w:rFonts w:ascii="Times New Roman" w:hAnsi="Times New Roman" w:eastAsia="Songti SC"/>
          <w:color w:val="000000"/>
        </w:rPr>
        <w:t>第一项工作把数据构造、头监督、成对项和中心策略分开比较，使不同差值对应不同变化条件。现有人工情景中，数据构造与成对项分别表现出条件增量，而中心差值区间包含0；因此贡献落在关系影响域及可靠对应的组织方式，结论优先保留为默认策略。</w:t>
      </w:r>
    </w:p>
    <w:p>
      <w:r>
        <w:rPr>
          <w:rFonts w:ascii="Times New Roman" w:hAnsi="Times New Roman" w:eastAsia="Songti SC"/>
          <w:color w:val="000000"/>
        </w:rPr>
        <w:t>第二项工作明确了集合动作如何联合处理相互依赖的修改，但动作表达能力不等于使用价值。在当前情景中，BR-J相对分步策略改善关系结果；同评分、等求解预算全局ILP又取得略高关系F1和保留率，BR-J只节省少量端到端时间。这组人工材料没有建立局部方法的采用优势，实际定位仍待真实比较决定。</w:t>
      </w:r>
    </w:p>
    <w:p>
      <w:r>
        <w:rPr>
          <w:rFonts w:ascii="Times New Roman" w:hAnsi="Times New Roman" w:eastAsia="Songti SC"/>
          <w:color w:val="000000"/>
        </w:rPr>
        <w:t>两阶段四格避免把组合总增量误写为相互独立或稳定超加。第五章进一步区分净计数与对象重叠，讨论离线训练投入、在线时延及完整超边范围。方法价值最终由现实问题规模、可复核输出和相应代价支撑；数学构造与文档复算负责检验定义和论述的内部一致性。</w:t>
      </w:r>
    </w:p>
    <w:p>
      <w:pPr>
        <w:pStyle w:val="Heading2"/>
      </w:pPr>
      <w:r>
        <w:t>6.2 研究局限</w:t>
      </w:r>
      <w:bookmarkStart w:id="103" w:name="v10_103"/>
      <w:bookmarkEnd w:id="103"/>
    </w:p>
    <w:p>
      <w:r>
        <w:rPr>
          <w:rFonts w:ascii="Times New Roman" w:hAnsi="Times New Roman" w:eastAsia="Songti SC"/>
          <w:color w:val="000000"/>
        </w:rPr>
        <w:t>本版采用人工计数情景，尚未完成真实语料上的训练、增强审阅与求解比较，情景数值不用于证明方法有效。原始改写文本、四格完整预测和求解状态等材料缺失，使表达变化、对象级互补和真实尾延迟尚不能定量判断；外部方法已完成定位与接入条件核查，尚无本版同协议复跑成绩。</w:t>
      </w:r>
    </w:p>
    <w:p>
      <w:r>
        <w:rPr>
          <w:rFonts w:ascii="Times New Roman" w:hAnsi="Times New Roman" w:eastAsia="Songti SC"/>
          <w:color w:val="000000"/>
        </w:rPr>
        <w:t>方法本身也有边界。影响域检查受语义判断与标注完备性影响，严格筛选可能改变源分布；成对项约束辅助因素，不能保证生成整图严格等变。推理只能访问冻结候选及声明动作，长超边新增能力受限；对象评分偏差会造成误改，分项门也可能拒绝真实有益方案。固定效用的性质限定决策过程，不提供真实F1或全局最优保证。</w:t>
      </w:r>
    </w:p>
    <w:p>
      <w:r>
        <w:rPr>
          <w:rFonts w:ascii="Times New Roman" w:hAnsi="Times New Roman" w:eastAsia="Songti SC"/>
          <w:color w:val="000000"/>
        </w:rPr>
        <w:t>统计结论限定于原生AAEC与CDCP及三个重复种子的协议。原生关系、二元投影与历史跨域Link-F1分别解释；平均时间也不能替代部署中的尾延迟、批量吞吐和一次性投入。结论中的取舍须随真实结果一起更新。</w:t>
      </w:r>
    </w:p>
    <w:p>
      <w:pPr>
        <w:pStyle w:val="Heading2"/>
      </w:pPr>
      <w:r>
        <w:t>6.3 后续研究方向</w:t>
      </w:r>
      <w:bookmarkStart w:id="104" w:name="v10_104"/>
      <w:bookmarkEnd w:id="104"/>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0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6" w:name="v10_106"/>
      <w:bookmarkEnd w:id="106"/>
    </w:p>
    <w:p>
      <w:pPr>
        <w:pStyle w:val="Heading2"/>
      </w:pPr>
      <w:r>
        <w:t>A.1 坐标与结构数据</w:t>
      </w:r>
      <w:bookmarkStart w:id="107" w:name="v10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0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1" w:name="v10_201"/>
      <w:bookmarkEnd w:id="20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0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10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配置身份为1010-v1-global-review。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2" w:name="v10_202"/>
      <w:bookmarkEnd w:id="20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0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2"/>
      </w:pPr>
      <w:r>
        <w:t>A.6 序列化、坐标与候选构造细则</w:t>
      </w:r>
      <w:bookmarkStart w:id="112" w:name="v10_112"/>
      <w:bookmarkEnd w:id="112"/>
    </w:p>
    <w:p>
      <w:pPr>
        <w:spacing w:line="38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8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8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8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8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0_113"/>
      <w:bookmarkEnd w:id="113"/>
    </w:p>
    <w:p>
      <w:pPr>
        <w:pStyle w:val="Heading2"/>
      </w:pPr>
      <w:r>
        <w:t>B.1 数据与模型身份</w:t>
      </w:r>
      <w:bookmarkStart w:id="114" w:name="v10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0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0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pStyle w:val="Heading2"/>
      </w:pPr>
      <w:r>
        <w:t>B.4 实现一致性测试</w:t>
      </w:r>
      <w:bookmarkStart w:id="117" w:name="v10_117"/>
      <w:bookmarkEnd w:id="117"/>
    </w:p>
    <w:p>
      <w:pPr>
        <w:pStyle w:val="Heading3"/>
      </w:pPr>
      <w:r>
        <w:t>B.4.1 已执行的构造检查</w:t>
      </w:r>
      <w:bookmarkStart w:id="118" w:name="v10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0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0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3" w:name="v10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0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0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0_123"/>
      <w:bookmarkEnd w:id="123"/>
    </w:p>
    <w:p>
      <w:pPr>
        <w:pStyle w:val="Heading2"/>
      </w:pPr>
      <w:r>
        <w:t>C.1 前期共同成果</w:t>
      </w:r>
      <w:bookmarkStart w:id="124" w:name="v10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0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0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0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0_128"/>
      <w:bookmarkEnd w:id="128"/>
    </w:p>
    <w:p>
      <w:pPr>
        <w:pStyle w:val="Heading2"/>
      </w:pPr>
      <w:r>
        <w:t>D.1 前期结果的使用范围</w:t>
      </w:r>
      <w:bookmarkStart w:id="129" w:name="v10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0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0_131"/>
      <w:bookmarkEnd w:id="131"/>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32" w:name="v10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0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0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5" w:name="v10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0_136"/>
      <w:bookmarkEnd w:id="136"/>
    </w:p>
    <w:p>
      <w:pPr>
        <w:pStyle w:val="TableCaption"/>
        <w:spacing w:line="380" w:lineRule="exact"/>
      </w:pPr>
      <w:r>
        <w:rPr>
          <w:rFonts w:ascii="Times New Roman" w:hAnsi="Times New Roman" w:eastAsia="Songti SC"/>
          <w:color w:val="000000"/>
          <w:sz w:val="21"/>
        </w:rPr>
        <w:t>表E-1 AAEC组件分类别旧稿记录</w:t>
      </w:r>
      <w:bookmarkStart w:id="204" w:name="v10_204"/>
      <w:bookmarkEnd w:id="20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0_137"/>
      <w:bookmarkEnd w:id="137"/>
    </w:p>
    <w:p>
      <w:pPr>
        <w:pStyle w:val="TableCaption"/>
        <w:spacing w:line="380" w:lineRule="exact"/>
      </w:pPr>
      <w:r>
        <w:rPr>
          <w:rFonts w:ascii="Times New Roman" w:hAnsi="Times New Roman" w:eastAsia="Songti SC"/>
          <w:color w:val="000000"/>
          <w:sz w:val="21"/>
        </w:rPr>
        <w:t>表E-2 ICIC原版AAEC域内结果记录</w:t>
      </w:r>
      <w:bookmarkStart w:id="205" w:name="v10_205"/>
      <w:bookmarkEnd w:id="20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0_138"/>
      <w:bookmarkEnd w:id="138"/>
    </w:p>
    <w:p>
      <w:pPr>
        <w:pStyle w:val="TableCaption"/>
        <w:spacing w:line="380" w:lineRule="exact"/>
      </w:pPr>
      <w:r>
        <w:rPr>
          <w:rFonts w:ascii="Times New Roman" w:hAnsi="Times New Roman" w:eastAsia="Songti SC"/>
          <w:color w:val="000000"/>
          <w:sz w:val="21"/>
        </w:rPr>
        <w:t>表E-3 ICIC原版CDCP域内结果记录</w:t>
      </w:r>
      <w:bookmarkStart w:id="206" w:name="v10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0_139"/>
      <w:bookmarkEnd w:id="139"/>
    </w:p>
    <w:p>
      <w:pPr>
        <w:pStyle w:val="TableCaption"/>
        <w:spacing w:line="380" w:lineRule="exact"/>
      </w:pPr>
      <w:r>
        <w:rPr>
          <w:rFonts w:ascii="Times New Roman" w:hAnsi="Times New Roman" w:eastAsia="Songti SC"/>
          <w:color w:val="000000"/>
          <w:sz w:val="21"/>
        </w:rPr>
        <w:t>表E-4 ICIC原版模块消融记录</w:t>
      </w:r>
      <w:bookmarkStart w:id="207" w:name="v10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0_140"/>
      <w:bookmarkEnd w:id="140"/>
    </w:p>
    <w:p>
      <w:pPr>
        <w:pStyle w:val="TableCaption"/>
        <w:spacing w:line="380" w:lineRule="exact"/>
      </w:pPr>
      <w:r>
        <w:rPr>
          <w:rFonts w:ascii="Times New Roman" w:hAnsi="Times New Roman" w:eastAsia="Songti SC"/>
          <w:color w:val="000000"/>
          <w:sz w:val="21"/>
        </w:rPr>
        <w:t>表E-5 ICIC原版验证器替换记录</w:t>
      </w:r>
      <w:bookmarkStart w:id="208" w:name="v10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0_141"/>
      <w:bookmarkEnd w:id="141"/>
    </w:p>
    <w:p>
      <w:pPr>
        <w:pStyle w:val="TableCaption"/>
        <w:spacing w:line="380" w:lineRule="exact"/>
      </w:pPr>
      <w:r>
        <w:rPr>
          <w:rFonts w:ascii="Times New Roman" w:hAnsi="Times New Roman" w:eastAsia="Songti SC"/>
          <w:color w:val="000000"/>
          <w:sz w:val="21"/>
        </w:rPr>
        <w:t>表E-6 ICIC原版Oracle记录</w:t>
      </w:r>
      <w:bookmarkStart w:id="209" w:name="v10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0_142"/>
      <w:bookmarkEnd w:id="142"/>
    </w:p>
    <w:p>
      <w:pPr>
        <w:pStyle w:val="TableCaption"/>
        <w:spacing w:line="380" w:lineRule="exact"/>
      </w:pPr>
      <w:r>
        <w:rPr>
          <w:rFonts w:ascii="Times New Roman" w:hAnsi="Times New Roman" w:eastAsia="Songti SC"/>
          <w:color w:val="000000"/>
          <w:sz w:val="21"/>
        </w:rPr>
        <w:t>表E-7 ICIC原版修正行为记录</w:t>
      </w:r>
      <w:bookmarkStart w:id="210" w:name="v10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0_143"/>
      <w:bookmarkEnd w:id="143"/>
    </w:p>
    <w:p>
      <w:pPr>
        <w:pStyle w:val="TableCaption"/>
        <w:spacing w:line="380" w:lineRule="exact"/>
      </w:pPr>
      <w:r>
        <w:rPr>
          <w:rFonts w:ascii="Times New Roman" w:hAnsi="Times New Roman" w:eastAsia="Songti SC"/>
          <w:color w:val="000000"/>
          <w:sz w:val="21"/>
        </w:rPr>
        <w:t>表E-8 前期粗粒度组件映射</w:t>
      </w:r>
      <w:bookmarkStart w:id="211" w:name="v10_211"/>
      <w:bookmarkEnd w:id="21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0_144"/>
      <w:bookmarkEnd w:id="144"/>
    </w:p>
    <w:p>
      <w:pPr>
        <w:pStyle w:val="TableCaption"/>
        <w:spacing w:line="380" w:lineRule="exact"/>
      </w:pPr>
      <w:r>
        <w:rPr>
          <w:rFonts w:ascii="Times New Roman" w:hAnsi="Times New Roman" w:eastAsia="Songti SC"/>
          <w:color w:val="000000"/>
          <w:sz w:val="21"/>
        </w:rPr>
        <w:t>表E-9 ICIC原版AAEC到CDCP迁移记录</w:t>
      </w:r>
      <w:bookmarkStart w:id="212" w:name="v10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0_145"/>
      <w:bookmarkEnd w:id="145"/>
    </w:p>
    <w:p>
      <w:pPr>
        <w:pStyle w:val="Heading2"/>
      </w:pPr>
      <w:r>
        <w:t>F.1 核心术语与符号</w:t>
      </w:r>
      <w:bookmarkStart w:id="146" w:name="v10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3" w:name="v10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0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0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4" w:name="v10_214"/>
      <w:bookmarkEnd w:id="21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5.1至5.5条件增量、净计数、配置与超边范围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5.5及附录E.8至E.9</w:t>
            </w:r>
          </w:p>
        </w:tc>
      </w:tr>
    </w:tbl>
    <w:p>
      <w:pPr>
        <w:spacing w:after="0" w:line="240" w:lineRule="auto"/>
      </w:pPr>
    </w:p>
    <w:p>
      <w:pPr>
        <w:pStyle w:val="Heading1"/>
      </w:pPr>
      <w:r>
        <w:t>附录G 外部方法定位与比较协议</w:t>
      </w:r>
      <w:bookmarkStart w:id="149" w:name="v10_149"/>
      <w:bookmarkEnd w:id="149"/>
    </w:p>
    <w:p>
      <w:pPr>
        <w:pStyle w:val="Heading2"/>
      </w:pPr>
      <w:r>
        <w:t>G.1 检索范围与方法选择</w:t>
      </w:r>
      <w:bookmarkStart w:id="150" w:name="v10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Anthology、论文原文、arXiv作者版本与论文所指向的公开仓库。表G-1记录纳入考虑的方法类别，检索目的为建立可执行的比较范围，未据此作穷尽性新颖性或“首次”判断。原论文成绩不并入本版人工情景主表。</w:t>
      </w:r>
    </w:p>
    <w:p>
      <w:pPr>
        <w:pStyle w:val="TableCaption"/>
        <w:spacing w:line="380" w:lineRule="exact"/>
      </w:pPr>
      <w:r>
        <w:rPr>
          <w:rFonts w:ascii="Times New Roman" w:hAnsi="Times New Roman" w:eastAsia="Songti SC"/>
          <w:color w:val="000000"/>
          <w:sz w:val="21"/>
        </w:rPr>
        <w:t>表G-1 外部研究候选与本稿比较用途</w:t>
      </w:r>
      <w:bookmarkStart w:id="215" w:name="v10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0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；本轮访问未取得可检查的仓库内容，因此仅确认论文所载地址，不标记环境可运行。QOS／DOS的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所列分类任务用于说明输入边界。AASP、ARGUS的本轮记录以原文方法为限，不将未检查的代码写成已复现。</w:t>
      </w:r>
    </w:p>
    <w:p>
      <w:pPr>
        <w:spacing w:line="380" w:lineRule="exact"/>
      </w:pPr>
      <w:r>
        <w:rPr>
          <w:rFonts w:ascii="Times New Roman" w:hAnsi="Times New Roman" w:eastAsia="Songti SC"/>
          <w:color w:val="000000"/>
          <w:sz w:val="22"/>
        </w:rPr>
        <w:t>本稿未给出这些外部模型的同协议运行结果。Kawarada与UniASA作为优先表示审计入口；至少一种方法通过原生任务兼容性核查后，才能形成外部系统比较。GMAM、DENIM和动作模型仅作必要补充，QOS式适配不替代端到端外部对照。</w:t>
      </w:r>
    </w:p>
    <w:p>
      <w:pPr>
        <w:pStyle w:val="Heading2"/>
      </w:pPr>
      <w:r>
        <w:t>G.3 QOS式适配与本方法的差异</w:t>
      </w:r>
      <w:bookmarkStart w:id="152" w:name="v10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6" w:name="v10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0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10_154"/>
      <w:bookmarkEnd w:id="154"/>
    </w:p>
    <w:p>
      <w:pPr>
        <w:pStyle w:val="Heading2"/>
      </w:pPr>
      <w:r>
        <w:t>H.1 训练侧问题规模与初始错误的诊断设计</w:t>
      </w:r>
      <w:bookmarkStart w:id="155" w:name="v10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0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固定尝试轨训练成本存档（人工情景）</w:t>
      </w:r>
      <w:bookmarkStart w:id="217" w:name="v10_217"/>
      <w:bookmarkEnd w:id="21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0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现有人工情景的平均与P95耗时是设定输入，不是从真实逐文档延迟计算的尾分位，也没有真实求解证书。新预算轨和规模分组在取得日志前只作为协议，不补填超时率、gap或可行解覆盖。</w:t>
      </w:r>
    </w:p>
    <w:p>
      <w:pPr>
        <w:pStyle w:val="Heading2"/>
      </w:pPr>
      <w:r>
        <w:t>H.4 四格对象、恢复阻断与案例</w:t>
      </w:r>
      <w:bookmarkStart w:id="158" w:name="v10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w:t>
      </w:r>
    </w:p>
    <w:p>
      <w:pPr>
        <w:pStyle w:val="Heading2"/>
      </w:pPr>
      <w:r>
        <w:t>H.5 核心验证缺口与推进顺序</w:t>
      </w:r>
      <w:bookmarkStart w:id="159" w:name="v10_159"/>
      <w:bookmarkEnd w:id="159"/>
    </w:p>
    <w:p>
      <w:pPr>
        <w:spacing w:line="380" w:lineRule="exact"/>
      </w:pPr>
      <w:r>
        <w:rPr>
          <w:rFonts w:ascii="Times New Roman" w:hAnsi="Times New Roman" w:eastAsia="Songti SC"/>
          <w:color w:val="000000"/>
          <w:sz w:val="22"/>
        </w:rPr>
        <w:t>以下为尚未完成的核心验证，不能仅靠润色关闭。第一阶段使用有限固定真实文档，取得关系漂移、实际表达变化与源覆盖，并测量裁剪前枚举、完整评分和局部／全局求解的资源，失败文档保留。若漂移少、严格审核主要排斥复杂文档，或局部收益不足以抵偿复杂度，先收缩主张、简化设计。</w:t>
      </w:r>
    </w:p>
    <w:p>
      <w:pPr>
        <w:spacing w:line="380" w:lineRule="exact"/>
      </w:pPr>
      <w:r>
        <w:rPr>
          <w:rFonts w:ascii="Times New Roman" w:hAnsi="Times New Roman" w:eastAsia="Songti SC"/>
          <w:color w:val="000000"/>
          <w:sz w:val="22"/>
        </w:rPr>
        <w:t>局部方案的定位依据真实结果三选一：在尾延迟、资源限制或明确逐步变更要求下稳定获益时保留为主方案；只对特定子集有用时作为条件选项；若全局更适合目标场景，则以依赖闭合结构恢复为框架比较两种求解选择，或简化局部设计。当前没有证据选择其中一种；日志可追溯并非局部独占优势，声称变更可控时须给出具体约束和实际表现。</w:t>
      </w:r>
    </w:p>
    <w:p>
      <w:pPr>
        <w:spacing w:line="380" w:lineRule="exact"/>
      </w:pPr>
      <w:r>
        <w:rPr>
          <w:rFonts w:ascii="Times New Roman" w:hAnsi="Times New Roman" w:eastAsia="Songti SC"/>
          <w:color w:val="000000"/>
          <w:sz w:val="22"/>
        </w:rPr>
        <w:t>第二阶段只完成支撑主要主张的比较：固定学习目标比较增强构造，固定增强集合比较学习项，完成至少一个可解释的原生外部系统对照，以及共同条件下的推理和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第三阶段复用同一批输出，形成至少一项对象级综合认识及少量同文档真实前后案例，再以结果替换诊断方案。若第五章仍缺独立内容，压缩相应小节；不以更多集合定义代替发现。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sectPr>
      <w:headerReference w:type="default" r:id="rId139"/>
      <w:footerReference w:type="default" r:id="rId140"/>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1010-v2 模拟数据演示稿；模拟身份见封面、摘要与实验表图</dc:subject>
  <dc:creator>Chen Tang</dc:creator>
  <cp:keywords>模拟数据演示稿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