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1010-v3 模拟数据演示稿</w:t>
      </w:r>
    </w:p>
    <w:p>
      <w:pPr>
        <w:spacing w:before="300"/>
        <w:ind w:firstLine="0"/>
        <w:jc w:val="center"/>
      </w:pPr>
      <w:r>
        <w:rPr>
          <w:rFonts w:ascii="Times New Roman" w:hAnsi="Times New Roman" w:eastAsia="Songti SC"/>
          <w:color w:val="000000"/>
        </w:rPr>
        <w:t>2026年10月</w:t>
      </w:r>
    </w:p>
    <w:p>
      <w:pPr>
        <w:keepLines/>
        <w:spacing w:before="440" w:after="0" w:line="320" w:lineRule="exact"/>
        <w:ind w:firstLine="0"/>
      </w:pPr>
      <w:r>
        <w:rPr>
          <w:rFonts w:ascii="Times New Roman" w:hAnsi="Times New Roman" w:eastAsia="Songti SC"/>
          <w:color w:val="000000"/>
          <w:sz w:val="20"/>
        </w:rPr>
        <w:t>稿件说明：本稿为模拟数据演示稿。除附录E历史存档和明示的数学构造外，新增实验表图、审计判定、运行配置、成本及案例均为人工设定并由程序汇总的计数级模拟情景，不代表真实实验记录或效果预测。本稿供方法与分析推敲；正式稿须以同口径实测材料整体替换。</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11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关系影响域约束的增强与成对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本版使用AAEC与CDCP人工计数情景演示评价，数值不代表真实模型实验。情景中，同基础损失的数据构造差值为1.79／1.83个关系F1百分点，同增强集合上的成对项差值为1.92／1.88个百分点；中心差异与两阶段关系交互区间均包含0。同求解预算全局ILP的关系F1和初始真阳性保留率略高，BR-J仅节省4.19%／4.73%的端到端时间。现有材料说明了两类增量的区分及结构恢复的质量与代价取舍，尚不能证明真实增益或局部方案的采用优势。</w:t>
      </w:r>
    </w:p>
    <w:p>
      <w:pPr>
        <w:ind w:firstLine="0"/>
      </w:pPr>
      <w:r>
        <w:rPr>
          <w:rFonts w:ascii="Times New Roman" w:hAnsi="Times New Roman" w:eastAsia="Songti SC"/>
          <w:color w:val="000000"/>
          <w:sz w:val="22"/>
        </w:rPr>
        <w:t>关键词：端到端论辩挖掘；关系影响域；成对学习；依赖闭合；图修正；结构化预测</w:t>
      </w:r>
    </w:p>
    <w:p>
      <w:pPr>
        <w:pStyle w:val="FrontContents"/>
      </w:pPr>
      <w:r>
        <w:t>Abstract</w:t>
      </w:r>
      <w:bookmarkStart w:id="11" w:name="v11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combines relation-domain-constrained augmentation with paired factor learning.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Artificial count scenarios for AAEC and CDCP illustrate evaluation; these are not empirical model results. The scenarios separate data-construction differences of 1.79/1.83 relation F1 points under the same base loss from paired-learning differences of 1.92/1.88 points on the same augmented data. Intervals for center differences and relation interactions include zero. Equal-solver-budget global ILP has slightly higher relation F1 and initial true-positive retention, while BR-J saves only 4.19%/4.73% of end-to-end time. The available material distinguishes these increments and illustrates quality–cost trade-offs in structural recovery; it establishes neither empirical gains nor an adoption advantage for local repair.</w:t>
      </w:r>
    </w:p>
    <w:p>
      <w:pPr>
        <w:spacing w:line="320" w:lineRule="exact" w:after="100"/>
        <w:ind w:firstLine="0"/>
      </w:pPr>
      <w:r>
        <w:rPr>
          <w:rFonts w:ascii="Times New Roman" w:hAnsi="Times New Roman" w:eastAsia="Songti SC"/>
          <w:color w:val="000000"/>
          <w:sz w:val="22"/>
        </w:rPr>
        <w:t>Keywords: End-to-End Argument Mining; Affected Relation Domain; Paired Learning; Dependency Closure; Graph Repair; Structured Prediction</w:t>
      </w:r>
    </w:p>
    <w:p>
      <w:pPr>
        <w:pStyle w:val="FrontHeading"/>
      </w:pPr>
      <w:r>
        <w:t>目录</w:t>
      </w:r>
    </w:p>
    <w:p>
      <w:pPr>
        <w:pStyle w:val="TOC1"/>
        <w:keepNext/>
        <w:spacing w:before="120"/>
      </w:pPr>
      <w:r>
        <w:fldChar w:fldCharType="begin"/>
      </w:r>
      <w:r>
        <w:instrText xml:space="preserve"> TOC \o "1-3" \h \z \t "Front Contents,1" </w:instrText>
      </w:r>
      <w:r>
        <w:fldChar w:fldCharType="separate"/>
      </w:r>
      <w:hyperlink w:anchor="v11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keepNext/>
        <w:spacing w:before="120"/>
      </w:pPr>
      <w:hyperlink w:anchor="v11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keepNext/>
        <w:spacing w:before="120"/>
      </w:pPr>
      <w:hyperlink w:anchor="v11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11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11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11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11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11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4</w:t>
        </w:r>
      </w:hyperlink>
    </w:p>
    <w:p>
      <w:pPr>
        <w:pStyle w:val="TOC3"/>
      </w:pPr>
      <w:hyperlink w:anchor="v11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5</w:t>
        </w:r>
      </w:hyperlink>
    </w:p>
    <w:p>
      <w:pPr>
        <w:pStyle w:val="TOC2"/>
      </w:pPr>
      <w:hyperlink w:anchor="v11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6</w:t>
        </w:r>
      </w:hyperlink>
    </w:p>
    <w:p>
      <w:pPr>
        <w:pStyle w:val="TOC3"/>
      </w:pPr>
      <w:hyperlink w:anchor="v11_20" w:history="1">
        <w:r>
          <w:rPr>
            <w:rFonts w:ascii="Times New Roman" w:hAnsi="Times New Roman" w:eastAsia="Songti SC"/>
            <w:color w:val="000000"/>
            <w:sz w:val="22"/>
          </w:rPr>
          <w:t>1.3.1 研究问题</w:t>
        </w:r>
        <w:r>
          <w:rPr>
            <w:rFonts w:ascii="Times New Roman" w:hAnsi="Times New Roman" w:eastAsia="Songti SC"/>
            <w:color w:val="000000"/>
            <w:sz w:val="22"/>
          </w:rPr>
          <w:tab/>
          <w:t>6</w:t>
        </w:r>
      </w:hyperlink>
    </w:p>
    <w:p>
      <w:pPr>
        <w:pStyle w:val="TOC3"/>
      </w:pPr>
      <w:hyperlink w:anchor="v11_21" w:history="1">
        <w:r>
          <w:rPr>
            <w:rFonts w:ascii="Times New Roman" w:hAnsi="Times New Roman" w:eastAsia="Songti SC"/>
            <w:color w:val="000000"/>
            <w:sz w:val="22"/>
          </w:rPr>
          <w:t>1.3.2 主要研究内容</w:t>
        </w:r>
        <w:r>
          <w:rPr>
            <w:rFonts w:ascii="Times New Roman" w:hAnsi="Times New Roman" w:eastAsia="Songti SC"/>
            <w:color w:val="000000"/>
            <w:sz w:val="22"/>
          </w:rPr>
          <w:tab/>
          <w:t>7</w:t>
        </w:r>
      </w:hyperlink>
    </w:p>
    <w:p>
      <w:pPr>
        <w:pStyle w:val="TOC3"/>
      </w:pPr>
      <w:hyperlink w:anchor="v11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7</w:t>
        </w:r>
      </w:hyperlink>
    </w:p>
    <w:p>
      <w:pPr>
        <w:pStyle w:val="TOC2"/>
      </w:pPr>
      <w:hyperlink w:anchor="v11_23" w:history="1">
        <w:r>
          <w:rPr>
            <w:rFonts w:ascii="Times New Roman" w:hAnsi="Times New Roman" w:eastAsia="Songti SC"/>
            <w:color w:val="000000"/>
            <w:sz w:val="22"/>
          </w:rPr>
          <w:t>1.4 论文组织结构</w:t>
        </w:r>
        <w:r>
          <w:rPr>
            <w:rFonts w:ascii="Times New Roman" w:hAnsi="Times New Roman" w:eastAsia="Songti SC"/>
            <w:color w:val="000000"/>
            <w:sz w:val="22"/>
          </w:rPr>
          <w:tab/>
          <w:t>8</w:t>
        </w:r>
      </w:hyperlink>
    </w:p>
    <w:p>
      <w:pPr>
        <w:pStyle w:val="TOC1"/>
        <w:keepNext/>
        <w:spacing w:before="120"/>
      </w:pPr>
      <w:hyperlink w:anchor="v11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9</w:t>
        </w:r>
      </w:hyperlink>
    </w:p>
    <w:p>
      <w:pPr>
        <w:pStyle w:val="TOC2"/>
      </w:pPr>
      <w:hyperlink w:anchor="v11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9</w:t>
        </w:r>
      </w:hyperlink>
    </w:p>
    <w:p>
      <w:pPr>
        <w:pStyle w:val="TOC3"/>
      </w:pPr>
      <w:hyperlink w:anchor="v11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9</w:t>
        </w:r>
      </w:hyperlink>
    </w:p>
    <w:p>
      <w:pPr>
        <w:pStyle w:val="TOC3"/>
      </w:pPr>
      <w:hyperlink w:anchor="v11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9</w:t>
        </w:r>
      </w:hyperlink>
    </w:p>
    <w:p>
      <w:pPr>
        <w:pStyle w:val="TOC2"/>
      </w:pPr>
      <w:hyperlink w:anchor="v11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10</w:t>
        </w:r>
      </w:hyperlink>
    </w:p>
    <w:p>
      <w:pPr>
        <w:pStyle w:val="TOC3"/>
      </w:pPr>
      <w:hyperlink w:anchor="v11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10</w:t>
        </w:r>
      </w:hyperlink>
    </w:p>
    <w:p>
      <w:pPr>
        <w:pStyle w:val="TOC3"/>
      </w:pPr>
      <w:hyperlink w:anchor="v11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11</w:t>
        </w:r>
      </w:hyperlink>
    </w:p>
    <w:p>
      <w:pPr>
        <w:pStyle w:val="TOC2"/>
      </w:pPr>
      <w:hyperlink w:anchor="v11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11</w:t>
        </w:r>
      </w:hyperlink>
    </w:p>
    <w:p>
      <w:pPr>
        <w:pStyle w:val="TOC2"/>
      </w:pPr>
      <w:hyperlink w:anchor="v11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11</w:t>
        </w:r>
      </w:hyperlink>
    </w:p>
    <w:p>
      <w:pPr>
        <w:pStyle w:val="TOC2"/>
      </w:pPr>
      <w:hyperlink w:anchor="v11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12</w:t>
        </w:r>
      </w:hyperlink>
    </w:p>
    <w:p>
      <w:pPr>
        <w:pStyle w:val="TOC2"/>
      </w:pPr>
      <w:hyperlink w:anchor="v11_34" w:history="1">
        <w:r>
          <w:rPr>
            <w:rFonts w:ascii="Times New Roman" w:hAnsi="Times New Roman" w:eastAsia="Songti SC"/>
            <w:color w:val="000000"/>
            <w:sz w:val="22"/>
          </w:rPr>
          <w:t>2.6 公共实验协议</w:t>
        </w:r>
        <w:r>
          <w:rPr>
            <w:rFonts w:ascii="Times New Roman" w:hAnsi="Times New Roman" w:eastAsia="Songti SC"/>
            <w:color w:val="000000"/>
            <w:sz w:val="22"/>
          </w:rPr>
          <w:tab/>
          <w:t>13</w:t>
        </w:r>
      </w:hyperlink>
    </w:p>
    <w:p>
      <w:pPr>
        <w:pStyle w:val="TOC3"/>
      </w:pPr>
      <w:hyperlink w:anchor="v11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13</w:t>
        </w:r>
      </w:hyperlink>
    </w:p>
    <w:p>
      <w:pPr>
        <w:pStyle w:val="TOC3"/>
      </w:pPr>
      <w:hyperlink w:anchor="v11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13</w:t>
        </w:r>
      </w:hyperlink>
    </w:p>
    <w:p>
      <w:pPr>
        <w:pStyle w:val="TOC3"/>
      </w:pPr>
      <w:hyperlink w:anchor="v11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15</w:t>
        </w:r>
      </w:hyperlink>
    </w:p>
    <w:p>
      <w:pPr>
        <w:pStyle w:val="TOC2"/>
      </w:pPr>
      <w:hyperlink w:anchor="v11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15</w:t>
        </w:r>
      </w:hyperlink>
    </w:p>
    <w:p>
      <w:pPr>
        <w:pStyle w:val="TOC2"/>
      </w:pPr>
      <w:hyperlink w:anchor="v11_39" w:history="1">
        <w:r>
          <w:rPr>
            <w:rFonts w:ascii="Times New Roman" w:hAnsi="Times New Roman" w:eastAsia="Songti SC"/>
            <w:color w:val="000000"/>
            <w:sz w:val="22"/>
          </w:rPr>
          <w:t>2.8 本章小结</w:t>
        </w:r>
        <w:r>
          <w:rPr>
            <w:rFonts w:ascii="Times New Roman" w:hAnsi="Times New Roman" w:eastAsia="Songti SC"/>
            <w:color w:val="000000"/>
            <w:sz w:val="22"/>
          </w:rPr>
          <w:tab/>
          <w:t>16</w:t>
        </w:r>
      </w:hyperlink>
    </w:p>
    <w:p>
      <w:pPr>
        <w:pStyle w:val="TOC1"/>
        <w:keepNext/>
        <w:spacing w:before="120"/>
      </w:pPr>
      <w:hyperlink w:anchor="v11_40" w:history="1">
        <w:r>
          <w:rPr>
            <w:rFonts w:ascii="Times New Roman" w:hAnsi="Times New Roman" w:eastAsia="Songti SC"/>
            <w:color w:val="000000"/>
            <w:sz w:val="22"/>
          </w:rPr>
          <w:t>第三章 关系影响域约束的增强与成对学习</w:t>
        </w:r>
        <w:r>
          <w:rPr>
            <w:rFonts w:ascii="Times New Roman" w:hAnsi="Times New Roman" w:eastAsia="Songti SC"/>
            <w:color w:val="000000"/>
            <w:sz w:val="22"/>
          </w:rPr>
          <w:tab/>
          <w:t>17</w:t>
        </w:r>
      </w:hyperlink>
    </w:p>
    <w:p>
      <w:pPr>
        <w:pStyle w:val="TOC2"/>
      </w:pPr>
      <w:hyperlink w:anchor="v11_41" w:history="1">
        <w:r>
          <w:rPr>
            <w:rFonts w:ascii="Times New Roman" w:hAnsi="Times New Roman" w:eastAsia="Songti SC"/>
            <w:color w:val="000000"/>
            <w:sz w:val="22"/>
          </w:rPr>
          <w:t>3.1 引言</w:t>
        </w:r>
        <w:r>
          <w:rPr>
            <w:rFonts w:ascii="Times New Roman" w:hAnsi="Times New Roman" w:eastAsia="Songti SC"/>
            <w:color w:val="000000"/>
            <w:sz w:val="22"/>
          </w:rPr>
          <w:tab/>
          <w:t>17</w:t>
        </w:r>
      </w:hyperlink>
    </w:p>
    <w:p>
      <w:pPr>
        <w:pStyle w:val="TOC2"/>
      </w:pPr>
      <w:hyperlink w:anchor="v11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17</w:t>
        </w:r>
      </w:hyperlink>
    </w:p>
    <w:p>
      <w:pPr>
        <w:pStyle w:val="TOC3"/>
      </w:pPr>
      <w:hyperlink w:anchor="v11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17</w:t>
        </w:r>
      </w:hyperlink>
    </w:p>
    <w:p>
      <w:pPr>
        <w:pStyle w:val="TOC3"/>
      </w:pPr>
      <w:hyperlink w:anchor="v11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18</w:t>
        </w:r>
      </w:hyperlink>
    </w:p>
    <w:p>
      <w:pPr>
        <w:pStyle w:val="TOC2"/>
      </w:pPr>
      <w:hyperlink w:anchor="v11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18</w:t>
        </w:r>
      </w:hyperlink>
    </w:p>
    <w:p>
      <w:pPr>
        <w:pStyle w:val="TOC3"/>
      </w:pPr>
      <w:hyperlink w:anchor="v11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18</w:t>
        </w:r>
      </w:hyperlink>
    </w:p>
    <w:p>
      <w:pPr>
        <w:pStyle w:val="TOC3"/>
      </w:pPr>
      <w:hyperlink w:anchor="v11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21</w:t>
        </w:r>
      </w:hyperlink>
    </w:p>
    <w:p>
      <w:pPr>
        <w:pStyle w:val="TOC3"/>
      </w:pPr>
      <w:hyperlink w:anchor="v11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21</w:t>
        </w:r>
      </w:hyperlink>
    </w:p>
    <w:p>
      <w:pPr>
        <w:pStyle w:val="TOC2"/>
      </w:pPr>
      <w:hyperlink w:anchor="v11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22</w:t>
        </w:r>
      </w:hyperlink>
    </w:p>
    <w:p>
      <w:pPr>
        <w:pStyle w:val="TOC3"/>
      </w:pPr>
      <w:hyperlink w:anchor="v11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23</w:t>
        </w:r>
      </w:hyperlink>
    </w:p>
    <w:p>
      <w:pPr>
        <w:pStyle w:val="TOC3"/>
      </w:pPr>
      <w:hyperlink w:anchor="v11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24</w:t>
        </w:r>
      </w:hyperlink>
    </w:p>
    <w:p>
      <w:pPr>
        <w:pStyle w:val="TOC3"/>
      </w:pPr>
      <w:hyperlink w:anchor="v11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25</w:t>
        </w:r>
      </w:hyperlink>
    </w:p>
    <w:p>
      <w:pPr>
        <w:pStyle w:val="TOC2"/>
      </w:pPr>
      <w:hyperlink w:anchor="v11_53" w:history="1">
        <w:r>
          <w:rPr>
            <w:rFonts w:ascii="Times New Roman" w:hAnsi="Times New Roman" w:eastAsia="Songti SC"/>
            <w:color w:val="000000"/>
            <w:sz w:val="22"/>
          </w:rPr>
          <w:t>3.5 算法及性质</w:t>
        </w:r>
        <w:r>
          <w:rPr>
            <w:rFonts w:ascii="Times New Roman" w:hAnsi="Times New Roman" w:eastAsia="Songti SC"/>
            <w:color w:val="000000"/>
            <w:sz w:val="22"/>
          </w:rPr>
          <w:tab/>
          <w:t>26</w:t>
        </w:r>
      </w:hyperlink>
    </w:p>
    <w:p>
      <w:pPr>
        <w:pStyle w:val="TOC3"/>
      </w:pPr>
      <w:hyperlink w:anchor="v11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26</w:t>
        </w:r>
      </w:hyperlink>
    </w:p>
    <w:p>
      <w:pPr>
        <w:pStyle w:val="TOC3"/>
      </w:pPr>
      <w:hyperlink w:anchor="v11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27</w:t>
        </w:r>
      </w:hyperlink>
    </w:p>
    <w:p>
      <w:pPr>
        <w:pStyle w:val="TOC2"/>
      </w:pPr>
      <w:hyperlink w:anchor="v11_56" w:history="1">
        <w:r>
          <w:rPr>
            <w:rFonts w:ascii="Times New Roman" w:hAnsi="Times New Roman" w:eastAsia="Songti SC"/>
            <w:color w:val="000000"/>
            <w:sz w:val="22"/>
          </w:rPr>
          <w:t>3.6 实验结果与分析</w:t>
        </w:r>
        <w:r>
          <w:rPr>
            <w:rFonts w:ascii="Times New Roman" w:hAnsi="Times New Roman" w:eastAsia="Songti SC"/>
            <w:color w:val="000000"/>
            <w:sz w:val="22"/>
          </w:rPr>
          <w:tab/>
          <w:t>28</w:t>
        </w:r>
      </w:hyperlink>
    </w:p>
    <w:p>
      <w:pPr>
        <w:pStyle w:val="TOC3"/>
      </w:pPr>
      <w:hyperlink w:anchor="v11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28</w:t>
        </w:r>
      </w:hyperlink>
    </w:p>
    <w:p>
      <w:pPr>
        <w:pStyle w:val="TOC3"/>
      </w:pPr>
      <w:hyperlink w:anchor="v11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29</w:t>
        </w:r>
      </w:hyperlink>
    </w:p>
    <w:p>
      <w:pPr>
        <w:pStyle w:val="TOC3"/>
      </w:pPr>
      <w:hyperlink w:anchor="v11_59" w:history="1">
        <w:r>
          <w:rPr>
            <w:rFonts w:ascii="Times New Roman" w:hAnsi="Times New Roman" w:eastAsia="Songti SC"/>
            <w:color w:val="000000"/>
            <w:sz w:val="22"/>
          </w:rPr>
          <w:t>3.6.3 抽取结果与学习目标消融</w:t>
        </w:r>
        <w:r>
          <w:rPr>
            <w:rFonts w:ascii="Times New Roman" w:hAnsi="Times New Roman" w:eastAsia="Songti SC"/>
            <w:color w:val="000000"/>
            <w:sz w:val="22"/>
          </w:rPr>
          <w:tab/>
          <w:t>31</w:t>
        </w:r>
      </w:hyperlink>
    </w:p>
    <w:p>
      <w:pPr>
        <w:pStyle w:val="TOC3"/>
      </w:pPr>
      <w:hyperlink w:anchor="v11_60" w:history="1">
        <w:r>
          <w:rPr>
            <w:rFonts w:ascii="Times New Roman" w:hAnsi="Times New Roman" w:eastAsia="Songti SC"/>
            <w:color w:val="000000"/>
            <w:sz w:val="22"/>
          </w:rPr>
          <w:t>3.6.4 中心选择与适用条件</w:t>
        </w:r>
        <w:r>
          <w:rPr>
            <w:rFonts w:ascii="Times New Roman" w:hAnsi="Times New Roman" w:eastAsia="Songti SC"/>
            <w:color w:val="000000"/>
            <w:sz w:val="22"/>
          </w:rPr>
          <w:tab/>
          <w:t>32</w:t>
        </w:r>
      </w:hyperlink>
    </w:p>
    <w:p>
      <w:pPr>
        <w:pStyle w:val="TOC3"/>
      </w:pPr>
      <w:hyperlink w:anchor="v11_61" w:history="1">
        <w:r>
          <w:rPr>
            <w:rFonts w:ascii="Times New Roman" w:hAnsi="Times New Roman" w:eastAsia="Songti SC"/>
            <w:color w:val="000000"/>
            <w:sz w:val="22"/>
          </w:rPr>
          <w:t>3.6.5 生成覆盖与计算成本</w:t>
        </w:r>
        <w:r>
          <w:rPr>
            <w:rFonts w:ascii="Times New Roman" w:hAnsi="Times New Roman" w:eastAsia="Songti SC"/>
            <w:color w:val="000000"/>
            <w:sz w:val="22"/>
          </w:rPr>
          <w:tab/>
          <w:t>33</w:t>
        </w:r>
      </w:hyperlink>
    </w:p>
    <w:p>
      <w:pPr>
        <w:pStyle w:val="TOC2"/>
      </w:pPr>
      <w:hyperlink w:anchor="v11_62" w:history="1">
        <w:r>
          <w:rPr>
            <w:rFonts w:ascii="Times New Roman" w:hAnsi="Times New Roman" w:eastAsia="Songti SC"/>
            <w:color w:val="000000"/>
            <w:sz w:val="22"/>
          </w:rPr>
          <w:t>3.7 本章小结</w:t>
        </w:r>
        <w:r>
          <w:rPr>
            <w:rFonts w:ascii="Times New Roman" w:hAnsi="Times New Roman" w:eastAsia="Songti SC"/>
            <w:color w:val="000000"/>
            <w:sz w:val="22"/>
          </w:rPr>
          <w:tab/>
          <w:t>33</w:t>
        </w:r>
      </w:hyperlink>
    </w:p>
    <w:p>
      <w:pPr>
        <w:pStyle w:val="TOC1"/>
        <w:keepNext/>
        <w:spacing w:before="120"/>
      </w:pPr>
      <w:hyperlink w:anchor="v11_63"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34</w:t>
        </w:r>
      </w:hyperlink>
    </w:p>
    <w:p>
      <w:pPr>
        <w:pStyle w:val="TOC2"/>
      </w:pPr>
      <w:hyperlink w:anchor="v11_64" w:history="1">
        <w:r>
          <w:rPr>
            <w:rFonts w:ascii="Times New Roman" w:hAnsi="Times New Roman" w:eastAsia="Songti SC"/>
            <w:color w:val="000000"/>
            <w:sz w:val="22"/>
          </w:rPr>
          <w:t>4.1 引言</w:t>
        </w:r>
        <w:r>
          <w:rPr>
            <w:rFonts w:ascii="Times New Roman" w:hAnsi="Times New Roman" w:eastAsia="Songti SC"/>
            <w:color w:val="000000"/>
            <w:sz w:val="22"/>
          </w:rPr>
          <w:tab/>
          <w:t>34</w:t>
        </w:r>
      </w:hyperlink>
    </w:p>
    <w:p>
      <w:pPr>
        <w:pStyle w:val="TOC2"/>
      </w:pPr>
      <w:hyperlink w:anchor="v11_65" w:history="1">
        <w:r>
          <w:rPr>
            <w:rFonts w:ascii="Times New Roman" w:hAnsi="Times New Roman" w:eastAsia="Songti SC"/>
            <w:color w:val="000000"/>
            <w:sz w:val="22"/>
          </w:rPr>
          <w:t>4.2 候选生成与初始图</w:t>
        </w:r>
        <w:r>
          <w:rPr>
            <w:rFonts w:ascii="Times New Roman" w:hAnsi="Times New Roman" w:eastAsia="Songti SC"/>
            <w:color w:val="000000"/>
            <w:sz w:val="22"/>
          </w:rPr>
          <w:tab/>
          <w:t>36</w:t>
        </w:r>
      </w:hyperlink>
    </w:p>
    <w:p>
      <w:pPr>
        <w:pStyle w:val="TOC3"/>
      </w:pPr>
      <w:hyperlink w:anchor="v11_66"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36</w:t>
        </w:r>
      </w:hyperlink>
    </w:p>
    <w:p>
      <w:pPr>
        <w:pStyle w:val="TOC3"/>
      </w:pPr>
      <w:hyperlink w:anchor="v11_67"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36</w:t>
        </w:r>
      </w:hyperlink>
    </w:p>
    <w:p>
      <w:pPr>
        <w:pStyle w:val="TOC3"/>
      </w:pPr>
      <w:hyperlink w:anchor="v11_68"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37</w:t>
        </w:r>
      </w:hyperlink>
    </w:p>
    <w:p>
      <w:pPr>
        <w:pStyle w:val="TOC3"/>
      </w:pPr>
      <w:hyperlink w:anchor="v11_69"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37</w:t>
        </w:r>
      </w:hyperlink>
    </w:p>
    <w:p>
      <w:pPr>
        <w:pStyle w:val="TOC3"/>
      </w:pPr>
      <w:hyperlink w:anchor="v11_70" w:history="1">
        <w:r>
          <w:rPr>
            <w:rFonts w:ascii="Times New Roman" w:hAnsi="Times New Roman" w:eastAsia="Songti SC"/>
            <w:color w:val="000000"/>
            <w:sz w:val="22"/>
          </w:rPr>
          <w:t>4.2.5 裁剪前规模与资源预检</w:t>
        </w:r>
        <w:r>
          <w:rPr>
            <w:rFonts w:ascii="Times New Roman" w:hAnsi="Times New Roman" w:eastAsia="Songti SC"/>
            <w:color w:val="000000"/>
            <w:sz w:val="22"/>
          </w:rPr>
          <w:tab/>
          <w:t>38</w:t>
        </w:r>
      </w:hyperlink>
    </w:p>
    <w:p>
      <w:pPr>
        <w:pStyle w:val="TOC2"/>
      </w:pPr>
      <w:hyperlink w:anchor="v11_71"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38</w:t>
        </w:r>
      </w:hyperlink>
    </w:p>
    <w:p>
      <w:pPr>
        <w:pStyle w:val="TOC3"/>
      </w:pPr>
      <w:hyperlink w:anchor="v11_72"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39</w:t>
        </w:r>
      </w:hyperlink>
    </w:p>
    <w:p>
      <w:pPr>
        <w:pStyle w:val="TOC3"/>
      </w:pPr>
      <w:hyperlink w:anchor="v11_73"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39</w:t>
        </w:r>
      </w:hyperlink>
    </w:p>
    <w:p>
      <w:pPr>
        <w:pStyle w:val="TOC2"/>
      </w:pPr>
      <w:hyperlink w:anchor="v11_74"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40</w:t>
        </w:r>
      </w:hyperlink>
    </w:p>
    <w:p>
      <w:pPr>
        <w:pStyle w:val="TOC3"/>
      </w:pPr>
      <w:hyperlink w:anchor="v11_75"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41</w:t>
        </w:r>
      </w:hyperlink>
    </w:p>
    <w:p>
      <w:pPr>
        <w:pStyle w:val="TOC3"/>
      </w:pPr>
      <w:hyperlink w:anchor="v11_76"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41</w:t>
        </w:r>
      </w:hyperlink>
    </w:p>
    <w:p>
      <w:pPr>
        <w:pStyle w:val="TOC3"/>
      </w:pPr>
      <w:hyperlink w:anchor="v11_77" w:history="1">
        <w:r>
          <w:rPr>
            <w:rFonts w:ascii="Times New Roman" w:hAnsi="Times New Roman" w:eastAsia="Songti SC"/>
            <w:color w:val="000000"/>
            <w:sz w:val="22"/>
          </w:rPr>
          <w:t>4.4.3 固定计数效用</w:t>
        </w:r>
        <w:r>
          <w:rPr>
            <w:rFonts w:ascii="Times New Roman" w:hAnsi="Times New Roman" w:eastAsia="Songti SC"/>
            <w:color w:val="000000"/>
            <w:sz w:val="22"/>
          </w:rPr>
          <w:tab/>
          <w:t>42</w:t>
        </w:r>
      </w:hyperlink>
    </w:p>
    <w:p>
      <w:pPr>
        <w:pStyle w:val="TOC3"/>
      </w:pPr>
      <w:hyperlink w:anchor="v11_78"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42</w:t>
        </w:r>
      </w:hyperlink>
    </w:p>
    <w:p>
      <w:pPr>
        <w:pStyle w:val="TOC3"/>
      </w:pPr>
      <w:hyperlink w:anchor="v11_79" w:history="1">
        <w:r>
          <w:rPr>
            <w:rFonts w:ascii="Times New Roman" w:hAnsi="Times New Roman" w:eastAsia="Songti SC"/>
            <w:color w:val="000000"/>
            <w:sz w:val="22"/>
          </w:rPr>
          <w:t>4.4.5 联合修正的教学算例</w:t>
        </w:r>
        <w:r>
          <w:rPr>
            <w:rFonts w:ascii="Times New Roman" w:hAnsi="Times New Roman" w:eastAsia="Songti SC"/>
            <w:color w:val="000000"/>
            <w:sz w:val="22"/>
          </w:rPr>
          <w:tab/>
          <w:t>43</w:t>
        </w:r>
      </w:hyperlink>
    </w:p>
    <w:p>
      <w:pPr>
        <w:pStyle w:val="TOC2"/>
      </w:pPr>
      <w:hyperlink w:anchor="v11_80" w:history="1">
        <w:r>
          <w:rPr>
            <w:rFonts w:ascii="Times New Roman" w:hAnsi="Times New Roman" w:eastAsia="Songti SC"/>
            <w:color w:val="000000"/>
            <w:sz w:val="22"/>
          </w:rPr>
          <w:t>4.5 求解算法及性质</w:t>
        </w:r>
        <w:r>
          <w:rPr>
            <w:rFonts w:ascii="Times New Roman" w:hAnsi="Times New Roman" w:eastAsia="Songti SC"/>
            <w:color w:val="000000"/>
            <w:sz w:val="22"/>
          </w:rPr>
          <w:tab/>
          <w:t>44</w:t>
        </w:r>
      </w:hyperlink>
    </w:p>
    <w:p>
      <w:pPr>
        <w:pStyle w:val="TOC3"/>
      </w:pPr>
      <w:hyperlink w:anchor="v11_81"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44</w:t>
        </w:r>
      </w:hyperlink>
    </w:p>
    <w:p>
      <w:pPr>
        <w:pStyle w:val="TOC3"/>
      </w:pPr>
      <w:hyperlink w:anchor="v11_82"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45</w:t>
        </w:r>
      </w:hyperlink>
    </w:p>
    <w:p>
      <w:pPr>
        <w:pStyle w:val="TOC3"/>
      </w:pPr>
      <w:hyperlink w:anchor="v11_83"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48</w:t>
        </w:r>
      </w:hyperlink>
    </w:p>
    <w:p>
      <w:pPr>
        <w:pStyle w:val="TOC3"/>
      </w:pPr>
      <w:hyperlink w:anchor="v11_84"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48</w:t>
        </w:r>
      </w:hyperlink>
    </w:p>
    <w:p>
      <w:pPr>
        <w:pStyle w:val="TOC3"/>
      </w:pPr>
      <w:hyperlink w:anchor="v11_85"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48</w:t>
        </w:r>
      </w:hyperlink>
    </w:p>
    <w:p>
      <w:pPr>
        <w:pStyle w:val="TOC2"/>
      </w:pPr>
      <w:hyperlink w:anchor="v11_86" w:history="1">
        <w:r>
          <w:rPr>
            <w:rFonts w:ascii="Times New Roman" w:hAnsi="Times New Roman" w:eastAsia="Songti SC"/>
            <w:color w:val="000000"/>
            <w:sz w:val="22"/>
          </w:rPr>
          <w:t>4.6 实验与分析</w:t>
        </w:r>
        <w:r>
          <w:rPr>
            <w:rFonts w:ascii="Times New Roman" w:hAnsi="Times New Roman" w:eastAsia="Songti SC"/>
            <w:color w:val="000000"/>
            <w:sz w:val="22"/>
          </w:rPr>
          <w:tab/>
          <w:t>49</w:t>
        </w:r>
      </w:hyperlink>
    </w:p>
    <w:p>
      <w:pPr>
        <w:pStyle w:val="TOC3"/>
      </w:pPr>
      <w:hyperlink w:anchor="v11_87"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49</w:t>
        </w:r>
      </w:hyperlink>
    </w:p>
    <w:p>
      <w:pPr>
        <w:pStyle w:val="TOC3"/>
      </w:pPr>
      <w:hyperlink w:anchor="v11_88" w:history="1">
        <w:r>
          <w:rPr>
            <w:rFonts w:ascii="Times New Roman" w:hAnsi="Times New Roman" w:eastAsia="Songti SC"/>
            <w:color w:val="000000"/>
            <w:sz w:val="22"/>
          </w:rPr>
          <w:t>4.6.2 系统结果与策略对照</w:t>
        </w:r>
        <w:r>
          <w:rPr>
            <w:rFonts w:ascii="Times New Roman" w:hAnsi="Times New Roman" w:eastAsia="Songti SC"/>
            <w:color w:val="000000"/>
            <w:sz w:val="22"/>
          </w:rPr>
          <w:tab/>
          <w:t>52</w:t>
        </w:r>
      </w:hyperlink>
    </w:p>
    <w:p>
      <w:pPr>
        <w:pStyle w:val="TOC3"/>
      </w:pPr>
      <w:hyperlink w:anchor="v11_89" w:history="1">
        <w:r>
          <w:rPr>
            <w:rFonts w:ascii="Times New Roman" w:hAnsi="Times New Roman" w:eastAsia="Songti SC"/>
            <w:color w:val="000000"/>
            <w:sz w:val="22"/>
          </w:rPr>
          <w:t>4.6.3 候选覆盖与恢复空间</w:t>
        </w:r>
        <w:r>
          <w:rPr>
            <w:rFonts w:ascii="Times New Roman" w:hAnsi="Times New Roman" w:eastAsia="Songti SC"/>
            <w:color w:val="000000"/>
            <w:sz w:val="22"/>
          </w:rPr>
          <w:tab/>
          <w:t>53</w:t>
        </w:r>
      </w:hyperlink>
    </w:p>
    <w:p>
      <w:pPr>
        <w:pStyle w:val="TOC3"/>
      </w:pPr>
      <w:hyperlink w:anchor="v11_90" w:history="1">
        <w:r>
          <w:rPr>
            <w:rFonts w:ascii="Times New Roman" w:hAnsi="Times New Roman" w:eastAsia="Songti SC"/>
            <w:color w:val="000000"/>
            <w:sz w:val="22"/>
          </w:rPr>
          <w:t>4.6.4 完整对象评分与校准</w:t>
        </w:r>
        <w:r>
          <w:rPr>
            <w:rFonts w:ascii="Times New Roman" w:hAnsi="Times New Roman" w:eastAsia="Songti SC"/>
            <w:color w:val="000000"/>
            <w:sz w:val="22"/>
          </w:rPr>
          <w:tab/>
          <w:t>55</w:t>
        </w:r>
      </w:hyperlink>
    </w:p>
    <w:p>
      <w:pPr>
        <w:pStyle w:val="TOC3"/>
      </w:pPr>
      <w:hyperlink w:anchor="v11_91" w:history="1">
        <w:r>
          <w:rPr>
            <w:rFonts w:ascii="Times New Roman" w:hAnsi="Times New Roman" w:eastAsia="Songti SC"/>
            <w:color w:val="000000"/>
            <w:sz w:val="22"/>
          </w:rPr>
          <w:t>4.6.5 恢复风险与资源取舍</w:t>
        </w:r>
        <w:r>
          <w:rPr>
            <w:rFonts w:ascii="Times New Roman" w:hAnsi="Times New Roman" w:eastAsia="Songti SC"/>
            <w:color w:val="000000"/>
            <w:sz w:val="22"/>
          </w:rPr>
          <w:tab/>
          <w:t>56</w:t>
        </w:r>
      </w:hyperlink>
    </w:p>
    <w:p>
      <w:pPr>
        <w:pStyle w:val="TOC3"/>
      </w:pPr>
      <w:hyperlink w:anchor="v11_92" w:history="1">
        <w:r>
          <w:rPr>
            <w:rFonts w:ascii="Times New Roman" w:hAnsi="Times New Roman" w:eastAsia="Songti SC"/>
            <w:color w:val="000000"/>
            <w:sz w:val="22"/>
          </w:rPr>
          <w:t>4.6.6 案例分析</w:t>
        </w:r>
        <w:r>
          <w:rPr>
            <w:rFonts w:ascii="Times New Roman" w:hAnsi="Times New Roman" w:eastAsia="Songti SC"/>
            <w:color w:val="000000"/>
            <w:sz w:val="22"/>
          </w:rPr>
          <w:tab/>
          <w:t>58</w:t>
        </w:r>
      </w:hyperlink>
    </w:p>
    <w:p>
      <w:pPr>
        <w:pStyle w:val="TOC2"/>
      </w:pPr>
      <w:hyperlink w:anchor="v11_93" w:history="1">
        <w:r>
          <w:rPr>
            <w:rFonts w:ascii="Times New Roman" w:hAnsi="Times New Roman" w:eastAsia="Songti SC"/>
            <w:color w:val="000000"/>
            <w:sz w:val="22"/>
          </w:rPr>
          <w:t>4.7 本章小结</w:t>
        </w:r>
        <w:r>
          <w:rPr>
            <w:rFonts w:ascii="Times New Roman" w:hAnsi="Times New Roman" w:eastAsia="Songti SC"/>
            <w:color w:val="000000"/>
            <w:sz w:val="22"/>
          </w:rPr>
          <w:tab/>
          <w:t>59</w:t>
        </w:r>
      </w:hyperlink>
    </w:p>
    <w:p>
      <w:pPr>
        <w:pStyle w:val="TOC1"/>
        <w:keepNext/>
        <w:spacing w:before="120"/>
      </w:pPr>
      <w:hyperlink w:anchor="v11_94"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60</w:t>
        </w:r>
      </w:hyperlink>
    </w:p>
    <w:p>
      <w:pPr>
        <w:pStyle w:val="TOC2"/>
      </w:pPr>
      <w:hyperlink w:anchor="v11_95" w:history="1">
        <w:r>
          <w:rPr>
            <w:rFonts w:ascii="Times New Roman" w:hAnsi="Times New Roman" w:eastAsia="Songti SC"/>
            <w:color w:val="000000"/>
            <w:sz w:val="22"/>
          </w:rPr>
          <w:t>5.1 两阶段的条件增量</w:t>
        </w:r>
        <w:r>
          <w:rPr>
            <w:rFonts w:ascii="Times New Roman" w:hAnsi="Times New Roman" w:eastAsia="Songti SC"/>
            <w:color w:val="000000"/>
            <w:sz w:val="22"/>
          </w:rPr>
          <w:tab/>
          <w:t>60</w:t>
        </w:r>
      </w:hyperlink>
    </w:p>
    <w:p>
      <w:pPr>
        <w:pStyle w:val="TOC2"/>
      </w:pPr>
      <w:hyperlink w:anchor="v11_96" w:history="1">
        <w:r>
          <w:rPr>
            <w:rFonts w:ascii="Times New Roman" w:hAnsi="Times New Roman" w:eastAsia="Songti SC"/>
            <w:color w:val="000000"/>
            <w:sz w:val="22"/>
          </w:rPr>
          <w:t>5.2 净错误变化与对象分析边界</w:t>
        </w:r>
        <w:r>
          <w:rPr>
            <w:rFonts w:ascii="Times New Roman" w:hAnsi="Times New Roman" w:eastAsia="Songti SC"/>
            <w:color w:val="000000"/>
            <w:sz w:val="22"/>
          </w:rPr>
          <w:tab/>
          <w:t>61</w:t>
        </w:r>
      </w:hyperlink>
    </w:p>
    <w:p>
      <w:pPr>
        <w:pStyle w:val="TOC2"/>
      </w:pPr>
      <w:hyperlink w:anchor="v11_97" w:history="1">
        <w:r>
          <w:rPr>
            <w:rFonts w:ascii="Times New Roman" w:hAnsi="Times New Roman" w:eastAsia="Songti SC"/>
            <w:color w:val="000000"/>
            <w:sz w:val="22"/>
          </w:rPr>
          <w:t>5.3 训练条件变化的解释边界</w:t>
        </w:r>
        <w:r>
          <w:rPr>
            <w:rFonts w:ascii="Times New Roman" w:hAnsi="Times New Roman" w:eastAsia="Songti SC"/>
            <w:color w:val="000000"/>
            <w:sz w:val="22"/>
          </w:rPr>
          <w:tab/>
          <w:t>62</w:t>
        </w:r>
      </w:hyperlink>
    </w:p>
    <w:p>
      <w:pPr>
        <w:pStyle w:val="TOC2"/>
      </w:pPr>
      <w:hyperlink w:anchor="v11_98" w:history="1">
        <w:r>
          <w:rPr>
            <w:rFonts w:ascii="Times New Roman" w:hAnsi="Times New Roman" w:eastAsia="Songti SC"/>
            <w:color w:val="000000"/>
            <w:sz w:val="22"/>
          </w:rPr>
          <w:t>5.4 在线配置的质量与时间取舍</w:t>
        </w:r>
        <w:r>
          <w:rPr>
            <w:rFonts w:ascii="Times New Roman" w:hAnsi="Times New Roman" w:eastAsia="Songti SC"/>
            <w:color w:val="000000"/>
            <w:sz w:val="22"/>
          </w:rPr>
          <w:tab/>
          <w:t>62</w:t>
        </w:r>
      </w:hyperlink>
    </w:p>
    <w:p>
      <w:pPr>
        <w:pStyle w:val="TOC2"/>
      </w:pPr>
      <w:hyperlink w:anchor="v11_99" w:history="1">
        <w:r>
          <w:rPr>
            <w:rFonts w:ascii="Times New Roman" w:hAnsi="Times New Roman" w:eastAsia="Songti SC"/>
            <w:color w:val="000000"/>
            <w:sz w:val="22"/>
          </w:rPr>
          <w:t>5.5 超边规模与恢复范围</w:t>
        </w:r>
        <w:r>
          <w:rPr>
            <w:rFonts w:ascii="Times New Roman" w:hAnsi="Times New Roman" w:eastAsia="Songti SC"/>
            <w:color w:val="000000"/>
            <w:sz w:val="22"/>
          </w:rPr>
          <w:tab/>
          <w:t>63</w:t>
        </w:r>
      </w:hyperlink>
    </w:p>
    <w:p>
      <w:pPr>
        <w:pStyle w:val="TOC2"/>
      </w:pPr>
      <w:hyperlink w:anchor="v11_100" w:history="1">
        <w:r>
          <w:rPr>
            <w:rFonts w:ascii="Times New Roman" w:hAnsi="Times New Roman" w:eastAsia="Songti SC"/>
            <w:color w:val="000000"/>
            <w:sz w:val="22"/>
          </w:rPr>
          <w:t>5.6 本章小结</w:t>
        </w:r>
        <w:r>
          <w:rPr>
            <w:rFonts w:ascii="Times New Roman" w:hAnsi="Times New Roman" w:eastAsia="Songti SC"/>
            <w:color w:val="000000"/>
            <w:sz w:val="22"/>
          </w:rPr>
          <w:tab/>
          <w:t>63</w:t>
        </w:r>
      </w:hyperlink>
    </w:p>
    <w:p>
      <w:pPr>
        <w:pStyle w:val="TOC1"/>
        <w:keepNext/>
        <w:spacing w:before="120"/>
      </w:pPr>
      <w:hyperlink w:anchor="v11_101" w:history="1">
        <w:r>
          <w:rPr>
            <w:rFonts w:ascii="Times New Roman" w:hAnsi="Times New Roman" w:eastAsia="Songti SC"/>
            <w:color w:val="000000"/>
            <w:sz w:val="22"/>
          </w:rPr>
          <w:t>第六章 总结与展望</w:t>
        </w:r>
        <w:r>
          <w:rPr>
            <w:rFonts w:ascii="Times New Roman" w:hAnsi="Times New Roman" w:eastAsia="Songti SC"/>
            <w:color w:val="000000"/>
            <w:sz w:val="22"/>
          </w:rPr>
          <w:tab/>
          <w:t>64</w:t>
        </w:r>
      </w:hyperlink>
    </w:p>
    <w:p>
      <w:pPr>
        <w:pStyle w:val="TOC2"/>
      </w:pPr>
      <w:hyperlink w:anchor="v11_102" w:history="1">
        <w:r>
          <w:rPr>
            <w:rFonts w:ascii="Times New Roman" w:hAnsi="Times New Roman" w:eastAsia="Songti SC"/>
            <w:color w:val="000000"/>
            <w:sz w:val="22"/>
          </w:rPr>
          <w:t>6.1 研究总结</w:t>
        </w:r>
        <w:r>
          <w:rPr>
            <w:rFonts w:ascii="Times New Roman" w:hAnsi="Times New Roman" w:eastAsia="Songti SC"/>
            <w:color w:val="000000"/>
            <w:sz w:val="22"/>
          </w:rPr>
          <w:tab/>
          <w:t>64</w:t>
        </w:r>
      </w:hyperlink>
    </w:p>
    <w:p>
      <w:pPr>
        <w:pStyle w:val="TOC2"/>
      </w:pPr>
      <w:hyperlink w:anchor="v11_103" w:history="1">
        <w:r>
          <w:rPr>
            <w:rFonts w:ascii="Times New Roman" w:hAnsi="Times New Roman" w:eastAsia="Songti SC"/>
            <w:color w:val="000000"/>
            <w:sz w:val="22"/>
          </w:rPr>
          <w:t>6.2 研究局限</w:t>
        </w:r>
        <w:r>
          <w:rPr>
            <w:rFonts w:ascii="Times New Roman" w:hAnsi="Times New Roman" w:eastAsia="Songti SC"/>
            <w:color w:val="000000"/>
            <w:sz w:val="22"/>
          </w:rPr>
          <w:tab/>
          <w:t>64</w:t>
        </w:r>
      </w:hyperlink>
    </w:p>
    <w:p>
      <w:pPr>
        <w:pStyle w:val="TOC2"/>
      </w:pPr>
      <w:hyperlink w:anchor="v11_104" w:history="1">
        <w:r>
          <w:rPr>
            <w:rFonts w:ascii="Times New Roman" w:hAnsi="Times New Roman" w:eastAsia="Songti SC"/>
            <w:color w:val="000000"/>
            <w:sz w:val="22"/>
          </w:rPr>
          <w:t>6.3 后续研究方向</w:t>
        </w:r>
        <w:r>
          <w:rPr>
            <w:rFonts w:ascii="Times New Roman" w:hAnsi="Times New Roman" w:eastAsia="Songti SC"/>
            <w:color w:val="000000"/>
            <w:sz w:val="22"/>
          </w:rPr>
          <w:tab/>
          <w:t>65</w:t>
        </w:r>
      </w:hyperlink>
    </w:p>
    <w:p>
      <w:pPr>
        <w:pStyle w:val="TOC1"/>
        <w:keepNext/>
        <w:spacing w:before="120"/>
      </w:pPr>
      <w:hyperlink w:anchor="v11_105" w:history="1">
        <w:r>
          <w:rPr>
            <w:rFonts w:ascii="Times New Roman" w:hAnsi="Times New Roman" w:eastAsia="Songti SC"/>
            <w:color w:val="000000"/>
            <w:sz w:val="22"/>
          </w:rPr>
          <w:t>参考文献</w:t>
        </w:r>
        <w:r>
          <w:rPr>
            <w:rFonts w:ascii="Times New Roman" w:hAnsi="Times New Roman" w:eastAsia="Songti SC"/>
            <w:color w:val="000000"/>
            <w:sz w:val="22"/>
          </w:rPr>
          <w:tab/>
          <w:t>66</w:t>
        </w:r>
      </w:hyperlink>
    </w:p>
    <w:p>
      <w:pPr>
        <w:pStyle w:val="TOC1"/>
        <w:keepNext/>
        <w:spacing w:before="120"/>
      </w:pPr>
      <w:hyperlink w:anchor="v11_106"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70</w:t>
        </w:r>
      </w:hyperlink>
    </w:p>
    <w:p>
      <w:pPr>
        <w:pStyle w:val="TOC2"/>
      </w:pPr>
      <w:hyperlink w:anchor="v11_107" w:history="1">
        <w:r>
          <w:rPr>
            <w:rFonts w:ascii="Times New Roman" w:hAnsi="Times New Roman" w:eastAsia="Songti SC"/>
            <w:color w:val="000000"/>
            <w:sz w:val="22"/>
          </w:rPr>
          <w:t>A.1 坐标与结构数据</w:t>
        </w:r>
        <w:r>
          <w:rPr>
            <w:rFonts w:ascii="Times New Roman" w:hAnsi="Times New Roman" w:eastAsia="Songti SC"/>
            <w:color w:val="000000"/>
            <w:sz w:val="22"/>
          </w:rPr>
          <w:tab/>
          <w:t>70</w:t>
        </w:r>
      </w:hyperlink>
    </w:p>
    <w:p>
      <w:pPr>
        <w:pStyle w:val="TOC2"/>
      </w:pPr>
      <w:hyperlink w:anchor="v11_108" w:history="1">
        <w:r>
          <w:rPr>
            <w:rFonts w:ascii="Times New Roman" w:hAnsi="Times New Roman" w:eastAsia="Songti SC"/>
            <w:color w:val="000000"/>
            <w:sz w:val="22"/>
          </w:rPr>
          <w:t>A.2 配置与结果的关联</w:t>
        </w:r>
        <w:r>
          <w:rPr>
            <w:rFonts w:ascii="Times New Roman" w:hAnsi="Times New Roman" w:eastAsia="Songti SC"/>
            <w:color w:val="000000"/>
            <w:sz w:val="22"/>
          </w:rPr>
          <w:tab/>
          <w:t>70</w:t>
        </w:r>
      </w:hyperlink>
    </w:p>
    <w:p>
      <w:pPr>
        <w:pStyle w:val="TOC2"/>
      </w:pPr>
      <w:hyperlink w:anchor="v11_109"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71</w:t>
        </w:r>
      </w:hyperlink>
    </w:p>
    <w:p>
      <w:pPr>
        <w:pStyle w:val="TOC2"/>
      </w:pPr>
      <w:hyperlink w:anchor="v11_110" w:history="1">
        <w:r>
          <w:rPr>
            <w:rFonts w:ascii="Times New Roman" w:hAnsi="Times New Roman" w:eastAsia="Songti SC"/>
            <w:color w:val="000000"/>
            <w:sz w:val="22"/>
          </w:rPr>
          <w:t>A.4 本版参考规约与配置身份</w:t>
        </w:r>
        <w:r>
          <w:rPr>
            <w:rFonts w:ascii="Times New Roman" w:hAnsi="Times New Roman" w:eastAsia="Songti SC"/>
            <w:color w:val="000000"/>
            <w:sz w:val="22"/>
          </w:rPr>
          <w:tab/>
          <w:t>71</w:t>
        </w:r>
      </w:hyperlink>
    </w:p>
    <w:p>
      <w:pPr>
        <w:pStyle w:val="TOC2"/>
      </w:pPr>
      <w:hyperlink w:anchor="v11_111" w:history="1">
        <w:r>
          <w:rPr>
            <w:rFonts w:ascii="Times New Roman" w:hAnsi="Times New Roman" w:eastAsia="Songti SC"/>
            <w:color w:val="000000"/>
            <w:sz w:val="22"/>
          </w:rPr>
          <w:t>A.5 结果登记与跨章复用</w:t>
        </w:r>
        <w:r>
          <w:rPr>
            <w:rFonts w:ascii="Times New Roman" w:hAnsi="Times New Roman" w:eastAsia="Songti SC"/>
            <w:color w:val="000000"/>
            <w:sz w:val="22"/>
          </w:rPr>
          <w:tab/>
          <w:t>72</w:t>
        </w:r>
      </w:hyperlink>
    </w:p>
    <w:p>
      <w:pPr>
        <w:pStyle w:val="TOC2"/>
      </w:pPr>
      <w:hyperlink w:anchor="v11_112" w:history="1">
        <w:r>
          <w:rPr>
            <w:rFonts w:ascii="Times New Roman" w:hAnsi="Times New Roman" w:eastAsia="Songti SC"/>
            <w:color w:val="000000"/>
            <w:sz w:val="22"/>
          </w:rPr>
          <w:t>A.6 序列化、坐标与候选构造细则</w:t>
        </w:r>
        <w:r>
          <w:rPr>
            <w:rFonts w:ascii="Times New Roman" w:hAnsi="Times New Roman" w:eastAsia="Songti SC"/>
            <w:color w:val="000000"/>
            <w:sz w:val="22"/>
          </w:rPr>
          <w:tab/>
          <w:t>73</w:t>
        </w:r>
      </w:hyperlink>
    </w:p>
    <w:p>
      <w:pPr>
        <w:pStyle w:val="TOC1"/>
        <w:keepNext/>
        <w:spacing w:before="120"/>
      </w:pPr>
      <w:hyperlink w:anchor="v11_113"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74</w:t>
        </w:r>
      </w:hyperlink>
    </w:p>
    <w:p>
      <w:pPr>
        <w:pStyle w:val="TOC2"/>
      </w:pPr>
      <w:hyperlink w:anchor="v11_114" w:history="1">
        <w:r>
          <w:rPr>
            <w:rFonts w:ascii="Times New Roman" w:hAnsi="Times New Roman" w:eastAsia="Songti SC"/>
            <w:color w:val="000000"/>
            <w:sz w:val="22"/>
          </w:rPr>
          <w:t>B.1 数据与模型身份</w:t>
        </w:r>
        <w:r>
          <w:rPr>
            <w:rFonts w:ascii="Times New Roman" w:hAnsi="Times New Roman" w:eastAsia="Songti SC"/>
            <w:color w:val="000000"/>
            <w:sz w:val="22"/>
          </w:rPr>
          <w:tab/>
          <w:t>74</w:t>
        </w:r>
      </w:hyperlink>
    </w:p>
    <w:p>
      <w:pPr>
        <w:pStyle w:val="TOC2"/>
      </w:pPr>
      <w:hyperlink w:anchor="v11_115" w:history="1">
        <w:r>
          <w:rPr>
            <w:rFonts w:ascii="Times New Roman" w:hAnsi="Times New Roman" w:eastAsia="Songti SC"/>
            <w:color w:val="000000"/>
            <w:sz w:val="22"/>
          </w:rPr>
          <w:t>B.2 评分与接受轨迹</w:t>
        </w:r>
        <w:r>
          <w:rPr>
            <w:rFonts w:ascii="Times New Roman" w:hAnsi="Times New Roman" w:eastAsia="Songti SC"/>
            <w:color w:val="000000"/>
            <w:sz w:val="22"/>
          </w:rPr>
          <w:tab/>
          <w:t>74</w:t>
        </w:r>
      </w:hyperlink>
    </w:p>
    <w:p>
      <w:pPr>
        <w:pStyle w:val="TOC2"/>
      </w:pPr>
      <w:hyperlink w:anchor="v11_116" w:history="1">
        <w:r>
          <w:rPr>
            <w:rFonts w:ascii="Times New Roman" w:hAnsi="Times New Roman" w:eastAsia="Songti SC"/>
            <w:color w:val="000000"/>
            <w:sz w:val="22"/>
          </w:rPr>
          <w:t>B.3 回退与预算</w:t>
        </w:r>
        <w:r>
          <w:rPr>
            <w:rFonts w:ascii="Times New Roman" w:hAnsi="Times New Roman" w:eastAsia="Songti SC"/>
            <w:color w:val="000000"/>
            <w:sz w:val="22"/>
          </w:rPr>
          <w:tab/>
          <w:t>74</w:t>
        </w:r>
      </w:hyperlink>
    </w:p>
    <w:p>
      <w:pPr>
        <w:pStyle w:val="TOC2"/>
      </w:pPr>
      <w:hyperlink w:anchor="v11_117" w:history="1">
        <w:r>
          <w:rPr>
            <w:rFonts w:ascii="Times New Roman" w:hAnsi="Times New Roman" w:eastAsia="Songti SC"/>
            <w:color w:val="000000"/>
            <w:sz w:val="22"/>
          </w:rPr>
          <w:t>B.4 实现一致性测试</w:t>
        </w:r>
        <w:r>
          <w:rPr>
            <w:rFonts w:ascii="Times New Roman" w:hAnsi="Times New Roman" w:eastAsia="Songti SC"/>
            <w:color w:val="000000"/>
            <w:sz w:val="22"/>
          </w:rPr>
          <w:tab/>
          <w:t>74</w:t>
        </w:r>
      </w:hyperlink>
    </w:p>
    <w:p>
      <w:pPr>
        <w:pStyle w:val="TOC3"/>
      </w:pPr>
      <w:hyperlink w:anchor="v11_118" w:history="1">
        <w:r>
          <w:rPr>
            <w:rFonts w:ascii="Times New Roman" w:hAnsi="Times New Roman" w:eastAsia="Songti SC"/>
            <w:color w:val="000000"/>
            <w:sz w:val="22"/>
          </w:rPr>
          <w:t>B.4.1 已执行的构造检查</w:t>
        </w:r>
        <w:r>
          <w:rPr>
            <w:rFonts w:ascii="Times New Roman" w:hAnsi="Times New Roman" w:eastAsia="Songti SC"/>
            <w:color w:val="000000"/>
            <w:sz w:val="22"/>
          </w:rPr>
          <w:tab/>
          <w:t>74</w:t>
        </w:r>
      </w:hyperlink>
    </w:p>
    <w:p>
      <w:pPr>
        <w:pStyle w:val="TOC3"/>
      </w:pPr>
      <w:hyperlink w:anchor="v11_119" w:history="1">
        <w:r>
          <w:rPr>
            <w:rFonts w:ascii="Times New Roman" w:hAnsi="Times New Roman" w:eastAsia="Songti SC"/>
            <w:color w:val="000000"/>
            <w:sz w:val="22"/>
          </w:rPr>
          <w:t>B.4.2 训练与求解接口</w:t>
        </w:r>
        <w:r>
          <w:rPr>
            <w:rFonts w:ascii="Times New Roman" w:hAnsi="Times New Roman" w:eastAsia="Songti SC"/>
            <w:color w:val="000000"/>
            <w:sz w:val="22"/>
          </w:rPr>
          <w:tab/>
          <w:t>75</w:t>
        </w:r>
      </w:hyperlink>
    </w:p>
    <w:p>
      <w:pPr>
        <w:pStyle w:val="TOC3"/>
      </w:pPr>
      <w:hyperlink w:anchor="v11_120" w:history="1">
        <w:r>
          <w:rPr>
            <w:rFonts w:ascii="Times New Roman" w:hAnsi="Times New Roman" w:eastAsia="Songti SC"/>
            <w:color w:val="000000"/>
            <w:sz w:val="22"/>
          </w:rPr>
          <w:t>B.4.3 外层预算与提交的边界判定</w:t>
        </w:r>
        <w:r>
          <w:rPr>
            <w:rFonts w:ascii="Times New Roman" w:hAnsi="Times New Roman" w:eastAsia="Songti SC"/>
            <w:color w:val="000000"/>
            <w:sz w:val="22"/>
          </w:rPr>
          <w:tab/>
          <w:t>75</w:t>
        </w:r>
      </w:hyperlink>
    </w:p>
    <w:p>
      <w:pPr>
        <w:pStyle w:val="TOC2"/>
      </w:pPr>
      <w:hyperlink w:anchor="v11_121" w:history="1">
        <w:r>
          <w:rPr>
            <w:rFonts w:ascii="Times New Roman" w:hAnsi="Times New Roman" w:eastAsia="Songti SC"/>
            <w:color w:val="000000"/>
            <w:sz w:val="22"/>
          </w:rPr>
          <w:t>B.5 案例的统一记录格式</w:t>
        </w:r>
        <w:r>
          <w:rPr>
            <w:rFonts w:ascii="Times New Roman" w:hAnsi="Times New Roman" w:eastAsia="Songti SC"/>
            <w:color w:val="000000"/>
            <w:sz w:val="22"/>
          </w:rPr>
          <w:tab/>
          <w:t>76</w:t>
        </w:r>
      </w:hyperlink>
    </w:p>
    <w:p>
      <w:pPr>
        <w:pStyle w:val="TOC2"/>
      </w:pPr>
      <w:hyperlink w:anchor="v11_122" w:history="1">
        <w:r>
          <w:rPr>
            <w:rFonts w:ascii="Times New Roman" w:hAnsi="Times New Roman" w:eastAsia="Songti SC"/>
            <w:color w:val="000000"/>
            <w:sz w:val="22"/>
          </w:rPr>
          <w:t>B.6 固定评分性质的证明与构造</w:t>
        </w:r>
        <w:r>
          <w:rPr>
            <w:rFonts w:ascii="Times New Roman" w:hAnsi="Times New Roman" w:eastAsia="Songti SC"/>
            <w:color w:val="000000"/>
            <w:sz w:val="22"/>
          </w:rPr>
          <w:tab/>
          <w:t>76</w:t>
        </w:r>
      </w:hyperlink>
    </w:p>
    <w:p>
      <w:pPr>
        <w:pStyle w:val="TOC1"/>
        <w:keepNext/>
        <w:spacing w:before="120"/>
      </w:pPr>
      <w:hyperlink w:anchor="v11_123"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78</w:t>
        </w:r>
      </w:hyperlink>
    </w:p>
    <w:p>
      <w:pPr>
        <w:pStyle w:val="TOC2"/>
      </w:pPr>
      <w:hyperlink w:anchor="v11_124" w:history="1">
        <w:r>
          <w:rPr>
            <w:rFonts w:ascii="Times New Roman" w:hAnsi="Times New Roman" w:eastAsia="Songti SC"/>
            <w:color w:val="000000"/>
            <w:sz w:val="22"/>
          </w:rPr>
          <w:t>C.1 前期共同成果</w:t>
        </w:r>
        <w:r>
          <w:rPr>
            <w:rFonts w:ascii="Times New Roman" w:hAnsi="Times New Roman" w:eastAsia="Songti SC"/>
            <w:color w:val="000000"/>
            <w:sz w:val="22"/>
          </w:rPr>
          <w:tab/>
          <w:t>78</w:t>
        </w:r>
      </w:hyperlink>
    </w:p>
    <w:p>
      <w:pPr>
        <w:pStyle w:val="TOC2"/>
      </w:pPr>
      <w:hyperlink w:anchor="v11_125" w:history="1">
        <w:r>
          <w:rPr>
            <w:rFonts w:ascii="Times New Roman" w:hAnsi="Times New Roman" w:eastAsia="Songti SC"/>
            <w:color w:val="000000"/>
            <w:sz w:val="22"/>
          </w:rPr>
          <w:t>C.2 数据与材料可得性</w:t>
        </w:r>
        <w:r>
          <w:rPr>
            <w:rFonts w:ascii="Times New Roman" w:hAnsi="Times New Roman" w:eastAsia="Songti SC"/>
            <w:color w:val="000000"/>
            <w:sz w:val="22"/>
          </w:rPr>
          <w:tab/>
          <w:t>78</w:t>
        </w:r>
      </w:hyperlink>
    </w:p>
    <w:p>
      <w:pPr>
        <w:pStyle w:val="TOC2"/>
      </w:pPr>
      <w:hyperlink w:anchor="v11_126"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78</w:t>
        </w:r>
      </w:hyperlink>
    </w:p>
    <w:p>
      <w:pPr>
        <w:pStyle w:val="TOC2"/>
      </w:pPr>
      <w:hyperlink w:anchor="v11_127" w:history="1">
        <w:r>
          <w:rPr>
            <w:rFonts w:ascii="Times New Roman" w:hAnsi="Times New Roman" w:eastAsia="Songti SC"/>
            <w:color w:val="000000"/>
            <w:sz w:val="22"/>
          </w:rPr>
          <w:t>C.4 成果记录与署名责任</w:t>
        </w:r>
        <w:r>
          <w:rPr>
            <w:rFonts w:ascii="Times New Roman" w:hAnsi="Times New Roman" w:eastAsia="Songti SC"/>
            <w:color w:val="000000"/>
            <w:sz w:val="22"/>
          </w:rPr>
          <w:tab/>
          <w:t>78</w:t>
        </w:r>
      </w:hyperlink>
    </w:p>
    <w:p>
      <w:pPr>
        <w:pStyle w:val="TOC1"/>
        <w:keepNext/>
        <w:spacing w:before="120"/>
      </w:pPr>
      <w:hyperlink w:anchor="v11_128"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79</w:t>
        </w:r>
      </w:hyperlink>
    </w:p>
    <w:p>
      <w:pPr>
        <w:pStyle w:val="TOC2"/>
      </w:pPr>
      <w:hyperlink w:anchor="v11_129"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79</w:t>
        </w:r>
      </w:hyperlink>
    </w:p>
    <w:p>
      <w:pPr>
        <w:pStyle w:val="TOC2"/>
      </w:pPr>
      <w:hyperlink w:anchor="v11_130" w:history="1">
        <w:r>
          <w:rPr>
            <w:rFonts w:ascii="Times New Roman" w:hAnsi="Times New Roman" w:eastAsia="Songti SC"/>
            <w:color w:val="000000"/>
            <w:sz w:val="22"/>
          </w:rPr>
          <w:t>D.2 训练集内诊断设置</w:t>
        </w:r>
        <w:r>
          <w:rPr>
            <w:rFonts w:ascii="Times New Roman" w:hAnsi="Times New Roman" w:eastAsia="Songti SC"/>
            <w:color w:val="000000"/>
            <w:sz w:val="22"/>
          </w:rPr>
          <w:tab/>
          <w:t>79</w:t>
        </w:r>
      </w:hyperlink>
    </w:p>
    <w:p>
      <w:pPr>
        <w:pStyle w:val="TOC2"/>
      </w:pPr>
      <w:hyperlink w:anchor="v11_131" w:history="1">
        <w:r>
          <w:rPr>
            <w:rFonts w:ascii="Times New Roman" w:hAnsi="Times New Roman" w:eastAsia="Songti SC"/>
            <w:color w:val="000000"/>
            <w:sz w:val="22"/>
          </w:rPr>
          <w:t>D.3 诊断的启示与限制</w:t>
        </w:r>
        <w:r>
          <w:rPr>
            <w:rFonts w:ascii="Times New Roman" w:hAnsi="Times New Roman" w:eastAsia="Songti SC"/>
            <w:color w:val="000000"/>
            <w:sz w:val="22"/>
          </w:rPr>
          <w:tab/>
          <w:t>79</w:t>
        </w:r>
      </w:hyperlink>
    </w:p>
    <w:p>
      <w:pPr>
        <w:pStyle w:val="TOC2"/>
      </w:pPr>
      <w:hyperlink w:anchor="v11_132" w:history="1">
        <w:r>
          <w:rPr>
            <w:rFonts w:ascii="Times New Roman" w:hAnsi="Times New Roman" w:eastAsia="Songti SC"/>
            <w:color w:val="000000"/>
            <w:sz w:val="22"/>
          </w:rPr>
          <w:t>D.4 本版构造验证及复算入口</w:t>
        </w:r>
        <w:r>
          <w:rPr>
            <w:rFonts w:ascii="Times New Roman" w:hAnsi="Times New Roman" w:eastAsia="Songti SC"/>
            <w:color w:val="000000"/>
            <w:sz w:val="22"/>
          </w:rPr>
          <w:tab/>
          <w:t>79</w:t>
        </w:r>
      </w:hyperlink>
    </w:p>
    <w:p>
      <w:pPr>
        <w:pStyle w:val="TOC2"/>
      </w:pPr>
      <w:hyperlink w:anchor="v11_133" w:history="1">
        <w:r>
          <w:rPr>
            <w:rFonts w:ascii="Times New Roman" w:hAnsi="Times New Roman" w:eastAsia="Songti SC"/>
            <w:color w:val="000000"/>
            <w:sz w:val="22"/>
          </w:rPr>
          <w:t>D.5 micro优化的计数反例</w:t>
        </w:r>
        <w:r>
          <w:rPr>
            <w:rFonts w:ascii="Times New Roman" w:hAnsi="Times New Roman" w:eastAsia="Songti SC"/>
            <w:color w:val="000000"/>
            <w:sz w:val="22"/>
          </w:rPr>
          <w:tab/>
          <w:t>80</w:t>
        </w:r>
      </w:hyperlink>
    </w:p>
    <w:p>
      <w:pPr>
        <w:pStyle w:val="TOC2"/>
      </w:pPr>
      <w:hyperlink w:anchor="v11_134" w:history="1">
        <w:r>
          <w:rPr>
            <w:rFonts w:ascii="Times New Roman" w:hAnsi="Times New Roman" w:eastAsia="Songti SC"/>
            <w:color w:val="000000"/>
            <w:sz w:val="22"/>
          </w:rPr>
          <w:t>D.6 既有接口构造材料</w:t>
        </w:r>
        <w:r>
          <w:rPr>
            <w:rFonts w:ascii="Times New Roman" w:hAnsi="Times New Roman" w:eastAsia="Songti SC"/>
            <w:color w:val="000000"/>
            <w:sz w:val="22"/>
          </w:rPr>
          <w:tab/>
          <w:t>80</w:t>
        </w:r>
      </w:hyperlink>
    </w:p>
    <w:p>
      <w:pPr>
        <w:pStyle w:val="TOC1"/>
        <w:keepNext/>
        <w:spacing w:before="120"/>
      </w:pPr>
      <w:hyperlink w:anchor="v11_135"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82</w:t>
        </w:r>
      </w:hyperlink>
    </w:p>
    <w:p>
      <w:pPr>
        <w:pStyle w:val="TOC2"/>
      </w:pPr>
      <w:hyperlink w:anchor="v11_136"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82</w:t>
        </w:r>
      </w:hyperlink>
    </w:p>
    <w:p>
      <w:pPr>
        <w:pStyle w:val="TOC2"/>
      </w:pPr>
      <w:hyperlink w:anchor="v11_137"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82</w:t>
        </w:r>
      </w:hyperlink>
    </w:p>
    <w:p>
      <w:pPr>
        <w:pStyle w:val="TOC2"/>
      </w:pPr>
      <w:hyperlink w:anchor="v11_138"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83</w:t>
        </w:r>
      </w:hyperlink>
    </w:p>
    <w:p>
      <w:pPr>
        <w:pStyle w:val="TOC2"/>
      </w:pPr>
      <w:hyperlink w:anchor="v11_139"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83</w:t>
        </w:r>
      </w:hyperlink>
    </w:p>
    <w:p>
      <w:pPr>
        <w:pStyle w:val="TOC2"/>
      </w:pPr>
      <w:hyperlink w:anchor="v11_140"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84</w:t>
        </w:r>
      </w:hyperlink>
    </w:p>
    <w:p>
      <w:pPr>
        <w:pStyle w:val="TOC2"/>
      </w:pPr>
      <w:hyperlink w:anchor="v11_141" w:history="1">
        <w:r>
          <w:rPr>
            <w:rFonts w:ascii="Times New Roman" w:hAnsi="Times New Roman" w:eastAsia="Songti SC"/>
            <w:color w:val="000000"/>
            <w:sz w:val="22"/>
          </w:rPr>
          <w:t>E.6 ICIC原版Oracle记录</w:t>
        </w:r>
        <w:r>
          <w:rPr>
            <w:rFonts w:ascii="Times New Roman" w:hAnsi="Times New Roman" w:eastAsia="Songti SC"/>
            <w:color w:val="000000"/>
            <w:sz w:val="22"/>
          </w:rPr>
          <w:tab/>
          <w:t>84</w:t>
        </w:r>
      </w:hyperlink>
    </w:p>
    <w:p>
      <w:pPr>
        <w:pStyle w:val="TOC2"/>
      </w:pPr>
      <w:hyperlink w:anchor="v11_142"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84</w:t>
        </w:r>
      </w:hyperlink>
    </w:p>
    <w:p>
      <w:pPr>
        <w:pStyle w:val="TOC2"/>
      </w:pPr>
      <w:hyperlink w:anchor="v11_143"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85</w:t>
        </w:r>
      </w:hyperlink>
    </w:p>
    <w:p>
      <w:pPr>
        <w:pStyle w:val="TOC2"/>
      </w:pPr>
      <w:hyperlink w:anchor="v11_144"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86</w:t>
        </w:r>
      </w:hyperlink>
    </w:p>
    <w:p>
      <w:pPr>
        <w:pStyle w:val="TOC1"/>
        <w:keepNext/>
        <w:spacing w:before="120"/>
      </w:pPr>
      <w:hyperlink w:anchor="v11_145"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87</w:t>
        </w:r>
      </w:hyperlink>
    </w:p>
    <w:p>
      <w:pPr>
        <w:pStyle w:val="TOC2"/>
      </w:pPr>
      <w:hyperlink w:anchor="v11_146" w:history="1">
        <w:r>
          <w:rPr>
            <w:rFonts w:ascii="Times New Roman" w:hAnsi="Times New Roman" w:eastAsia="Songti SC"/>
            <w:color w:val="000000"/>
            <w:sz w:val="22"/>
          </w:rPr>
          <w:t>F.1 核心术语与符号</w:t>
        </w:r>
        <w:r>
          <w:rPr>
            <w:rFonts w:ascii="Times New Roman" w:hAnsi="Times New Roman" w:eastAsia="Songti SC"/>
            <w:color w:val="000000"/>
            <w:sz w:val="22"/>
          </w:rPr>
          <w:tab/>
          <w:t>87</w:t>
        </w:r>
      </w:hyperlink>
    </w:p>
    <w:p>
      <w:pPr>
        <w:pStyle w:val="TOC2"/>
      </w:pPr>
      <w:hyperlink w:anchor="v11_147" w:history="1">
        <w:r>
          <w:rPr>
            <w:rFonts w:ascii="Times New Roman" w:hAnsi="Times New Roman" w:eastAsia="Songti SC"/>
            <w:color w:val="000000"/>
            <w:sz w:val="22"/>
          </w:rPr>
          <w:t>F.2 实现接口补充</w:t>
        </w:r>
        <w:r>
          <w:rPr>
            <w:rFonts w:ascii="Times New Roman" w:hAnsi="Times New Roman" w:eastAsia="Songti SC"/>
            <w:color w:val="000000"/>
            <w:sz w:val="22"/>
          </w:rPr>
          <w:tab/>
          <w:t>88</w:t>
        </w:r>
      </w:hyperlink>
    </w:p>
    <w:p>
      <w:pPr>
        <w:pStyle w:val="TOC2"/>
      </w:pPr>
      <w:hyperlink w:anchor="v11_148" w:history="1">
        <w:r>
          <w:rPr>
            <w:rFonts w:ascii="Times New Roman" w:hAnsi="Times New Roman" w:eastAsia="Songti SC"/>
            <w:color w:val="000000"/>
            <w:sz w:val="22"/>
          </w:rPr>
          <w:t>F.3 研究问题阅读索引</w:t>
        </w:r>
        <w:r>
          <w:rPr>
            <w:rFonts w:ascii="Times New Roman" w:hAnsi="Times New Roman" w:eastAsia="Songti SC"/>
            <w:color w:val="000000"/>
            <w:sz w:val="22"/>
          </w:rPr>
          <w:tab/>
          <w:t>89</w:t>
        </w:r>
      </w:hyperlink>
    </w:p>
    <w:p>
      <w:pPr>
        <w:pStyle w:val="TOC1"/>
        <w:keepNext/>
        <w:spacing w:before="120"/>
      </w:pPr>
      <w:hyperlink w:anchor="v11_149" w:history="1">
        <w:r>
          <w:rPr>
            <w:rFonts w:ascii="Times New Roman" w:hAnsi="Times New Roman" w:eastAsia="Songti SC"/>
            <w:color w:val="000000"/>
            <w:sz w:val="22"/>
          </w:rPr>
          <w:t>附录G 外部方法定位与比较协议</w:t>
        </w:r>
        <w:r>
          <w:rPr>
            <w:rFonts w:ascii="Times New Roman" w:hAnsi="Times New Roman" w:eastAsia="Songti SC"/>
            <w:color w:val="000000"/>
            <w:sz w:val="22"/>
          </w:rPr>
          <w:tab/>
          <w:t>90</w:t>
        </w:r>
      </w:hyperlink>
    </w:p>
    <w:p>
      <w:pPr>
        <w:pStyle w:val="TOC2"/>
      </w:pPr>
      <w:hyperlink w:anchor="v11_150" w:history="1">
        <w:r>
          <w:rPr>
            <w:rFonts w:ascii="Times New Roman" w:hAnsi="Times New Roman" w:eastAsia="Songti SC"/>
            <w:color w:val="000000"/>
            <w:sz w:val="22"/>
          </w:rPr>
          <w:t>G.1 检索范围与方法选择</w:t>
        </w:r>
        <w:r>
          <w:rPr>
            <w:rFonts w:ascii="Times New Roman" w:hAnsi="Times New Roman" w:eastAsia="Songti SC"/>
            <w:color w:val="000000"/>
            <w:sz w:val="22"/>
          </w:rPr>
          <w:tab/>
          <w:t>90</w:t>
        </w:r>
      </w:hyperlink>
    </w:p>
    <w:p>
      <w:pPr>
        <w:pStyle w:val="TOC2"/>
      </w:pPr>
      <w:hyperlink w:anchor="v11_151" w:history="1">
        <w:r>
          <w:rPr>
            <w:rFonts w:ascii="Times New Roman" w:hAnsi="Times New Roman" w:eastAsia="Songti SC"/>
            <w:color w:val="000000"/>
            <w:sz w:val="22"/>
          </w:rPr>
          <w:t>G.2 代码入口与可复现性核查</w:t>
        </w:r>
        <w:r>
          <w:rPr>
            <w:rFonts w:ascii="Times New Roman" w:hAnsi="Times New Roman" w:eastAsia="Songti SC"/>
            <w:color w:val="000000"/>
            <w:sz w:val="22"/>
          </w:rPr>
          <w:tab/>
          <w:t>91</w:t>
        </w:r>
      </w:hyperlink>
    </w:p>
    <w:p>
      <w:pPr>
        <w:pStyle w:val="TOC2"/>
      </w:pPr>
      <w:hyperlink w:anchor="v11_152" w:history="1">
        <w:r>
          <w:rPr>
            <w:rFonts w:ascii="Times New Roman" w:hAnsi="Times New Roman" w:eastAsia="Songti SC"/>
            <w:color w:val="000000"/>
            <w:sz w:val="22"/>
          </w:rPr>
          <w:t>G.3 QOS式适配与本方法的差异</w:t>
        </w:r>
        <w:r>
          <w:rPr>
            <w:rFonts w:ascii="Times New Roman" w:hAnsi="Times New Roman" w:eastAsia="Songti SC"/>
            <w:color w:val="000000"/>
            <w:sz w:val="22"/>
          </w:rPr>
          <w:tab/>
          <w:t>91</w:t>
        </w:r>
      </w:hyperlink>
    </w:p>
    <w:p>
      <w:pPr>
        <w:pStyle w:val="TOC2"/>
      </w:pPr>
      <w:hyperlink w:anchor="v11_153" w:history="1">
        <w:r>
          <w:rPr>
            <w:rFonts w:ascii="Times New Roman" w:hAnsi="Times New Roman" w:eastAsia="Songti SC"/>
            <w:color w:val="000000"/>
            <w:sz w:val="22"/>
          </w:rPr>
          <w:t>G.4 外部系统接入与结果登记</w:t>
        </w:r>
        <w:r>
          <w:rPr>
            <w:rFonts w:ascii="Times New Roman" w:hAnsi="Times New Roman" w:eastAsia="Songti SC"/>
            <w:color w:val="000000"/>
            <w:sz w:val="22"/>
          </w:rPr>
          <w:tab/>
          <w:t>92</w:t>
        </w:r>
      </w:hyperlink>
    </w:p>
    <w:p>
      <w:pPr>
        <w:pStyle w:val="TOC1"/>
        <w:keepNext/>
        <w:spacing w:before="120"/>
      </w:pPr>
      <w:hyperlink w:anchor="v11_154" w:history="1">
        <w:r>
          <w:rPr>
            <w:rFonts w:ascii="Times New Roman" w:hAnsi="Times New Roman" w:eastAsia="Songti SC"/>
            <w:color w:val="000000"/>
            <w:sz w:val="22"/>
          </w:rPr>
          <w:t>附录H 关键诊断与综合证据记录</w:t>
        </w:r>
        <w:r>
          <w:rPr>
            <w:rFonts w:ascii="Times New Roman" w:hAnsi="Times New Roman" w:eastAsia="Songti SC"/>
            <w:color w:val="000000"/>
            <w:sz w:val="22"/>
          </w:rPr>
          <w:tab/>
          <w:t>93</w:t>
        </w:r>
      </w:hyperlink>
    </w:p>
    <w:p>
      <w:pPr>
        <w:pStyle w:val="TOC2"/>
      </w:pPr>
      <w:hyperlink w:anchor="v11_155" w:history="1">
        <w:r>
          <w:rPr>
            <w:rFonts w:ascii="Times New Roman" w:hAnsi="Times New Roman" w:eastAsia="Songti SC"/>
            <w:color w:val="000000"/>
            <w:sz w:val="22"/>
          </w:rPr>
          <w:t>H.1 训练侧问题规模与初始错误的诊断设计</w:t>
        </w:r>
        <w:r>
          <w:rPr>
            <w:rFonts w:ascii="Times New Roman" w:hAnsi="Times New Roman" w:eastAsia="Songti SC"/>
            <w:color w:val="000000"/>
            <w:sz w:val="22"/>
          </w:rPr>
          <w:tab/>
          <w:t>93</w:t>
        </w:r>
      </w:hyperlink>
    </w:p>
    <w:p>
      <w:pPr>
        <w:pStyle w:val="TOC2"/>
      </w:pPr>
      <w:hyperlink w:anchor="v11_156" w:history="1">
        <w:r>
          <w:rPr>
            <w:rFonts w:ascii="Times New Roman" w:hAnsi="Times New Roman" w:eastAsia="Songti SC"/>
            <w:color w:val="000000"/>
            <w:sz w:val="22"/>
          </w:rPr>
          <w:t>H.2 表达变化、源覆盖与资源轨道</w:t>
        </w:r>
        <w:r>
          <w:rPr>
            <w:rFonts w:ascii="Times New Roman" w:hAnsi="Times New Roman" w:eastAsia="Songti SC"/>
            <w:color w:val="000000"/>
            <w:sz w:val="22"/>
          </w:rPr>
          <w:tab/>
          <w:t>93</w:t>
        </w:r>
      </w:hyperlink>
    </w:p>
    <w:p>
      <w:pPr>
        <w:pStyle w:val="TOC2"/>
      </w:pPr>
      <w:hyperlink w:anchor="v11_157" w:history="1">
        <w:r>
          <w:rPr>
            <w:rFonts w:ascii="Times New Roman" w:hAnsi="Times New Roman" w:eastAsia="Songti SC"/>
            <w:color w:val="000000"/>
            <w:sz w:val="22"/>
          </w:rPr>
          <w:t>H.3 候选规模、共同预算与求解状态</w:t>
        </w:r>
        <w:r>
          <w:rPr>
            <w:rFonts w:ascii="Times New Roman" w:hAnsi="Times New Roman" w:eastAsia="Songti SC"/>
            <w:color w:val="000000"/>
            <w:sz w:val="22"/>
          </w:rPr>
          <w:tab/>
          <w:t>94</w:t>
        </w:r>
      </w:hyperlink>
    </w:p>
    <w:p>
      <w:pPr>
        <w:pStyle w:val="TOC2"/>
      </w:pPr>
      <w:hyperlink w:anchor="v11_158" w:history="1">
        <w:r>
          <w:rPr>
            <w:rFonts w:ascii="Times New Roman" w:hAnsi="Times New Roman" w:eastAsia="Songti SC"/>
            <w:color w:val="000000"/>
            <w:sz w:val="22"/>
          </w:rPr>
          <w:t>H.4 四格对象、恢复阻断与案例</w:t>
        </w:r>
        <w:r>
          <w:rPr>
            <w:rFonts w:ascii="Times New Roman" w:hAnsi="Times New Roman" w:eastAsia="Songti SC"/>
            <w:color w:val="000000"/>
            <w:sz w:val="22"/>
          </w:rPr>
          <w:tab/>
          <w:t>95</w:t>
        </w:r>
      </w:hyperlink>
    </w:p>
    <w:p>
      <w:pPr>
        <w:pStyle w:val="TOC2"/>
      </w:pPr>
      <w:hyperlink w:anchor="v11_159" w:history="1">
        <w:r>
          <w:rPr>
            <w:rFonts w:ascii="Times New Roman" w:hAnsi="Times New Roman" w:eastAsia="Songti SC"/>
            <w:color w:val="000000"/>
            <w:sz w:val="22"/>
          </w:rPr>
          <w:t>H.5 核心验证缺口与推进顺序</w:t>
        </w:r>
        <w:r>
          <w:rPr>
            <w:rFonts w:ascii="Times New Roman" w:hAnsi="Times New Roman" w:eastAsia="Songti SC"/>
            <w:color w:val="000000"/>
            <w:sz w:val="22"/>
          </w:rPr>
          <w:tab/>
          <w:t>95</w:t>
        </w:r>
      </w:hyperlink>
      <w:r>
        <w:fldChar w:fldCharType="end"/>
      </w:r>
    </w:p>
    <w:p>
      <w:pPr>
        <w:pStyle w:val="FrontHeading"/>
      </w:pPr>
      <w:r>
        <w:t>图目录</w:t>
      </w:r>
    </w:p>
    <w:p>
      <w:pPr>
        <w:pStyle w:val="FigureList"/>
      </w:pPr>
      <w:r>
        <w:fldChar w:fldCharType="begin"/>
      </w:r>
      <w:r>
        <w:instrText xml:space="preserve"> TOC \h \z \t "Figure Caption,1" </w:instrText>
      </w:r>
      <w:r>
        <w:fldChar w:fldCharType="separate"/>
      </w:r>
      <w:hyperlink w:anchor="v11_160"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FigureList"/>
      </w:pPr>
      <w:hyperlink w:anchor="v11_162"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6</w:t>
        </w:r>
      </w:hyperlink>
    </w:p>
    <w:p>
      <w:pPr>
        <w:pStyle w:val="FigureList"/>
      </w:pPr>
      <w:hyperlink w:anchor="v11_166"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16</w:t>
        </w:r>
      </w:hyperlink>
    </w:p>
    <w:p>
      <w:pPr>
        <w:pStyle w:val="FigureList"/>
      </w:pPr>
      <w:hyperlink w:anchor="v11_168"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19</w:t>
        </w:r>
      </w:hyperlink>
    </w:p>
    <w:p>
      <w:pPr>
        <w:pStyle w:val="FigureList"/>
      </w:pPr>
      <w:hyperlink w:anchor="v11_169" w:history="1">
        <w:r>
          <w:rPr>
            <w:rFonts w:ascii="Times New Roman" w:hAnsi="Times New Roman" w:eastAsia="Songti SC"/>
            <w:color w:val="000000"/>
            <w:sz w:val="22"/>
          </w:rPr>
          <w:t>图3-2 关系影响域增强与成对学习的训练架构</w:t>
        </w:r>
        <w:r>
          <w:rPr>
            <w:rFonts w:ascii="Times New Roman" w:hAnsi="Times New Roman" w:eastAsia="Songti SC"/>
            <w:color w:val="000000"/>
            <w:sz w:val="22"/>
          </w:rPr>
          <w:tab/>
          <w:t>23</w:t>
        </w:r>
      </w:hyperlink>
    </w:p>
    <w:p>
      <w:pPr>
        <w:pStyle w:val="FigureList"/>
      </w:pPr>
      <w:hyperlink w:anchor="v11_176" w:history="1">
        <w:r>
          <w:rPr>
            <w:rFonts w:ascii="Times New Roman" w:hAnsi="Times New Roman" w:eastAsia="Songti SC"/>
            <w:color w:val="000000"/>
            <w:sz w:val="22"/>
          </w:rPr>
          <w:t>图3-3 训练方案与学习目标的严格关系结果（人工情景）</w:t>
        </w:r>
        <w:r>
          <w:rPr>
            <w:rFonts w:ascii="Times New Roman" w:hAnsi="Times New Roman" w:eastAsia="Songti SC"/>
            <w:color w:val="000000"/>
            <w:sz w:val="22"/>
          </w:rPr>
          <w:tab/>
          <w:t>32</w:t>
        </w:r>
      </w:hyperlink>
    </w:p>
    <w:p>
      <w:pPr>
        <w:pStyle w:val="FigureList"/>
      </w:pPr>
      <w:hyperlink w:anchor="v11_180"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35</w:t>
        </w:r>
      </w:hyperlink>
    </w:p>
    <w:p>
      <w:pPr>
        <w:pStyle w:val="FigureList"/>
      </w:pPr>
      <w:hyperlink w:anchor="v11_183"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47</w:t>
        </w:r>
      </w:hyperlink>
    </w:p>
    <w:p>
      <w:pPr>
        <w:pStyle w:val="FigureList"/>
      </w:pPr>
      <w:hyperlink w:anchor="v11_191" w:history="1">
        <w:r>
          <w:rPr>
            <w:rFonts w:ascii="Times New Roman" w:hAnsi="Times New Roman" w:eastAsia="Songti SC"/>
            <w:color w:val="000000"/>
            <w:sz w:val="22"/>
          </w:rPr>
          <w:t>图4-3 联合修正中的关系恢复与原真阳性损失（人工情景）</w:t>
        </w:r>
        <w:r>
          <w:rPr>
            <w:rFonts w:ascii="Times New Roman" w:hAnsi="Times New Roman" w:eastAsia="Songti SC"/>
            <w:color w:val="000000"/>
            <w:sz w:val="22"/>
          </w:rPr>
          <w:tab/>
          <w:t>57</w:t>
        </w:r>
      </w:hyperlink>
    </w:p>
    <w:p>
      <w:pPr>
        <w:pStyle w:val="FigureList"/>
      </w:pPr>
      <w:hyperlink w:anchor="v11_193" w:history="1">
        <w:r>
          <w:rPr>
            <w:rFonts w:ascii="Times New Roman" w:hAnsi="Times New Roman" w:eastAsia="Songti SC"/>
            <w:color w:val="000000"/>
            <w:sz w:val="22"/>
          </w:rPr>
          <w:t>图4-4 外层轮数增加时的结果与时间变化（人工情景）</w:t>
        </w:r>
        <w:r>
          <w:rPr>
            <w:rFonts w:ascii="Times New Roman" w:hAnsi="Times New Roman" w:eastAsia="Songti SC"/>
            <w:color w:val="000000"/>
            <w:sz w:val="22"/>
          </w:rPr>
          <w:tab/>
          <w:t>58</w:t>
        </w:r>
      </w:hyperlink>
    </w:p>
    <w:p>
      <w:pPr>
        <w:pStyle w:val="FigureList"/>
      </w:pPr>
      <w:hyperlink w:anchor="v11_197" w:history="1">
        <w:r>
          <w:rPr>
            <w:rFonts w:ascii="Times New Roman" w:hAnsi="Times New Roman" w:eastAsia="Songti SC"/>
            <w:color w:val="000000"/>
            <w:sz w:val="22"/>
          </w:rPr>
          <w:t>图5-1 两个训练条件下的推理增量与交互关系（人工情景）</w:t>
        </w:r>
        <w:r>
          <w:rPr>
            <w:rFonts w:ascii="Times New Roman" w:hAnsi="Times New Roman" w:eastAsia="Songti SC"/>
            <w:color w:val="000000"/>
            <w:sz w:val="22"/>
          </w:rPr>
          <w:tab/>
          <w:t>61</w:t>
        </w:r>
      </w:hyperlink>
      <w:r>
        <w:fldChar w:fldCharType="end"/>
      </w:r>
    </w:p>
    <w:p>
      <w:pPr>
        <w:pStyle w:val="FrontHeading"/>
      </w:pPr>
      <w:r>
        <w:t>表目录</w:t>
      </w:r>
    </w:p>
    <w:p>
      <w:pPr>
        <w:pStyle w:val="TableList"/>
      </w:pPr>
      <w:r>
        <w:fldChar w:fldCharType="begin"/>
      </w:r>
      <w:r>
        <w:instrText xml:space="preserve"> TOC \h \z \t "Table Caption,1" </w:instrText>
      </w:r>
      <w:r>
        <w:fldChar w:fldCharType="separate"/>
      </w:r>
      <w:hyperlink w:anchor="v11_161"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5</w:t>
        </w:r>
      </w:hyperlink>
    </w:p>
    <w:p>
      <w:pPr>
        <w:pStyle w:val="TableList"/>
      </w:pPr>
      <w:hyperlink w:anchor="v11_163"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8</w:t>
        </w:r>
      </w:hyperlink>
    </w:p>
    <w:p>
      <w:pPr>
        <w:pStyle w:val="TableList"/>
      </w:pPr>
      <w:hyperlink w:anchor="v11_164"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10</w:t>
        </w:r>
      </w:hyperlink>
    </w:p>
    <w:p>
      <w:pPr>
        <w:pStyle w:val="TableList"/>
      </w:pPr>
      <w:hyperlink w:anchor="v11_165" w:history="1">
        <w:r>
          <w:rPr>
            <w:rFonts w:ascii="Times New Roman" w:hAnsi="Times New Roman" w:eastAsia="Songti SC"/>
            <w:color w:val="000000"/>
            <w:sz w:val="22"/>
          </w:rPr>
          <w:t>表2-2 公共配置与评价规模（人工情景）</w:t>
        </w:r>
        <w:r>
          <w:rPr>
            <w:rFonts w:ascii="Times New Roman" w:hAnsi="Times New Roman" w:eastAsia="Songti SC"/>
            <w:color w:val="000000"/>
            <w:sz w:val="22"/>
          </w:rPr>
          <w:tab/>
          <w:t>14</w:t>
        </w:r>
      </w:hyperlink>
    </w:p>
    <w:p>
      <w:pPr>
        <w:pStyle w:val="TableList"/>
      </w:pPr>
      <w:hyperlink w:anchor="v11_167" w:history="1">
        <w:r>
          <w:rPr>
            <w:rFonts w:ascii="Times New Roman" w:hAnsi="Times New Roman" w:eastAsia="Songti SC"/>
            <w:color w:val="000000"/>
            <w:sz w:val="22"/>
          </w:rPr>
          <w:t>表3-1 关系保持改写的组件示意</w:t>
        </w:r>
        <w:r>
          <w:rPr>
            <w:rFonts w:ascii="Times New Roman" w:hAnsi="Times New Roman" w:eastAsia="Songti SC"/>
            <w:color w:val="000000"/>
            <w:sz w:val="22"/>
          </w:rPr>
          <w:tab/>
          <w:t>19</w:t>
        </w:r>
      </w:hyperlink>
    </w:p>
    <w:p>
      <w:pPr>
        <w:pStyle w:val="TableList"/>
      </w:pPr>
      <w:hyperlink w:anchor="v11_171" w:history="1">
        <w:r>
          <w:rPr>
            <w:rFonts w:ascii="Times New Roman" w:hAnsi="Times New Roman" w:eastAsia="Songti SC"/>
            <w:color w:val="000000"/>
            <w:sz w:val="22"/>
          </w:rPr>
          <w:t>表3-2 训练侧对照与归因条件</w:t>
        </w:r>
        <w:r>
          <w:rPr>
            <w:rFonts w:ascii="Times New Roman" w:hAnsi="Times New Roman" w:eastAsia="Songti SC"/>
            <w:color w:val="000000"/>
            <w:sz w:val="22"/>
          </w:rPr>
          <w:tab/>
          <w:t>28</w:t>
        </w:r>
      </w:hyperlink>
    </w:p>
    <w:p>
      <w:pPr>
        <w:pStyle w:val="TableList"/>
      </w:pPr>
      <w:hyperlink w:anchor="v11_172" w:history="1">
        <w:r>
          <w:rPr>
            <w:rFonts w:ascii="Times New Roman" w:hAnsi="Times New Roman" w:eastAsia="Songti SC"/>
            <w:color w:val="000000"/>
            <w:sz w:val="22"/>
          </w:rPr>
          <w:t>表3-3 接受样本的标签漂移率（%）（人工情景）</w:t>
        </w:r>
        <w:r>
          <w:rPr>
            <w:rFonts w:ascii="Times New Roman" w:hAnsi="Times New Roman" w:eastAsia="Songti SC"/>
            <w:color w:val="000000"/>
            <w:sz w:val="22"/>
          </w:rPr>
          <w:tab/>
          <w:t>29</w:t>
        </w:r>
      </w:hyperlink>
    </w:p>
    <w:p>
      <w:pPr>
        <w:pStyle w:val="TableList"/>
      </w:pPr>
      <w:hyperlink w:anchor="v11_173" w:history="1">
        <w:r>
          <w:rPr>
            <w:rFonts w:ascii="Times New Roman" w:hAnsi="Times New Roman" w:eastAsia="Songti SC"/>
            <w:color w:val="000000"/>
            <w:sz w:val="22"/>
          </w:rPr>
          <w:t>表3-4 接受与拒绝样本的因素漂移审计（人工情景）</w:t>
        </w:r>
        <w:r>
          <w:rPr>
            <w:rFonts w:ascii="Times New Roman" w:hAnsi="Times New Roman" w:eastAsia="Songti SC"/>
            <w:color w:val="000000"/>
            <w:sz w:val="22"/>
          </w:rPr>
          <w:tab/>
          <w:t>30</w:t>
        </w:r>
      </w:hyperlink>
    </w:p>
    <w:p>
      <w:pPr>
        <w:pStyle w:val="TableList"/>
      </w:pPr>
      <w:hyperlink w:anchor="v11_174" w:history="1">
        <w:r>
          <w:rPr>
            <w:rFonts w:ascii="Times New Roman" w:hAnsi="Times New Roman" w:eastAsia="Songti SC"/>
            <w:color w:val="000000"/>
            <w:sz w:val="22"/>
          </w:rPr>
          <w:t>表3-5 训练方案的严格抽取结果（匹配训练规模）（人工情景）</w:t>
        </w:r>
        <w:r>
          <w:rPr>
            <w:rFonts w:ascii="Times New Roman" w:hAnsi="Times New Roman" w:eastAsia="Songti SC"/>
            <w:color w:val="000000"/>
            <w:sz w:val="22"/>
          </w:rPr>
          <w:tab/>
          <w:t>31</w:t>
        </w:r>
      </w:hyperlink>
    </w:p>
    <w:p>
      <w:pPr>
        <w:pStyle w:val="TableList"/>
      </w:pPr>
      <w:hyperlink w:anchor="v11_175" w:history="1">
        <w:r>
          <w:rPr>
            <w:rFonts w:ascii="Times New Roman" w:hAnsi="Times New Roman" w:eastAsia="Songti SC"/>
            <w:color w:val="000000"/>
            <w:sz w:val="22"/>
          </w:rPr>
          <w:t>表3-6 相同增强集合上的学习目标比较（匹配训练规模）（人工情景）</w:t>
        </w:r>
        <w:r>
          <w:rPr>
            <w:rFonts w:ascii="Times New Roman" w:hAnsi="Times New Roman" w:eastAsia="Songti SC"/>
            <w:color w:val="000000"/>
            <w:sz w:val="22"/>
          </w:rPr>
          <w:tab/>
          <w:t>31</w:t>
        </w:r>
      </w:hyperlink>
    </w:p>
    <w:p>
      <w:pPr>
        <w:pStyle w:val="TableList"/>
      </w:pPr>
      <w:hyperlink w:anchor="v11_177" w:history="1">
        <w:r>
          <w:rPr>
            <w:rFonts w:ascii="Times New Roman" w:hAnsi="Times New Roman" w:eastAsia="Songti SC"/>
            <w:color w:val="000000"/>
            <w:sz w:val="22"/>
          </w:rPr>
          <w:t>表3-7 中心匹配的有效覆盖与自匹配（人工情景）</w:t>
        </w:r>
        <w:r>
          <w:rPr>
            <w:rFonts w:ascii="Times New Roman" w:hAnsi="Times New Roman" w:eastAsia="Songti SC"/>
            <w:color w:val="000000"/>
            <w:sz w:val="22"/>
          </w:rPr>
          <w:tab/>
          <w:t>32</w:t>
        </w:r>
      </w:hyperlink>
    </w:p>
    <w:p>
      <w:pPr>
        <w:pStyle w:val="TableList"/>
      </w:pPr>
      <w:hyperlink w:anchor="v11_178" w:history="1">
        <w:r>
          <w:rPr>
            <w:rFonts w:ascii="Times New Roman" w:hAnsi="Times New Roman" w:eastAsia="Songti SC"/>
            <w:color w:val="000000"/>
            <w:sz w:val="22"/>
          </w:rPr>
          <w:t>表3-8 结论中心与匹配随机中心的比较（匹配训练规模）（人工情景）</w:t>
        </w:r>
        <w:r>
          <w:rPr>
            <w:rFonts w:ascii="Times New Roman" w:hAnsi="Times New Roman" w:eastAsia="Songti SC"/>
            <w:color w:val="000000"/>
            <w:sz w:val="22"/>
          </w:rPr>
          <w:tab/>
          <w:t>33</w:t>
        </w:r>
      </w:hyperlink>
    </w:p>
    <w:p>
      <w:pPr>
        <w:pStyle w:val="TableList"/>
      </w:pPr>
      <w:hyperlink w:anchor="v11_179" w:history="1">
        <w:r>
          <w:rPr>
            <w:rFonts w:ascii="Times New Roman" w:hAnsi="Times New Roman" w:eastAsia="Songti SC"/>
            <w:color w:val="000000"/>
            <w:sz w:val="22"/>
          </w:rPr>
          <w:t>表3-9 固定尝试预算下的覆盖与构造成本（人工情景）</w:t>
        </w:r>
        <w:r>
          <w:rPr>
            <w:rFonts w:ascii="Times New Roman" w:hAnsi="Times New Roman" w:eastAsia="Songti SC"/>
            <w:color w:val="000000"/>
            <w:sz w:val="22"/>
          </w:rPr>
          <w:tab/>
          <w:t>33</w:t>
        </w:r>
      </w:hyperlink>
    </w:p>
    <w:p>
      <w:pPr>
        <w:pStyle w:val="TableList"/>
      </w:pPr>
      <w:hyperlink w:anchor="v11_184" w:history="1">
        <w:r>
          <w:rPr>
            <w:rFonts w:ascii="Times New Roman" w:hAnsi="Times New Roman" w:eastAsia="Songti SC"/>
            <w:color w:val="000000"/>
            <w:sz w:val="22"/>
          </w:rPr>
          <w:t>表4-1 推理方法的修改对象与决策接口</w:t>
        </w:r>
        <w:r>
          <w:rPr>
            <w:rFonts w:ascii="Times New Roman" w:hAnsi="Times New Roman" w:eastAsia="Songti SC"/>
            <w:color w:val="000000"/>
            <w:sz w:val="22"/>
          </w:rPr>
          <w:tab/>
          <w:t>50</w:t>
        </w:r>
      </w:hyperlink>
    </w:p>
    <w:p>
      <w:pPr>
        <w:pStyle w:val="TableList"/>
      </w:pPr>
      <w:hyperlink w:anchor="v11_185" w:history="1">
        <w:r>
          <w:rPr>
            <w:rFonts w:ascii="Times New Roman" w:hAnsi="Times New Roman" w:eastAsia="Songti SC"/>
            <w:color w:val="000000"/>
            <w:sz w:val="22"/>
          </w:rPr>
          <w:t>表4-2 推理侧对照及归因</w:t>
        </w:r>
        <w:r>
          <w:rPr>
            <w:rFonts w:ascii="Times New Roman" w:hAnsi="Times New Roman" w:eastAsia="Songti SC"/>
            <w:color w:val="000000"/>
            <w:sz w:val="22"/>
          </w:rPr>
          <w:tab/>
          <w:t>51</w:t>
        </w:r>
      </w:hyperlink>
    </w:p>
    <w:p>
      <w:pPr>
        <w:pStyle w:val="TableList"/>
      </w:pPr>
      <w:hyperlink w:anchor="v11_186" w:history="1">
        <w:r>
          <w:rPr>
            <w:rFonts w:ascii="Times New Roman" w:hAnsi="Times New Roman" w:eastAsia="Songti SC"/>
            <w:color w:val="000000"/>
            <w:sz w:val="22"/>
          </w:rPr>
          <w:t>表4-3 推理方法的严格抽取结果（人工情景）</w:t>
        </w:r>
        <w:r>
          <w:rPr>
            <w:rFonts w:ascii="Times New Roman" w:hAnsi="Times New Roman" w:eastAsia="Songti SC"/>
            <w:color w:val="000000"/>
            <w:sz w:val="22"/>
          </w:rPr>
          <w:tab/>
          <w:t>52</w:t>
        </w:r>
      </w:hyperlink>
    </w:p>
    <w:p>
      <w:pPr>
        <w:pStyle w:val="TableList"/>
      </w:pPr>
      <w:hyperlink w:anchor="v11_187" w:history="1">
        <w:r>
          <w:rPr>
            <w:rFonts w:ascii="Times New Roman" w:hAnsi="Times New Roman" w:eastAsia="Songti SC"/>
            <w:color w:val="000000"/>
            <w:sz w:val="22"/>
          </w:rPr>
          <w:t>表4-4 从完整组件到完整关系的候选覆盖（人工情景）</w:t>
        </w:r>
        <w:r>
          <w:rPr>
            <w:rFonts w:ascii="Times New Roman" w:hAnsi="Times New Roman" w:eastAsia="Songti SC"/>
            <w:color w:val="000000"/>
            <w:sz w:val="22"/>
          </w:rPr>
          <w:tab/>
          <w:t>54</w:t>
        </w:r>
      </w:hyperlink>
    </w:p>
    <w:p>
      <w:pPr>
        <w:pStyle w:val="TableList"/>
      </w:pPr>
      <w:hyperlink w:anchor="v11_188" w:history="1">
        <w:r>
          <w:rPr>
            <w:rFonts w:ascii="Times New Roman" w:hAnsi="Times New Roman" w:eastAsia="Songti SC"/>
            <w:color w:val="000000"/>
            <w:sz w:val="22"/>
          </w:rPr>
          <w:t>表4-5 三类恢复空间的关系计数诊断（人工情景）</w:t>
        </w:r>
        <w:r>
          <w:rPr>
            <w:rFonts w:ascii="Times New Roman" w:hAnsi="Times New Roman" w:eastAsia="Songti SC"/>
            <w:color w:val="000000"/>
            <w:sz w:val="22"/>
          </w:rPr>
          <w:tab/>
          <w:t>54</w:t>
        </w:r>
      </w:hyperlink>
    </w:p>
    <w:p>
      <w:pPr>
        <w:pStyle w:val="TableList"/>
      </w:pPr>
      <w:hyperlink w:anchor="v11_189" w:history="1">
        <w:r>
          <w:rPr>
            <w:rFonts w:ascii="Times New Roman" w:hAnsi="Times New Roman" w:eastAsia="Songti SC"/>
            <w:color w:val="000000"/>
            <w:sz w:val="22"/>
          </w:rPr>
          <w:t>表4-6 完整对象评分的区分与校准（人工情景）</w:t>
        </w:r>
        <w:r>
          <w:rPr>
            <w:rFonts w:ascii="Times New Roman" w:hAnsi="Times New Roman" w:eastAsia="Songti SC"/>
            <w:color w:val="000000"/>
            <w:sz w:val="22"/>
          </w:rPr>
          <w:tab/>
          <w:t>55</w:t>
        </w:r>
      </w:hyperlink>
    </w:p>
    <w:p>
      <w:pPr>
        <w:pStyle w:val="TableList"/>
      </w:pPr>
      <w:hyperlink w:anchor="v11_190" w:history="1">
        <w:r>
          <w:rPr>
            <w:rFonts w:ascii="Times New Roman" w:hAnsi="Times New Roman" w:eastAsia="Songti SC"/>
            <w:color w:val="000000"/>
            <w:sz w:val="22"/>
          </w:rPr>
          <w:t>表4-7 关系恢复与误改的累计计数（人工情景）</w:t>
        </w:r>
        <w:r>
          <w:rPr>
            <w:rFonts w:ascii="Times New Roman" w:hAnsi="Times New Roman" w:eastAsia="Songti SC"/>
            <w:color w:val="000000"/>
            <w:sz w:val="22"/>
          </w:rPr>
          <w:tab/>
          <w:t>56</w:t>
        </w:r>
      </w:hyperlink>
    </w:p>
    <w:p>
      <w:pPr>
        <w:pStyle w:val="TableList"/>
      </w:pPr>
      <w:hyperlink w:anchor="v11_192" w:history="1">
        <w:r>
          <w:rPr>
            <w:rFonts w:ascii="Times New Roman" w:hAnsi="Times New Roman" w:eastAsia="Songti SC"/>
            <w:color w:val="000000"/>
            <w:sz w:val="22"/>
          </w:rPr>
          <w:t>表4-8 推理成本与预算取舍（人工情景）</w:t>
        </w:r>
        <w:r>
          <w:rPr>
            <w:rFonts w:ascii="Times New Roman" w:hAnsi="Times New Roman" w:eastAsia="Songti SC"/>
            <w:color w:val="000000"/>
            <w:sz w:val="22"/>
          </w:rPr>
          <w:tab/>
          <w:t>57</w:t>
        </w:r>
      </w:hyperlink>
    </w:p>
    <w:p>
      <w:pPr>
        <w:pStyle w:val="TableList"/>
      </w:pPr>
      <w:hyperlink w:anchor="v11_194" w:history="1">
        <w:r>
          <w:rPr>
            <w:rFonts w:ascii="Times New Roman" w:hAnsi="Times New Roman" w:eastAsia="Songti SC"/>
            <w:color w:val="000000"/>
            <w:sz w:val="22"/>
          </w:rPr>
          <w:t>表4-9 结构恢复与失败案例（人工情景）</w:t>
        </w:r>
        <w:r>
          <w:rPr>
            <w:rFonts w:ascii="Times New Roman" w:hAnsi="Times New Roman" w:eastAsia="Songti SC"/>
            <w:color w:val="000000"/>
            <w:sz w:val="22"/>
          </w:rPr>
          <w:tab/>
          <w:t>59</w:t>
        </w:r>
      </w:hyperlink>
    </w:p>
    <w:p>
      <w:pPr>
        <w:pStyle w:val="TableList"/>
      </w:pPr>
      <w:hyperlink w:anchor="v11_195" w:history="1">
        <w:r>
          <w:rPr>
            <w:rFonts w:ascii="Times New Roman" w:hAnsi="Times New Roman" w:eastAsia="Songti SC"/>
            <w:color w:val="000000"/>
            <w:sz w:val="22"/>
          </w:rPr>
          <w:t>表5-1 两阶段组合的四格结果（人工情景）</w:t>
        </w:r>
        <w:r>
          <w:rPr>
            <w:rFonts w:ascii="Times New Roman" w:hAnsi="Times New Roman" w:eastAsia="Songti SC"/>
            <w:color w:val="000000"/>
            <w:sz w:val="22"/>
          </w:rPr>
          <w:tab/>
          <w:t>60</w:t>
        </w:r>
      </w:hyperlink>
    </w:p>
    <w:p>
      <w:pPr>
        <w:pStyle w:val="TableList"/>
      </w:pPr>
      <w:hyperlink w:anchor="v11_196" w:history="1">
        <w:r>
          <w:rPr>
            <w:rFonts w:ascii="Times New Roman" w:hAnsi="Times New Roman" w:eastAsia="Songti SC"/>
            <w:color w:val="000000"/>
            <w:sz w:val="22"/>
          </w:rPr>
          <w:t>表5-2 条件增量与交互差（人工情景）</w:t>
        </w:r>
        <w:r>
          <w:rPr>
            <w:rFonts w:ascii="Times New Roman" w:hAnsi="Times New Roman" w:eastAsia="Songti SC"/>
            <w:color w:val="000000"/>
            <w:sz w:val="22"/>
          </w:rPr>
          <w:tab/>
          <w:t>60</w:t>
        </w:r>
      </w:hyperlink>
    </w:p>
    <w:p>
      <w:pPr>
        <w:pStyle w:val="TableList"/>
      </w:pPr>
      <w:hyperlink w:anchor="v11_198" w:history="1">
        <w:r>
          <w:rPr>
            <w:rFonts w:ascii="Times New Roman" w:hAnsi="Times New Roman" w:eastAsia="Songti SC"/>
            <w:color w:val="000000"/>
            <w:sz w:val="22"/>
          </w:rPr>
          <w:t>表5-3 四格比较的净错误计数变化（人工情景）</w:t>
        </w:r>
        <w:r>
          <w:rPr>
            <w:rFonts w:ascii="Times New Roman" w:hAnsi="Times New Roman" w:eastAsia="Songti SC"/>
            <w:color w:val="000000"/>
            <w:sz w:val="22"/>
          </w:rPr>
          <w:tab/>
          <w:t>61</w:t>
        </w:r>
      </w:hyperlink>
    </w:p>
    <w:p>
      <w:pPr>
        <w:pStyle w:val="TableList"/>
      </w:pPr>
      <w:hyperlink w:anchor="v11_199" w:history="1">
        <w:r>
          <w:rPr>
            <w:rFonts w:ascii="Times New Roman" w:hAnsi="Times New Roman" w:eastAsia="Songti SC"/>
            <w:color w:val="000000"/>
            <w:sz w:val="22"/>
          </w:rPr>
          <w:t>表5-4 相对共同起点的关系增量与在线额外时间（人工情景）</w:t>
        </w:r>
        <w:r>
          <w:rPr>
            <w:rFonts w:ascii="Times New Roman" w:hAnsi="Times New Roman" w:eastAsia="Songti SC"/>
            <w:color w:val="000000"/>
            <w:sz w:val="22"/>
          </w:rPr>
          <w:tab/>
          <w:t>62</w:t>
        </w:r>
      </w:hyperlink>
    </w:p>
    <w:p>
      <w:pPr>
        <w:pStyle w:val="TableList"/>
      </w:pPr>
      <w:hyperlink w:anchor="v11_200" w:history="1">
        <w:r>
          <w:rPr>
            <w:rFonts w:ascii="Times New Roman" w:hAnsi="Times New Roman" w:eastAsia="Songti SC"/>
            <w:color w:val="000000"/>
            <w:sz w:val="22"/>
          </w:rPr>
          <w:t>表5-5 CDCP完整关系的源成员数分组（人工情景）</w:t>
        </w:r>
        <w:r>
          <w:rPr>
            <w:rFonts w:ascii="Times New Roman" w:hAnsi="Times New Roman" w:eastAsia="Songti SC"/>
            <w:color w:val="000000"/>
            <w:sz w:val="22"/>
          </w:rPr>
          <w:tab/>
          <w:t>63</w:t>
        </w:r>
      </w:hyperlink>
    </w:p>
    <w:p>
      <w:pPr>
        <w:pStyle w:val="TableList"/>
      </w:pPr>
      <w:hyperlink w:anchor="v11_201"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70</w:t>
        </w:r>
      </w:hyperlink>
    </w:p>
    <w:p>
      <w:pPr>
        <w:pStyle w:val="TableList"/>
      </w:pPr>
      <w:hyperlink w:anchor="v11_202" w:history="1">
        <w:r>
          <w:rPr>
            <w:rFonts w:ascii="Times New Roman" w:hAnsi="Times New Roman" w:eastAsia="Songti SC"/>
            <w:color w:val="000000"/>
            <w:sz w:val="22"/>
          </w:rPr>
          <w:t>表A-2 本版参考配置</w:t>
        </w:r>
        <w:r>
          <w:rPr>
            <w:rFonts w:ascii="Times New Roman" w:hAnsi="Times New Roman" w:eastAsia="Songti SC"/>
            <w:color w:val="000000"/>
            <w:sz w:val="22"/>
          </w:rPr>
          <w:tab/>
          <w:t>71</w:t>
        </w:r>
      </w:hyperlink>
    </w:p>
    <w:p>
      <w:pPr>
        <w:pStyle w:val="TableList"/>
      </w:pPr>
      <w:hyperlink w:anchor="v11_203" w:history="1">
        <w:r>
          <w:rPr>
            <w:rFonts w:ascii="Times New Roman" w:hAnsi="Times New Roman" w:eastAsia="Songti SC"/>
            <w:color w:val="000000"/>
            <w:sz w:val="22"/>
          </w:rPr>
          <w:t>表B-1 提议评估与提交的预算判定</w:t>
        </w:r>
        <w:r>
          <w:rPr>
            <w:rFonts w:ascii="Times New Roman" w:hAnsi="Times New Roman" w:eastAsia="Songti SC"/>
            <w:color w:val="000000"/>
            <w:sz w:val="22"/>
          </w:rPr>
          <w:tab/>
          <w:t>75</w:t>
        </w:r>
      </w:hyperlink>
    </w:p>
    <w:p>
      <w:pPr>
        <w:pStyle w:val="TableList"/>
      </w:pPr>
      <w:hyperlink w:anchor="v11_204"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82</w:t>
        </w:r>
      </w:hyperlink>
    </w:p>
    <w:p>
      <w:pPr>
        <w:pStyle w:val="TableList"/>
      </w:pPr>
      <w:hyperlink w:anchor="v11_205"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82</w:t>
        </w:r>
      </w:hyperlink>
    </w:p>
    <w:p>
      <w:pPr>
        <w:pStyle w:val="TableList"/>
      </w:pPr>
      <w:hyperlink w:anchor="v11_206"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83</w:t>
        </w:r>
      </w:hyperlink>
    </w:p>
    <w:p>
      <w:pPr>
        <w:pStyle w:val="TableList"/>
      </w:pPr>
      <w:hyperlink w:anchor="v11_207"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83</w:t>
        </w:r>
      </w:hyperlink>
    </w:p>
    <w:p>
      <w:pPr>
        <w:pStyle w:val="TableList"/>
      </w:pPr>
      <w:hyperlink w:anchor="v11_208"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84</w:t>
        </w:r>
      </w:hyperlink>
    </w:p>
    <w:p>
      <w:pPr>
        <w:pStyle w:val="TableList"/>
      </w:pPr>
      <w:hyperlink w:anchor="v11_209"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84</w:t>
        </w:r>
      </w:hyperlink>
    </w:p>
    <w:p>
      <w:pPr>
        <w:pStyle w:val="TableList"/>
      </w:pPr>
      <w:hyperlink w:anchor="v11_210"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84</w:t>
        </w:r>
      </w:hyperlink>
    </w:p>
    <w:p>
      <w:pPr>
        <w:pStyle w:val="TableList"/>
      </w:pPr>
      <w:hyperlink w:anchor="v11_211"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85</w:t>
        </w:r>
      </w:hyperlink>
    </w:p>
    <w:p>
      <w:pPr>
        <w:pStyle w:val="TableList"/>
      </w:pPr>
      <w:hyperlink w:anchor="v11_212"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86</w:t>
        </w:r>
      </w:hyperlink>
    </w:p>
    <w:p>
      <w:pPr>
        <w:pStyle w:val="TableList"/>
      </w:pPr>
      <w:hyperlink w:anchor="v11_213"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87</w:t>
        </w:r>
      </w:hyperlink>
    </w:p>
    <w:p>
      <w:pPr>
        <w:pStyle w:val="TableList"/>
      </w:pPr>
      <w:hyperlink w:anchor="v11_214"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89</w:t>
        </w:r>
      </w:hyperlink>
    </w:p>
    <w:p>
      <w:pPr>
        <w:pStyle w:val="TableList"/>
      </w:pPr>
      <w:hyperlink w:anchor="v11_215" w:history="1">
        <w:r>
          <w:rPr>
            <w:rFonts w:ascii="Times New Roman" w:hAnsi="Times New Roman" w:eastAsia="Songti SC"/>
            <w:color w:val="000000"/>
            <w:sz w:val="22"/>
          </w:rPr>
          <w:t>表G-1 外部研究候选与本稿比较用途</w:t>
        </w:r>
        <w:r>
          <w:rPr>
            <w:rFonts w:ascii="Times New Roman" w:hAnsi="Times New Roman" w:eastAsia="Songti SC"/>
            <w:color w:val="000000"/>
            <w:sz w:val="22"/>
          </w:rPr>
          <w:tab/>
          <w:t>90</w:t>
        </w:r>
      </w:hyperlink>
    </w:p>
    <w:p>
      <w:pPr>
        <w:pStyle w:val="TableList"/>
      </w:pPr>
      <w:hyperlink w:anchor="v11_216" w:history="1">
        <w:r>
          <w:rPr>
            <w:rFonts w:ascii="Times New Roman" w:hAnsi="Times New Roman" w:eastAsia="Songti SC"/>
            <w:color w:val="000000"/>
            <w:sz w:val="22"/>
          </w:rPr>
          <w:t>表G-2 当前数据构造对照的适配范围</w:t>
        </w:r>
        <w:r>
          <w:rPr>
            <w:rFonts w:ascii="Times New Roman" w:hAnsi="Times New Roman" w:eastAsia="Songti SC"/>
            <w:color w:val="000000"/>
            <w:sz w:val="22"/>
          </w:rPr>
          <w:tab/>
          <w:t>91</w:t>
        </w:r>
      </w:hyperlink>
    </w:p>
    <w:p>
      <w:pPr>
        <w:pStyle w:val="TableList"/>
      </w:pPr>
      <w:hyperlink w:anchor="v11_217" w:history="1">
        <w:r>
          <w:rPr>
            <w:rFonts w:ascii="Times New Roman" w:hAnsi="Times New Roman" w:eastAsia="Songti SC"/>
            <w:color w:val="000000"/>
            <w:sz w:val="22"/>
          </w:rPr>
          <w:t>表H-1 固定尝试轨训练成本存档（人工情景）</w:t>
        </w:r>
        <w:r>
          <w:rPr>
            <w:rFonts w:ascii="Times New Roman" w:hAnsi="Times New Roman" w:eastAsia="Songti SC"/>
            <w:color w:val="000000"/>
            <w:sz w:val="22"/>
          </w:rPr>
          <w:tab/>
          <w:t>94</w:t>
        </w:r>
      </w:hyperlink>
      <w:r>
        <w:fldChar w:fldCharType="end"/>
      </w:r>
    </w:p>
    <w:p>
      <w:pPr>
        <w:sectPr>
          <w:headerReference w:type="default" r:id="rId141"/>
          <w:footerReference w:type="default" r:id="rId142"/>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11_12"/>
      <w:bookmarkEnd w:id="12"/>
    </w:p>
    <w:p>
      <w:pPr>
        <w:pStyle w:val="Heading2"/>
      </w:pPr>
      <w:r>
        <w:t>1.1 研究背景与问题提出</w:t>
      </w:r>
      <w:bookmarkStart w:id="13" w:name="v11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384344"/>
            <wp:docPr id="1" name="argument_example.png" descr="原文到组件与关系的论辩挖掘示意"/>
            <wp:cNvGraphicFramePr>
              <a:graphicFrameLocks noChangeAspect="1"/>
            </wp:cNvGraphicFramePr>
            <a:graphic>
              <a:graphicData uri="http://schemas.openxmlformats.org/drawingml/2006/picture">
                <pic:pic>
                  <pic:nvPicPr>
                    <pic:cNvPr id="0" name="argument_example.png"/>
                    <pic:cNvPicPr/>
                  </pic:nvPicPr>
                  <pic:blipFill>
                    <a:blip r:embed="rId145"/>
                    <a:stretch>
                      <a:fillRect/>
                    </a:stretch>
                  </pic:blipFill>
                  <pic:spPr>
                    <a:xfrm>
                      <a:off x="0" y="0"/>
                      <a:ext cx="5652770" cy="3384344"/>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60" w:name="v11_160"/>
      <w:bookmarkEnd w:id="160"/>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开展分别作用于两个阶段的研究：训练阶段保持文本改写后的关系监督，推理阶段恢复预测修改后的依赖结构。两项研究以真实文本上的严格组件和关系评价为共同依据，并分别考察收益、失败情形与计算代价。</w:t>
      </w:r>
    </w:p>
    <w:p>
      <w:r>
        <w:rPr>
          <w:rFonts w:ascii="Times New Roman" w:hAnsi="Times New Roman" w:eastAsia="Songti SC"/>
          <w:color w:val="000000"/>
        </w:rPr>
        <w:t>这两类依赖错误是否具有足够规模，是采用复杂机制的前提。关系影响域检查应与简单改写检查比较，集合修正应与固定组件的纯关系修正比较；若简单方法已覆盖主要问题，复杂设计就应收缩。当前人工情景不建立真实问题发生率，诊断方案集中于附录H.1。</w:t>
      </w:r>
    </w:p>
    <w:p>
      <w:pPr>
        <w:pStyle w:val="Heading2"/>
      </w:pPr>
      <w:r>
        <w:t>1.2 国内外研究现状</w:t>
      </w:r>
      <w:bookmarkStart w:id="14" w:name="v11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11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论文的成对学习另以同一原文及其经过检查的改写为对应单位。统一生成、辅助目标与对应约束解决的问题有所联系，其比较需要固定输入及完整对象评价，而不能仅按是否使用大模型分类。</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11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槽位化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QOS与同文提出的多样性导向合成DOS分别提供质量和多样性的参照[35]；本文的QOS式适配只继承其中的槽位化改写思想，不能代表两种方案或原论文完整系统的复现。2026年10月公开的对抗强化学习合成研究交替优化生成器与判别器，生成新的文本—结构标注对[49]。结构质量与多样性的联合考虑已有直接近邻，不能作为本文排他的研究空白。本文限定为保留原图监督的局部改写，其增量分别由关系影响域检查和对应因素学习的对照检验。两类数据构造目标不同，比较时先统一训练规模和下游抽取器，再解释结构新颖性与表达变化。</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11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11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61" w:name="v11_161"/>
      <w:bookmarkEnd w:id="16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已核对的原文归纳。外部对照选择进一步覆盖结构解析、文本生成、结构感知生成、动作生成与大模型系统，见附录G。系统层面的主要复现候选为Kawarada等的文本生成方法与UniASA；GMAM、DENIM作为结构生成补充，QOS／DOS作为数据构造近邻。选择依据是输入、表示及代码入口的可核对程度，而非仅选取较低的已发表分数。AAEC的stance处理、CDCP完整源集合和预测坐标仍须接入共同评价器后才确认可比性。其他语言和任务范围见附录A.3。</w:t>
      </w:r>
    </w:p>
    <w:p>
      <w:pPr>
        <w:pStyle w:val="Heading2"/>
      </w:pPr>
      <w:r>
        <w:t>1.3 研究问题与主要研究工作</w:t>
      </w:r>
      <w:bookmarkStart w:id="19" w:name="v11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12694"/>
            <wp:docPr id="2" name="research_relationship.png" descr="两项研究的共同问题与分工"/>
            <wp:cNvGraphicFramePr>
              <a:graphicFrameLocks noChangeAspect="1"/>
            </wp:cNvGraphicFramePr>
            <a:graphic>
              <a:graphicData uri="http://schemas.openxmlformats.org/drawingml/2006/picture">
                <pic:pic>
                  <pic:nvPicPr>
                    <pic:cNvPr id="0" name="research_relationship.png"/>
                    <pic:cNvPicPr/>
                  </pic:nvPicPr>
                  <pic:blipFill>
                    <a:blip r:embed="rId146"/>
                    <a:stretch>
                      <a:fillRect/>
                    </a:stretch>
                  </pic:blipFill>
                  <pic:spPr>
                    <a:xfrm>
                      <a:off x="0" y="0"/>
                      <a:ext cx="5652770" cy="3312694"/>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62" w:name="v11_162"/>
      <w:bookmarkEnd w:id="162"/>
    </w:p>
    <w:p>
      <w:pPr>
        <w:pStyle w:val="Heading3"/>
      </w:pPr>
      <w:r>
        <w:t>1.3.1 研究问题</w:t>
      </w:r>
      <w:bookmarkStart w:id="20" w:name="v11_20"/>
      <w:bookmarkEnd w:id="20"/>
    </w:p>
    <w:p>
      <w:r>
        <w:rPr>
          <w:rFonts w:ascii="Times New Roman" w:hAnsi="Times New Roman" w:eastAsia="Songti SC"/>
          <w:color w:val="000000"/>
        </w:rPr>
        <w:t>RQ1：按关系影响域检查局部改写中的正关系与NONE，并建立可靠的标注对应，能否在保留足够表达变化和源覆盖的条件下改善监督质量？在相同增强数据和训练预算上，成对因素学习能否进一步改善严格抽取结果？中心选择作为区域策略单独比较。</w:t>
      </w:r>
    </w:p>
    <w:p>
      <w:r>
        <w:rPr>
          <w:rFonts w:ascii="Times New Roman" w:hAnsi="Times New Roman" w:eastAsia="Songti SC"/>
          <w:color w:val="000000"/>
        </w:rPr>
        <w:t>RQ2：在共同候选、评分与任务约束下，组件集合替换和关系闭合能够处理哪些逐项修改难以处理的错误？与同条件全局ILP相比，局部事务在什么求解预算、端到端时限或变更控制要求下值得采用？候选覆盖、真实误改及决策代价共同决定结论。</w:t>
      </w:r>
    </w:p>
    <w:p>
      <w:r>
        <w:rPr>
          <w:rFonts w:ascii="Times New Roman" w:hAnsi="Times New Roman" w:eastAsia="Songti SC"/>
          <w:color w:val="000000"/>
        </w:rPr>
        <w:t>训练与推理的组合实验用于分析两项方法的互补性，两种原生任务的比较用于讨论适用边界，均不另列为第三项算法创新。</w:t>
      </w:r>
    </w:p>
    <w:p>
      <w:pPr>
        <w:pStyle w:val="Heading3"/>
      </w:pPr>
      <w:r>
        <w:t>1.3.2 主要研究内容</w:t>
      </w:r>
      <w:bookmarkStart w:id="21" w:name="v11_21"/>
      <w:bookmarkEnd w:id="21"/>
    </w:p>
    <w:p>
      <w:r>
        <w:rPr>
          <w:rFonts w:ascii="Times New Roman" w:hAnsi="Times New Roman" w:eastAsia="Songti SC"/>
          <w:color w:val="000000"/>
        </w:rPr>
        <w:t>（1）关系影响域约束的增强与成对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11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63" w:name="v11_163"/>
      <w:bookmarkEnd w:id="16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前期共同成果的来源见附录C.1。</w:t>
      </w:r>
    </w:p>
    <w:p>
      <w:pPr>
        <w:pStyle w:val="Heading2"/>
      </w:pPr>
      <w:r>
        <w:t>1.4 论文组织结构</w:t>
      </w:r>
      <w:bookmarkStart w:id="23" w:name="v11_23"/>
      <w:bookmarkEnd w:id="23"/>
    </w:p>
    <w:p>
      <w:r>
        <w:rPr>
          <w:rFonts w:ascii="Times New Roman" w:hAnsi="Times New Roman" w:eastAsia="Songti SC"/>
          <w:color w:val="000000"/>
        </w:rPr>
        <w:t>第一章从监督漂移与结构恢复两个问题出发，比较相关方法并明确成果归属。第二章统一原生任务、完整对象评价与公共协议。第三章研究关系影响域约束的增强与成对学习，区分数据构造、学习目标及中心选择。第四章研究依赖闭合事务，并以同评分全局求解检验其使用条件。第五章比较条件增量、净错误变化、在线配置与超边规模，并说明对象重叠和作用路径尚不能由聚合计数识别。第六章总结研究认识与适用范围。</w:t>
      </w:r>
    </w:p>
    <w:p>
      <w:r>
        <w:rPr>
          <w:rFonts w:ascii="Times New Roman" w:hAnsi="Times New Roman" w:eastAsia="Songti SC"/>
          <w:color w:val="000000"/>
        </w:rPr>
        <w:t>附录A、B集中保存坐标、序列化、执行边界及性质证明，附录C、D说明成果和构造材料，附录E保留历史数值，附录F提供阅读索引。附录G记录外部方法核查及接入协议，附录H集中未完成的诊断、表达变化、资源与对象分析方案。正文保留影响研究判断的定义与假设，完整实现细节按引用查阅。</w:t>
      </w:r>
    </w:p>
    <w:p>
      <w:pPr>
        <w:pStyle w:val="Heading1"/>
      </w:pPr>
      <w:r>
        <w:t>第二章 任务表示与方法基础</w:t>
      </w:r>
      <w:bookmarkStart w:id="24" w:name="v11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11_25"/>
      <w:bookmarkEnd w:id="25"/>
    </w:p>
    <w:p>
      <w:pPr>
        <w:pStyle w:val="Heading3"/>
      </w:pPr>
      <w:r>
        <w:t>2.1.1 组件及二元关系</w:t>
      </w:r>
      <w:bookmarkStart w:id="26" w:name="v11_26"/>
      <w:bookmarkEnd w:id="26"/>
    </w:p>
    <w:p>
      <w:r>
        <w:rPr>
          <w:rFonts w:ascii="Times New Roman" w:hAnsi="Times New Roman" w:eastAsia="Songti SC"/>
          <w:color w:val="000000"/>
        </w:rPr>
        <w:t>本章用</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表示固定评价分词器下的输入文档，其中</w:t>
      </w:r>
      <m:oMath>
        <m:sSub>
          <m:e>
            <m:r>
              <m:t xml:space="preserve">x</m:t>
            </m:r>
          </m:e>
          <m:sub>
            <m:r>
              <m:t xml:space="preserve">i</m:t>
            </m:r>
          </m:sub>
        </m:sSub>
      </m:oMath>
      <w:r>
        <w:rPr>
          <w:rFonts w:ascii="Times New Roman" w:hAnsi="Times New Roman" w:eastAsia="Songti SC"/>
          <w:color w:val="000000"/>
        </w:rPr>
        <w:t>为第</w:t>
      </w:r>
      <m:oMath>
        <m:r>
          <m:t xml:space="preserve">i</m:t>
        </m:r>
      </m:oMath>
      <w:r>
        <w:rPr>
          <w:rFonts w:ascii="Times New Roman" w:hAnsi="Times New Roman" w:eastAsia="Songti SC"/>
          <w:color w:val="000000"/>
        </w:rPr>
        <w:t>个评价token；第三、四章用</w:t>
      </w:r>
      <m:oMath>
        <m:r>
          <m:t xml:space="preserve">x</m:t>
        </m:r>
      </m:oMath>
      <w:r>
        <w:rPr>
          <w:rFonts w:ascii="Times New Roman" w:hAnsi="Times New Roman" w:eastAsia="Songti SC"/>
          <w:color w:val="000000"/>
        </w:rPr>
        <w:t>表示同一整篇输入。下文在涉及第四章的删除操作时明确写“删除集合</w:t>
      </w:r>
      <m:oMath>
        <m:r>
          <m:t xml:space="preserve">D</m:t>
        </m:r>
      </m:oMath>
      <w:r>
        <w:rPr>
          <w:rFonts w:ascii="Times New Roman" w:hAnsi="Times New Roman" w:eastAsia="Songti SC"/>
          <w:color w:val="000000"/>
        </w:rPr>
        <w:t>”，不以裸字母代指输入文档。组件定义为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11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64" w:name="v11_164"/>
      <w:bookmarkEnd w:id="16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用于第三章的增强中心选择与专项模块触发，不改变原生组件标签。第五章分别评价两种语料的原生任务，不将域内比较解释为跨域迁移。粗粒度跨域映射仅属于附录E的历史协议，不反向改变本章的原生金标。</w:t>
      </w:r>
    </w:p>
    <w:p>
      <w:pPr>
        <w:pStyle w:val="Heading2"/>
      </w:pPr>
      <w:r>
        <w:t>2.2 合法结构与对象身份</w:t>
      </w:r>
      <w:bookmarkStart w:id="28" w:name="v11_28"/>
      <w:bookmarkEnd w:id="28"/>
    </w:p>
    <w:p>
      <w:pPr>
        <w:pStyle w:val="Heading3"/>
      </w:pPr>
      <w:r>
        <w:t>2.2.1 语料约束与候选范围</w:t>
      </w:r>
      <w:bookmarkStart w:id="29" w:name="v11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11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组件序列化与关系引用采用固定字段顺序；类型门控只读取已经生成的前缀。完整示例、坐标往返和异常处理见附录A.6。统一sources字段只是表示入口，多前提任务还需候选、评分、优化与评价共同保留完整源集合。</w:t>
      </w:r>
    </w:p>
    <w:p>
      <w:pPr>
        <w:pStyle w:val="Heading2"/>
      </w:pPr>
      <w:r>
        <w:t>2.3 生成建模与参数高效适配</w:t>
      </w:r>
      <w:bookmarkStart w:id="31" w:name="v11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实际运行的权重revision、分词器及环境在2.6节统一记录。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11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11_33"/>
      <w:bookmarkEnd w:id="33"/>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。下式的</w:t>
      </w:r>
      <m:oMath>
        <m:r>
          <m:t xml:space="preserve">P</m:t>
        </m:r>
      </m:oMath>
      <w:r>
        <w:rPr>
          <w:rFonts w:ascii="Times New Roman" w:hAnsi="Times New Roman" w:eastAsia="Songti SC"/>
          <w:color w:val="000000"/>
        </w:rPr>
        <w:t>和</w:t>
      </w:r>
      <m:oMath>
        <m:r>
          <m:t xml:space="preserve">R</m:t>
        </m:r>
      </m:oMath>
      <w:r>
        <w:rPr>
          <w:rFonts w:ascii="Times New Roman" w:hAnsi="Times New Roman" w:eastAsia="Songti SC"/>
          <w:color w:val="000000"/>
        </w:rPr>
        <w:t>仅表示精确率与召回率，正文采用Precision和Recall指称这两个指标，以区别于第四章的关系候选池</w:t>
      </w:r>
      <m:oMath>
        <m:r>
          <m:t xml:space="preserve">P</m:t>
        </m:r>
      </m:oMath>
      <w:r>
        <w:rPr>
          <w:rFonts w:ascii="Times New Roman" w:hAnsi="Times New Roman" w:eastAsia="Songti SC"/>
          <w:color w:val="000000"/>
        </w:rPr>
        <w:t>及图中的关系集合</w:t>
      </w:r>
      <m:oMath>
        <m:r>
          <m:t xml:space="preserve">R</m:t>
        </m:r>
      </m:oMath>
      <w:r>
        <w:rPr>
          <w:rFonts w:ascii="Times New Roman" w:hAnsi="Times New Roman" w:eastAsia="Songti SC"/>
          <w:color w:val="000000"/>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11_34"/>
      <w:bookmarkEnd w:id="34"/>
    </w:p>
    <w:p>
      <w:pPr>
        <w:pStyle w:val="Heading3"/>
      </w:pPr>
      <w:r>
        <w:t>2.6.1 数据划分与使用范围</w:t>
      </w:r>
      <w:bookmarkStart w:id="35" w:name="v11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表2-2的320篇与580篇均为训练侧源文档总数，包含开发用途；独立评价文档分别为80篇与148篇。生成超参数和固定训练轮数在OOF候选生成前冻结。三折交叉拟合在训练侧进行，每折生成器与跨度头均排除持出源文档及其全部变体；T0和T1分别产生候选，覆盖各自错误分布。最终生成模型拟合全部训练侧源文档，独立评价标签不参与训练、提示调整或选择。</w:t>
      </w:r>
    </w:p>
    <w:p>
      <w:r>
        <w:rPr>
          <w:rFonts w:ascii="Times New Roman" w:hAnsi="Times New Roman" w:eastAsia="Songti SC"/>
          <w:color w:val="000000"/>
        </w:rPr>
        <w:t>评分器使用训练侧OOF记录，并按固定源文档分组进一步划分拟合、校准和策略选择用途。AAEC三部分为256、32、32篇，CDCP为464、58、58篇，组间没有共享原文或变体。校准部分只拟合概率变换，策略部分只选择阈值与预算；这些角色属于同一训练侧总量，不另增加隐含开发集。评分器及规则冻结后，才在独立评价集汇总最终结果。上述隔离针对信息使用路径，不能据此认定生成器与评分器的误差独立。</w:t>
      </w:r>
    </w:p>
    <w:p>
      <w:pPr>
        <w:pStyle w:val="Heading3"/>
      </w:pPr>
      <w:r>
        <w:t>2.6.2 运行配置与可复现记录</w:t>
      </w:r>
      <w:bookmarkStart w:id="36" w:name="v11_36"/>
      <w:bookmarkEnd w:id="36"/>
    </w:p>
    <w:p>
      <w:r>
        <w:rPr>
          <w:rFonts w:ascii="Times New Roman" w:hAnsi="Times New Roman" w:eastAsia="Songti SC"/>
          <w:color w:val="000000"/>
        </w:rPr>
        <w:t>实验采用统一骨干、源文档分组与严格评价，各种方法的变化集中在增强条件、学习目标或修正策略。表2-2固定计算配置和数据规模，全部结果按语料、方法和种子关联，跨章复用相同记录。</w:t>
      </w:r>
    </w:p>
    <w:p>
      <w:pPr>
        <w:pStyle w:val="TableCaption"/>
      </w:pPr>
      <w:r>
        <w:rPr>
          <w:rFonts w:ascii="Times New Roman" w:hAnsi="Times New Roman" w:eastAsia="Songti SC"/>
          <w:color w:val="000000"/>
          <w:sz w:val="21"/>
        </w:rPr>
        <w:t>表2-2 公共配置与评价规模（人工情景）</w:t>
      </w:r>
      <w:bookmarkStart w:id="165" w:name="v11_165"/>
      <w:bookmarkEnd w:id="16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项目</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统一设置</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使用说明</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骨干与适配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Qwen2.5-7B-Instruct；LoRA rank 16、alpha 32、dropout 0.05</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继承ICIC专项模块，基础权重冻结</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学习配置</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AdamW；学习率2×10⁻⁴；5个epoch；有效批量32源文档</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每批4源文档，累计8步，末批按有效文档数归一化</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长度与种子</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输入4096、输出2048；总上下文8192；种子17、29、43</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生成、训练及评价身份分别记录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材料规模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AAEC训练侧320、独立评价80；CDCP训练侧580、独立评价148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训练侧含拟合、校准与策略用途；按源文档分组</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匹配增强规模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500变体／0.82M token；CDCP 900／1.35M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同数据学习消融保持变体与更新条件一致</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评分评价对象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每语料组件2400、关系4800个完整对象</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用于表4-6的固定提案评价，不是全部训练对象数</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资源口径</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单张80GB设备；CPU 4线程；模型调用与求解分项计费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冷启动、缓存和一次性构造分开登记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局部与全局求解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AAEC每文档3秒，CDCP 5秒；大预算60／90秒</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单次上限不高于剩余总时限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外层与编辑预算</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每轮32次尝试、3次接受；最多4轮；组件24、关系96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尝试耗尽不禁止提交已评估的合格项</w:t>
            </w:r>
          </w:p>
        </w:tc>
      </w:tr>
    </w:tbl>
    <w:p>
      <w:pPr>
        <w:spacing w:after="0" w:line="240" w:lineRule="auto"/>
      </w:pPr>
    </w:p>
    <w:p>
      <w:r>
        <w:rPr>
          <w:rFonts w:ascii="Times New Roman" w:hAnsi="Times New Roman" w:eastAsia="Songti SC"/>
          <w:color w:val="000000"/>
        </w:rPr>
        <w:t>表中参数定义比较条件，不由测试结果反向选择。数据、配置、候选、结果和统计身份分别存放；正文只复用统一汇总入口。评价记录采用文档与种子配对，组件和关系分别保留TP、FP、FN，成本保留模型生成、对象评分及求解分项。附录A列出字段与复算关系。</w:t>
      </w:r>
    </w:p>
    <w:p>
      <w:pPr>
        <w:pStyle w:val="Heading3"/>
      </w:pPr>
      <w:r>
        <w:t>2.6.3 统计分析与计算成本</w:t>
      </w:r>
      <w:bookmarkStart w:id="37" w:name="v11_37"/>
      <w:bookmarkEnd w:id="37"/>
    </w:p>
    <w:p>
      <w:r>
        <w:rPr>
          <w:rFonts w:ascii="Times New Roman" w:hAnsi="Times New Roman" w:eastAsia="Songti SC"/>
          <w:color w:val="000000"/>
        </w:rPr>
        <w:t>核心比较固定17、29、43三个种子，均进入结果汇总。主指标为组件与严格关系micro-F1，跨种子报告均值与样本标准差；文档级配对重采样重复2000次，每次先汇总对象计数再计算micro-F1。重采样使用相同文档索引配对各方法和种子，得到固定三个种子条件下的文档不确定性，不将重复种子的同一文档视作新增独立文档。区间、效应量、持平、下降和失败配置采用同一报告口径。</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局部与全局ILP首先比较相同逐文档总求解预算，另以相同端到端时限评价部署条件；两种预算分别命名。软件、线程、缓存条件和共同准备开销保持一致，大预算结果不自动视为最优。核心比较包括相同增强集合上的成对项增量、BR-J与组件优先分步策略，以及BR-J与等求解预算全局ILP的差异。其余消融和交互用于解释机制。95%区间为固定三种子条件下逐比较的文档配对区间，未作多重比较校正；区间跨零不能解释为等效。完整求解状态、成本记录和统计规则见附录H.3。</w:t>
      </w:r>
    </w:p>
    <w:p>
      <w:pPr>
        <w:pStyle w:val="Heading2"/>
      </w:pPr>
      <w:r>
        <w:t>2.7 训练与推理的接口</w:t>
      </w:r>
      <w:bookmarkStart w:id="38" w:name="v11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3709058"/>
            <wp:docPr id="3" name="framework.png" descr="训练和推理的数据及模型接口"/>
            <wp:cNvGraphicFramePr>
              <a:graphicFrameLocks noChangeAspect="1"/>
            </wp:cNvGraphicFramePr>
            <a:graphic>
              <a:graphicData uri="http://schemas.openxmlformats.org/drawingml/2006/picture">
                <pic:pic>
                  <pic:nvPicPr>
                    <pic:cNvPr id="0" name="framework.png"/>
                    <pic:cNvPicPr/>
                  </pic:nvPicPr>
                  <pic:blipFill>
                    <a:blip r:embed="rId147"/>
                    <a:stretch>
                      <a:fillRect/>
                    </a:stretch>
                  </pic:blipFill>
                  <pic:spPr>
                    <a:xfrm>
                      <a:off x="0" y="0"/>
                      <a:ext cx="5652770" cy="3709058"/>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66" w:name="v11_166"/>
      <w:bookmarkEnd w:id="166"/>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11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关系影响域约束的增强与成对学习</w:t>
      </w:r>
      <w:bookmarkStart w:id="40" w:name="v11_40"/>
      <w:bookmarkEnd w:id="40"/>
    </w:p>
    <w:p>
      <w:pPr>
        <w:pStyle w:val="Heading2"/>
      </w:pPr>
      <w:r>
        <w:t>3.1 引言</w:t>
      </w:r>
      <w:bookmarkStart w:id="41" w:name="v11_41"/>
      <w:bookmarkEnd w:id="41"/>
    </w:p>
    <w:p>
      <w:r>
        <w:rPr>
          <w:rFonts w:ascii="Times New Roman" w:hAnsi="Times New Roman" w:eastAsia="Songti SC"/>
          <w:color w:val="000000"/>
        </w:rPr>
        <w:t>训练数据增强的关键问题，是文字发生变化后，组件角色与关系监督还能否被可靠继承。只看流畅度或组件含义，可能漏掉跨出改写区域的关系；只检查已有正关系，也可能遗漏原NONE组合被改写成支持关系的情况。关系影响域因此决定需要复核的对象，而原文与增强文的标注对应决定哪些监督可以共同学习。</w:t>
      </w:r>
    </w:p>
    <w:p>
      <w:r>
        <w:rPr>
          <w:rFonts w:ascii="Times New Roman" w:hAnsi="Times New Roman" w:eastAsia="Songti SC"/>
          <w:color w:val="000000"/>
        </w:rPr>
        <w:t>影响域检查覆盖内部正关系、跨边界正关系及相应NONE组合。该范围由监督依赖确定，但它是否比简单改写检查更有必要，仍取决于真实漂移、有效表达变化与源文档覆盖；诊断设计见附录H.1—H.2。</w:t>
      </w:r>
    </w:p>
    <w:p>
      <w:r>
        <w:rPr>
          <w:rFonts w:ascii="Times New Roman" w:hAnsi="Times New Roman" w:eastAsia="Songti SC"/>
          <w:color w:val="000000"/>
        </w:rPr>
        <w:t>本章提出关系影响域约束的增强与成对学习：按完整端点依赖检查改写，迁移通过检查的标注，再将两视图的组件与关系因素对应用于共享表示学习。结论优先是默认区域选择策略，其价值由匹配随机中心对照检验；即使中心差异不稳定，监督对应和成对学习仍有各自可检验的问题。前期结论专项适配、提示与句子监督提供生成基础[34]，LoRA、辅助头与JS散度作为实现机制说明。</w:t>
      </w:r>
    </w:p>
    <w:p>
      <w:r>
        <w:rPr>
          <w:rFonts w:ascii="Times New Roman" w:hAnsi="Times New Roman" w:eastAsia="Songti SC"/>
          <w:color w:val="000000"/>
        </w:rPr>
        <w:t>图书馆片段只解释可能的语义漂移。方法始终使用原生组件类型和完整关系：AAEC的stance不转换为普通边，CDCP的结论角色不改变原生类型。下文依次给出影响域、标注对应和学习目标，再分开分析数据构造与学习增量。</w:t>
      </w:r>
    </w:p>
    <w:p>
      <w:pPr>
        <w:pStyle w:val="Heading2"/>
      </w:pPr>
      <w:r>
        <w:t>3.2 前期专项建模基础</w:t>
      </w:r>
      <w:bookmarkStart w:id="42" w:name="v11_42"/>
      <w:bookmarkEnd w:id="42"/>
    </w:p>
    <w:p>
      <w:pPr>
        <w:pStyle w:val="Heading3"/>
      </w:pPr>
      <w:r>
        <w:t>3.2.1 类型条件低秩适配</w:t>
      </w:r>
      <w:bookmarkStart w:id="43" w:name="v11_43"/>
      <w:bookmarkEnd w:id="43"/>
    </w:p>
    <w:p>
      <w:r>
        <w:rPr>
          <w:rFonts w:ascii="Times New Roman" w:hAnsi="Times New Roman" w:eastAsia="Songti SC"/>
          <w:color w:val="000000"/>
        </w:rPr>
        <w:t xml:space="preserve">本节说明前期专项建模与新增学习目标的接口。模型采用 Qwen2.5-7B-Instruct，冻结基础权重，在注意力投影中保留全局和结论专项低秩分支；LoRA 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全局分支参与所有位置的计算，结论分支由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控制。字段按 id、type、span 排列；可见前缀中的结论类型值完整闭合后，门控在该组件的后续字段开启，并在组件结束时关闭。AAEC 和 CDCP 的触发类型分别为 Claim/MajorClaim 和 Policy/Value；输入、未闭合类型字段及关系区域均令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。教师强制训练也仅使用可见前缀。</w:t>
      </w:r>
    </w:p>
    <w:p>
      <w:r>
        <w:rPr>
          <w:rFonts w:ascii="Times New Roman" w:hAnsi="Times New Roman" w:eastAsia="Songti SC"/>
          <w:color w:val="000000"/>
        </w:rPr>
        <w:t xml:space="preserve">这一门控作用于类型确定后的跨度等字段，不回溯修改已输出类型。参考配置取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，以单一全局 rank-32 分支作为参数量匹配对照；实际计算成本另行测量。</w:t>
      </w:r>
    </w:p>
    <w:p>
      <w:pPr>
        <w:pStyle w:val="Heading3"/>
      </w:pPr>
      <w:r>
        <w:t>3.2.2 线索提示与原有监督</w:t>
      </w:r>
      <w:bookmarkStart w:id="44" w:name="v11_44"/>
      <w:bookmarkEnd w:id="44"/>
    </w:p>
    <w:p>
      <w:r>
        <w:rPr>
          <w:rFonts w:ascii="Times New Roman" w:hAnsi="Times New Roman" w:eastAsia="Songti SC"/>
          <w:color w:val="000000"/>
        </w:rPr>
        <w:t xml:space="preserve">连续提示沿用参数高效提示调优机制[33]。对 therefore、thus、in conclusion、consequently、hence、to conclude 作不区分大小写的词边界匹配；命中时在聊天模板输入嵌入之前插入四个向量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，未命中则不插入。提示位置不计入原文坐标。</w:t>
      </w:r>
    </w:p>
    <w:p>
      <w:r>
        <w:rPr>
          <w:rFonts w:ascii="Times New Roman" w:hAnsi="Times New Roman" w:eastAsia="Songti SC"/>
          <w:color w:val="000000"/>
        </w:rPr>
        <w:t>词典只控制提示启用，不赋予结论标签。话语标记的收益不能由标记数量直接推定[40]；原文与增强文分别按各自文本触发提示；该规则沿用前期配置，本章不将其单独计为新增机制。</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专项监督思路：按句末标点和文档结尾分句，对输入最后一层隐藏状态作句内均值池化，经线性层和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。句子与结论类金标跨度相交时令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 xml:space="preserve">。句子头只读取输入表示，用于共享表示学习。上述生成目标与句子监督构成继承目标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；3.3节构造增强视图，3.4节在此基础上引入组件、关系头及成对监督。</w:t>
      </w:r>
    </w:p>
    <w:p>
      <w:pPr>
        <w:pStyle w:val="Heading2"/>
      </w:pPr>
      <w:r>
        <w:t>3.3 关系影响域与标注迁移</w:t>
      </w:r>
      <w:bookmarkStart w:id="45" w:name="v11_45"/>
      <w:bookmarkEnd w:id="45"/>
    </w:p>
    <w:p>
      <w:pPr>
        <w:pStyle w:val="Heading3"/>
      </w:pPr>
      <w:r>
        <w:t>3.3.1 改写区域与关系因素</w:t>
      </w:r>
      <w:bookmarkStart w:id="46" w:name="v11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表3-1用人为构造的中文片段说明二元关系，不作为AAEC或CDCP的实测样本。</w:t>
      </w:r>
    </w:p>
    <w:p>
      <w:pPr>
        <w:pStyle w:val="TableCaption"/>
      </w:pPr>
      <w:r>
        <w:rPr>
          <w:rFonts w:ascii="Times New Roman" w:hAnsi="Times New Roman" w:eastAsia="Songti SC"/>
          <w:color w:val="000000"/>
          <w:sz w:val="21"/>
        </w:rPr>
        <w:t>表3-1 关系保持改写的组件示意</w:t>
      </w:r>
      <w:bookmarkStart w:id="167" w:name="v11_167"/>
      <w:bookmarkEnd w:id="16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：前一条Support的两端均在集合内，后一条只有一端在集合内，分别属于内部和跨边界因素。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同样跨越边界，但标签为NONE，表示该合法端点组合没有标注关系。NONE不作为输出边，与组件不存在的状态不同。</w:t>
      </w:r>
    </w:p>
    <w:p>
      <w:pPr>
        <w:keepNext/>
        <w:spacing w:line="240" w:lineRule="auto" w:before="80" w:after="60"/>
        <w:ind w:firstLine="0"/>
        <w:jc w:val="center"/>
      </w:pPr>
      <w:r>
        <w:drawing>
          <wp:inline xmlns:a="http://schemas.openxmlformats.org/drawingml/2006/main" xmlns:pic="http://schemas.openxmlformats.org/drawingml/2006/picture">
            <wp:extent cx="5652770" cy="4103898"/>
            <wp:docPr id="4" name="augmentation.png" descr="关系影响域中的内部与跨边界组合"/>
            <wp:cNvGraphicFramePr>
              <a:graphicFrameLocks noChangeAspect="1"/>
            </wp:cNvGraphicFramePr>
            <a:graphic>
              <a:graphicData uri="http://schemas.openxmlformats.org/drawingml/2006/picture">
                <pic:pic>
                  <pic:nvPicPr>
                    <pic:cNvPr id="0" name="augmentation.png"/>
                    <pic:cNvPicPr/>
                  </pic:nvPicPr>
                  <pic:blipFill>
                    <a:blip r:embed="rId148"/>
                    <a:stretch>
                      <a:fillRect/>
                    </a:stretch>
                  </pic:blipFill>
                  <pic:spPr>
                    <a:xfrm>
                      <a:off x="0" y="0"/>
                      <a:ext cx="5652770" cy="4103898"/>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68" w:name="v11_168"/>
      <w:bookmarkEnd w:id="168"/>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每篇文档固定一个中心。AAEC优先集合为Claim与MajorClaim，CDCP为Policy与Value；后者只定义本方法的触发角色，不改写原生类型。将种子、文档身份和规范化组件键按UTF-8规范JSON编码，计算SHA-256，按哈希及组件键升序选取第一个对象。主参考种子为17，同一文档全部尝试复用同一中心；不依据生成成功率换中心。</w:t>
      </w:r>
    </w:p>
    <w:p>
      <w:r>
        <w:rPr>
          <w:rFonts w:ascii="Times New Roman" w:hAnsi="Times New Roman" w:eastAsia="Songti SC"/>
          <w:color w:val="000000"/>
        </w:rPr>
        <w:t>优先集合为空时，从全部合法金标组件按同一顺序回退，并记录fallback；组件集合为空时保留原文、跳过增强。改写集合</w:t>
      </w:r>
      <m:oMath>
        <m:r>
          <m:t xml:space="preserve">A</m:t>
        </m:r>
      </m:oMath>
      <w:r>
        <w:rPr>
          <w:rFonts w:ascii="Times New Roman" w:hAnsi="Times New Roman" w:eastAsia="Songti SC"/>
          <w:color w:val="000000"/>
        </w:rPr>
        <w:t>由中心及所有指向中心的金标关系的完整源成员组成，去重、不递归扩展。无入关系时仅改写中心；超过三源成员的金标超边仍完整纳入，新增NONE因素的元数预算不截断金标。其余组件文字只读。</w:t>
      </w:r>
    </w:p>
    <w:p>
      <w:r>
        <w:rPr>
          <w:rFonts w:ascii="Times New Roman" w:hAnsi="Times New Roman" w:eastAsia="Songti SC"/>
          <w:color w:val="000000"/>
        </w:rPr>
        <w:t>若槽位重叠、完整输入超过冻结上下文上限，或影响域无法在单次审核资源内完整处理，则跳过该文档增强并记录具体原因，不删除源成员或改选其他中心。不同模型的上下文及调用上限由运行清单提供；未提供时不启动生成。每文档最多四次尝试、两个接受变体，原始样本始终保留。该选择控制定义和资源，不意味着结论中心已经优于其他中心。</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。源成员按原文顺序规范化，整条超边作为一个关系对象，不展开为独立二元关系。</w:t>
      </w:r>
    </w:p>
    <w:p>
      <w:r>
        <w:rPr>
          <w:rFonts w:ascii="Times New Roman" w:hAnsi="Times New Roman" w:eastAsia="Songti SC"/>
          <w:color w:val="000000"/>
        </w:rPr>
        <w:t>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r>
        <w:rPr>
          <w:rFonts w:ascii="Times New Roman" w:hAnsi="Times New Roman" w:eastAsia="Songti SC"/>
          <w:color w:val="000000"/>
        </w:rPr>
        <w:t>NONE 仅在上述有限宇宙内定义，不涉及组件集合的全部子集。三源成员预算使更长的金标超边缺少同元数NONE对照，可能形成长度相关的监督偏置，需按元数诊断。这一辅助头不用于估计长超边的完整对象正确率。</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。全部端点位于 </w:t>
      </w:r>
      <m:oMath>
        <m:r>
          <m:t xml:space="preserve">A</m:t>
        </m:r>
      </m:oMath>
      <w:r>
        <w:rPr>
          <w:rFonts w:ascii="Times New Roman" w:hAnsi="Times New Roman" w:eastAsia="Songti SC"/>
          <w:color w:val="000000"/>
        </w:rPr>
        <w:t xml:space="preserve"> 中的因素属于内部因素，仅部分端点位于 </w:t>
      </w:r>
      <m:oMath>
        <m:r>
          <m:t xml:space="preserve">A</m:t>
        </m:r>
      </m:oMath>
      <w:r>
        <w:rPr>
          <w:rFonts w:ascii="Times New Roman" w:hAnsi="Times New Roman" w:eastAsia="Songti SC"/>
          <w:color w:val="000000"/>
        </w:rPr>
        <w:t xml:space="preserve"> 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t>3.3.2 条件生成与标注迁移</w:t>
      </w:r>
      <w:bookmarkStart w:id="47" w:name="v11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11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11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5329580"/>
            <wp:docPr id="5" name="training_architecture.png" descr="关系感知增强学习的共享表示与梯度接口"/>
            <wp:cNvGraphicFramePr>
              <a:graphicFrameLocks noChangeAspect="1"/>
            </wp:cNvGraphicFramePr>
            <a:graphic>
              <a:graphicData uri="http://schemas.openxmlformats.org/drawingml/2006/picture">
                <pic:pic>
                  <pic:nvPicPr>
                    <pic:cNvPr id="0" name="training_architecture.png"/>
                    <pic:cNvPicPr/>
                  </pic:nvPicPr>
                  <pic:blipFill>
                    <a:blip r:embed="rId149"/>
                    <a:stretch>
                      <a:fillRect/>
                    </a:stretch>
                  </pic:blipFill>
                  <pic:spPr>
                    <a:xfrm>
                      <a:off x="0" y="0"/>
                      <a:ext cx="5652770" cy="5329580"/>
                    </a:xfrm>
                    <a:prstGeom prst="rect"/>
                  </pic:spPr>
                </pic:pic>
              </a:graphicData>
            </a:graphic>
          </wp:inline>
        </w:drawing>
      </w:r>
    </w:p>
    <w:p>
      <w:pPr>
        <w:pStyle w:val="FigureCaption"/>
      </w:pPr>
      <w:r>
        <w:rPr>
          <w:rFonts w:ascii="Times New Roman" w:hAnsi="Times New Roman" w:eastAsia="Songti SC"/>
          <w:color w:val="000000"/>
          <w:sz w:val="21"/>
        </w:rPr>
        <w:t>图3-2 关系影响域增强与成对学习的训练架构</w:t>
      </w:r>
      <w:bookmarkStart w:id="169" w:name="v11_169"/>
      <w:bookmarkEnd w:id="169"/>
    </w:p>
    <w:p>
      <w:r>
        <w:rPr>
          <w:rFonts w:ascii="Times New Roman" w:hAnsi="Times New Roman" w:eastAsia="Songti SC"/>
          <w:color w:val="000000"/>
        </w:rPr>
        <w:t>图3-2区分继承的专项适配、线索提示和句子监督，以及新增的组件头、关系头与成对损失。实线表示文本和隐藏状态的数据流，虚线表示监督或控制连接；冻结参数与可训练模块分别标示，各类参数的梯度来源在3.4.3节统一说明。</w:t>
      </w:r>
    </w:p>
    <w:p>
      <w:pPr>
        <w:pStyle w:val="Heading3"/>
      </w:pPr>
      <w:r>
        <w:t>3.4.1 输入表示与训练头</w:t>
      </w:r>
      <w:bookmarkStart w:id="50" w:name="v11_50"/>
      <w:bookmarkEnd w:id="50"/>
    </w:p>
    <w:p>
      <w:r>
        <w:rPr>
          <w:rFonts w:ascii="Times New Roman" w:hAnsi="Times New Roman" w:eastAsia="Songti SC"/>
          <w:color w:val="000000"/>
        </w:rPr>
        <w:t>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r>
        <w:rPr>
          <w:rFonts w:ascii="Times New Roman" w:hAnsi="Times New Roman" w:eastAsia="Songti SC"/>
          <w:color w:val="000000"/>
        </w:rPr>
        <w:t xml:space="preserve">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为输入子词隐藏状态，</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 为组件字符跨度对应的输入子词集合，</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为全文输入结束且回答尚未开始处的隐藏状态。坐标映射和输入隔离的实现验收要求见附录F.2。组件表示与类型分布定义为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为跨度表示补充全文上下文通道，并不改变模型的因果注意力结构；组件头不输入待预测的金标类型。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为源成员表示的算术均值。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p>
      <w:pPr>
        <w:pStyle w:val="Heading3"/>
      </w:pPr>
      <w:r>
        <w:t>3.4.2 对齐与金标锚定</w:t>
      </w:r>
      <w:bookmarkStart w:id="51" w:name="v11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11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控制每篇源文档的增强基础目标总权重：接受一个变体时，该变体的系数为 </w:t>
      </w:r>
      <m:oMath>
        <m:r>
          <m:t xml:space="preserve">ρ</m:t>
        </m:r>
      </m:oMath>
      <w:r>
        <w:rPr>
          <w:rFonts w:ascii="Times New Roman" w:hAnsi="Times New Roman" w:eastAsia="Songti SC"/>
          <w:color w:val="000000"/>
        </w:rPr>
        <w:t xml:space="preserve">；接受两个变体时，每个变体的系数为 </w:t>
      </w:r>
      <m:oMath>
        <m:r>
          <m:t xml:space="preserve">ρ</m:t>
        </m:r>
        <m:r>
          <m:t xml:space="preserve">/</m:t>
        </m:r>
        <m:r>
          <m:t xml:space="preserve">2</m:t>
        </m:r>
      </m:oMath>
      <w:r>
        <w:rPr>
          <w:rFonts w:ascii="Times New Roman" w:hAnsi="Times New Roman" w:eastAsia="Songti SC"/>
          <w:color w:val="000000"/>
        </w:rPr>
        <w:t xml:space="preserve">。因此，无变体文档的基础目标系数合计为1，有变体文档为 </w:t>
      </w:r>
      <m:oMath>
        <m:r>
          <m:t xml:space="preserve">1</m:t>
        </m:r>
        <m:r>
          <m:t xml:space="preserve">+</m:t>
        </m:r>
        <m:r>
          <m:t xml:space="preserve">ρ</m:t>
        </m:r>
      </m:oMath>
      <w:r>
        <w:rPr>
          <w:rFonts w:ascii="Times New Roman" w:hAnsi="Times New Roman" w:eastAsia="Songti SC"/>
          <w:color w:val="000000"/>
        </w:rPr>
        <w:t xml:space="preserve">，不随已接受变体数继续倍增。这里的系数合计仅描述原文与增强文的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 xml:space="preserve"> 加权，不表示实际梯度幅度具有相同比例；头监督仍按 </w:t>
      </w:r>
      <m:oMath>
        <m:r>
          <m:t xml:space="preserve">1</m:t>
        </m:r>
        <m:r>
          <m:t xml:space="preserve">+</m:t>
        </m:r>
        <m:sSub>
          <m:e>
            <m:r>
              <m:t xml:space="preserve">m</m:t>
            </m:r>
          </m:e>
          <m:sub>
            <m:r>
              <m:t xml:space="preserve">d</m:t>
            </m:r>
          </m:sub>
        </m:sSub>
      </m:oMath>
      <w:r>
        <w:rPr>
          <w:rFonts w:ascii="Times New Roman" w:hAnsi="Times New Roman" w:eastAsia="Songti SC"/>
          <w:color w:val="000000"/>
        </w:rPr>
        <w:t xml:space="preserve"> 个视图平均，对齐项按已接受文本对平均。</w:t>
      </w:r>
    </w:p>
    <w:p>
      <w:r>
        <w:rPr>
          <w:rFonts w:ascii="Times New Roman" w:hAnsi="Times New Roman" w:eastAsia="Songti SC"/>
          <w:color w:val="000000"/>
        </w:rPr>
        <w:t>本文保留上述加权方式，使通过筛选的增强视图提供额外监督。外层按源文档等权采样，用于控制文档访问频次，并不使有、无增强的文档具有完全相同的基础目标总权重。不同筛选方案可能通过接受覆盖影响这一加权分布，其比较口径见3.6.1节。梯度累积的最后一个不足批次按实际源文档数归一化；损失系数在开发阶段确定，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梯度连接与更新范围的核验规则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11_53"/>
      <w:bookmarkEnd w:id="53"/>
    </w:p>
    <w:p>
      <w:pPr>
        <w:pStyle w:val="Heading3"/>
      </w:pPr>
      <w:r>
        <w:t>3.5.1 数据构造与参数学习</w:t>
      </w:r>
      <w:bookmarkStart w:id="54" w:name="v11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关系影响域增强与成对学习</w:t>
      </w:r>
      <w:bookmarkStart w:id="170" w:name="v11_170"/>
      <w:bookmarkEnd w:id="170"/>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输入：训练文档及金标图 D_train，数据协议，固定增强与语义验证模型，</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ab/>
      </w:r>
      <w:r>
        <w:rPr>
          <w:rFonts w:ascii="Times New Roman" w:hAnsi="Times New Roman" w:eastAsia="Songti SC"/>
          <w:color w:val="000000"/>
          <w:sz w:val="21"/>
        </w:rPr>
        <w:t>每文档尝试上限 B_try、接受上限 B_accept，训练更新上限 U。</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输出：训练后的端到端生成器 θ，以及增强样本、组件映射和来源记录。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检查训练划分、全文哈希分组、坐标和标签协议</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for</w:t>
      </w:r>
      <w:r>
        <w:rPr>
          <w:rFonts w:ascii="Times New Roman" w:hAnsi="Times New Roman" w:eastAsia="Songti SC"/>
          <w:color w:val="000000"/>
          <w:sz w:val="21"/>
        </w:rPr>
        <w:t xml:space="preserve"> 每篇源文档 d ∈ D_train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color w:val="000000"/>
          <w:sz w:val="21"/>
        </w:rPr>
        <w:t>保留原文 x_d 和完整金标图 G_d；令 Views_d = ∅</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按3.3.1固定中心及完整入源；不可处理则记原因并继续下一文档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05</w:t>
        <w:tab/>
      </w:r>
      <w:r>
        <w:rPr>
          <w:rFonts w:ascii="Times New Roman" w:hAnsi="Times New Roman" w:eastAsia="Songti SC"/>
          <w:color w:val="000000"/>
          <w:sz w:val="21"/>
        </w:rPr>
        <w:t>建立因素宇宙 Ω(C_d)，构造改写集合 A</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06</w:t>
        <w:tab/>
      </w:r>
      <w:r>
        <w:rPr>
          <w:rFonts w:ascii="Times New Roman" w:hAnsi="Times New Roman" w:eastAsia="Songti SC"/>
          <w:color w:val="000000"/>
          <w:sz w:val="21"/>
        </w:rPr>
        <w:t>构造完整影响域 D_A；令 attempts = 0</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b/>
          <w:color w:val="000000"/>
          <w:sz w:val="21"/>
        </w:rPr>
        <w:t>while</w:t>
      </w:r>
      <w:r>
        <w:rPr>
          <w:rFonts w:ascii="Times New Roman" w:hAnsi="Times New Roman" w:eastAsia="Songti SC"/>
          <w:color w:val="000000"/>
          <w:sz w:val="21"/>
        </w:rPr>
        <w:t xml:space="preserve"> attempts &lt; B_try 且 |Views_d| &lt; B_accept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08</w:t>
        <w:tab/>
      </w:r>
      <w:r>
        <w:rPr>
          <w:rFonts w:ascii="Times New Roman" w:hAnsi="Times New Roman" w:eastAsia="Songti SC"/>
          <w:color w:val="000000"/>
          <w:sz w:val="21"/>
        </w:rPr>
        <w:t>attempts ← attempts + 1；生成组件槽位的替换文本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回填全文、重新分词，建立全部组件的双射 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if</w:t>
      </w:r>
      <w:r>
        <w:rPr>
          <w:rFonts w:ascii="Times New Roman" w:hAnsi="Times New Roman" w:eastAsia="Songti SC"/>
          <w:color w:val="000000"/>
          <w:sz w:val="21"/>
        </w:rPr>
        <w:t xml:space="preserve"> 格式、槽位、坐标或端点检查失败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color w:val="000000"/>
          <w:sz w:val="21"/>
        </w:rPr>
        <w:t>检查全文角色与表达退化</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15</w:t>
        <w:tab/>
      </w:r>
      <w:r>
        <w:rPr>
          <w:rFonts w:ascii="Times New Roman" w:hAnsi="Times New Roman" w:eastAsia="Songti SC"/>
          <w:b/>
          <w:color w:val="000000"/>
          <w:sz w:val="21"/>
        </w:rPr>
        <w:t>if</w:t>
      </w:r>
      <w:r>
        <w:rPr>
          <w:rFonts w:ascii="Times New Roman" w:hAnsi="Times New Roman" w:eastAsia="Songti SC"/>
          <w:color w:val="000000"/>
          <w:sz w:val="21"/>
        </w:rPr>
        <w:t xml:space="preserve"> D_A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检查 D_A 中全部关系状态</w:t>
      </w:r>
    </w:p>
    <w:p>
      <w:pPr>
        <w:pStyle w:val="AlgorithmLine"/>
        <w:keepNext w:val="0"/>
        <w:keepLines/>
        <w:tabs>
          <w:tab w:pos="850" w:val="left"/>
        </w:tabs>
        <w:spacing w:line="300" w:lineRule="exact" w:after="0"/>
        <w:ind w:left="850" w:hanging="850"/>
        <w:pBdr>
          <w:bottom w:val="single" w:sz="4" w:color="000000" w:space="4"/>
        </w:pBdr>
      </w:pPr>
      <w:r>
        <w:rPr>
          <w:rFonts w:ascii="Times New Roman" w:hAnsi="Times New Roman" w:eastAsia="Songti SC"/>
          <w:color w:val="000000"/>
          <w:sz w:val="21"/>
        </w:rPr>
        <w:t>17</w:t>
        <w:tab/>
      </w:r>
      <w:r>
        <w:rPr>
          <w:rFonts w:ascii="Times New Roman" w:hAnsi="Times New Roman" w:eastAsia="Songti SC"/>
          <w:b/>
          <w:color w:val="000000"/>
          <w:sz w:val="21"/>
        </w:rPr>
        <w:t>end if</w:t>
      </w:r>
    </w:p>
    <w:p>
      <w:pPr>
        <w:pStyle w:val="ContinuationCaption"/>
        <w:keepNext/>
        <w:pageBreakBefore/>
      </w:pPr>
      <w:r>
        <w:t>算法3-1（续）</w:t>
      </w:r>
    </w:p>
    <w:p>
      <w:pPr>
        <w:pStyle w:val="AlgorithmLine"/>
        <w:keepNext/>
        <w:keepLines/>
        <w:tabs>
          <w:tab w:pos="850" w:val="left"/>
        </w:tabs>
        <w:spacing w:line="300" w:lineRule="exact" w:after="0"/>
        <w:ind w:left="850" w:hanging="850"/>
        <w:pBdr>
          <w:top w:val="single" w:sz="4" w:color="000000" w:space="4"/>
        </w:pBdr>
      </w:pPr>
      <w:r>
        <w:rPr>
          <w:rFonts w:ascii="Times New Roman" w:hAnsi="Times New Roman" w:eastAsia="Songti SC"/>
          <w:color w:val="000000"/>
          <w:sz w:val="21"/>
        </w:rPr>
        <w:t>18</w:t>
        <w:tab/>
      </w:r>
      <w:r>
        <w:rPr>
          <w:rFonts w:ascii="Times New Roman" w:hAnsi="Times New Roman" w:eastAsia="Songti SC"/>
          <w:b/>
          <w:color w:val="000000"/>
          <w:sz w:val="21"/>
        </w:rPr>
        <w:t>if</w:t>
      </w:r>
      <w:r>
        <w:rPr>
          <w:rFonts w:ascii="Times New Roman" w:hAnsi="Times New Roman" w:eastAsia="Songti SC"/>
          <w:color w:val="000000"/>
          <w:sz w:val="21"/>
        </w:rPr>
        <w:t xml:space="preserve"> 任一受检标签漂移或其他筛选条件失败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20</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21</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color w:val="000000"/>
          <w:sz w:val="21"/>
        </w:rPr>
        <w:t>将通过的全文视图、φ(G_d)、φ 和来源加入 Views_d</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24</w:t>
        <w:tab/>
      </w:r>
      <w:r>
        <w:rPr>
          <w:rFonts w:ascii="Times New Roman" w:hAnsi="Times New Roman" w:eastAsia="Songti SC"/>
          <w:color w:val="000000"/>
          <w:sz w:val="21"/>
        </w:rPr>
        <w:t>保存 Views_d；集合为空时仍保留原文</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25</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26</w:t>
        <w:tab/>
      </w:r>
      <w:r>
        <w:rPr>
          <w:rFonts w:ascii="Times New Roman" w:hAnsi="Times New Roman" w:eastAsia="Songti SC"/>
          <w:b/>
          <w:color w:val="000000"/>
          <w:sz w:val="21"/>
        </w:rPr>
        <w:t>for</w:t>
      </w:r>
      <w:r>
        <w:rPr>
          <w:rFonts w:ascii="Times New Roman" w:hAnsi="Times New Roman" w:eastAsia="Songti SC"/>
          <w:color w:val="000000"/>
          <w:sz w:val="21"/>
        </w:rPr>
        <w:t xml:space="preserve"> step = 1, …, U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27</w:t>
        <w:tab/>
      </w:r>
      <w:r>
        <w:rPr>
          <w:rFonts w:ascii="Times New Roman" w:hAnsi="Times New Roman" w:eastAsia="Songti SC"/>
          <w:color w:val="000000"/>
          <w:sz w:val="21"/>
        </w:rPr>
        <w:t>按源文档等权取训练批次；读取原文及其已接受视图</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28</w:t>
        <w:tab/>
      </w:r>
      <w:r>
        <w:rPr>
          <w:rFonts w:ascii="Times New Roman" w:hAnsi="Times New Roman" w:eastAsia="Songti SC"/>
          <w:color w:val="000000"/>
          <w:sz w:val="21"/>
        </w:rPr>
        <w:t>依可见前缀门控，计算各视图的生成损失和句子辅助损失</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29</w:t>
        <w:tab/>
      </w:r>
      <w:r>
        <w:rPr>
          <w:rFonts w:ascii="Times New Roman" w:hAnsi="Times New Roman" w:eastAsia="Songti SC"/>
          <w:color w:val="000000"/>
          <w:sz w:val="21"/>
        </w:rPr>
        <w:t>从回答开始前的输入表示计算组件头与关系状态头监督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30</w:t>
        <w:tab/>
      </w:r>
      <w:r>
        <w:rPr>
          <w:rFonts w:ascii="Times New Roman" w:hAnsi="Times New Roman" w:eastAsia="Songti SC"/>
          <w:color w:val="000000"/>
          <w:sz w:val="21"/>
        </w:rPr>
        <w:t>依 φ 计算非空域成对损失；无变体或空域的对齐项置零</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31</w:t>
        <w:tab/>
      </w:r>
      <w:r>
        <w:rPr>
          <w:rFonts w:ascii="Times New Roman" w:hAnsi="Times New Roman" w:eastAsia="Songti SC"/>
          <w:color w:val="000000"/>
          <w:sz w:val="21"/>
        </w:rPr>
        <w:t>保留两个视图的梯度，按同源变体及源文档两级归一化</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32</w:t>
        <w:tab/>
      </w:r>
      <w:r>
        <w:rPr>
          <w:rFonts w:ascii="Times New Roman" w:hAnsi="Times New Roman" w:eastAsia="Songti SC"/>
          <w:color w:val="000000"/>
          <w:sz w:val="21"/>
        </w:rPr>
        <w:t>按3.4.3节的梯度路径执行一次反向传播；基础模型权重冻结</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33</w:t>
        <w:tab/>
      </w:r>
      <w:r>
        <w:rPr>
          <w:rFonts w:ascii="Times New Roman" w:hAnsi="Times New Roman" w:eastAsia="Songti SC"/>
          <w:b/>
          <w:color w:val="000000"/>
          <w:sz w:val="21"/>
        </w:rPr>
        <w:t>if</w:t>
      </w:r>
      <w:r>
        <w:rPr>
          <w:rFonts w:ascii="Times New Roman" w:hAnsi="Times New Roman" w:eastAsia="Songti SC"/>
          <w:color w:val="000000"/>
          <w:sz w:val="21"/>
        </w:rPr>
        <w:t xml:space="preserve"> 达到2.6节预先确定的停止条件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34</w:t>
        <w:tab/>
      </w:r>
      <w:r>
        <w:rPr>
          <w:rFonts w:ascii="Times New Roman" w:hAnsi="Times New Roman" w:eastAsia="Songti SC"/>
          <w:b/>
          <w:color w:val="000000"/>
          <w:sz w:val="21"/>
        </w:rPr>
        <w:t>break</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35</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36</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37</w:t>
        <w:tab/>
      </w:r>
      <w:r>
        <w:rPr>
          <w:rFonts w:ascii="Times New Roman" w:hAnsi="Times New Roman" w:eastAsia="Songti SC"/>
          <w:color w:val="000000"/>
          <w:sz w:val="21"/>
        </w:rPr>
        <w:t>返回生成器及来源记录；开发评价和测试时移除训练辅助头</w:t>
      </w:r>
    </w:p>
    <w:p>
      <w:r>
        <w:rPr>
          <w:rFonts w:ascii="Times New Roman" w:hAnsi="Times New Roman" w:eastAsia="Songti SC"/>
          <w:color w:val="000000"/>
        </w:rPr>
        <w:t>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Heading3"/>
      </w:pPr>
      <w:r>
        <w:t>3.5.2 性质与适用条件</w:t>
      </w:r>
      <w:bookmarkStart w:id="55" w:name="v11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实验结果与分析</w:t>
      </w:r>
      <w:bookmarkStart w:id="56" w:name="v11_56"/>
      <w:bookmarkEnd w:id="56"/>
    </w:p>
    <w:p>
      <w:r>
        <w:rPr>
          <w:rFonts w:ascii="Times New Roman" w:hAnsi="Times New Roman" w:eastAsia="Songti SC"/>
          <w:color w:val="000000"/>
        </w:rPr>
        <w:t>本节数值、审计判断和成本为人工情景，用于展示比较与分析；正式结果须由对应原始文本和运行记录整体替换。</w:t>
      </w:r>
    </w:p>
    <w:p>
      <w:r>
        <w:rPr>
          <w:rFonts w:ascii="Times New Roman" w:hAnsi="Times New Roman" w:eastAsia="Songti SC"/>
          <w:color w:val="000000"/>
        </w:rPr>
        <w:t>本章分别评价监督可靠性、增强数据的任务作用和成对学习的独立增量。前者关注改写后标签是否保持，后两者关注原始测试文本上的抽取结果。CovEReD同样区分增强一致性与原始任务表现[37]。这种区分使格式合法、坐标正确和语义可靠承担不同证据作用，避免把自动筛选通过直接等同于任务收益。</w:t>
      </w:r>
    </w:p>
    <w:p>
      <w:pPr>
        <w:pStyle w:val="Heading3"/>
      </w:pPr>
      <w:r>
        <w:t>3.6.1 实验设置与比较方法</w:t>
      </w:r>
      <w:bookmarkStart w:id="57" w:name="v11_57"/>
      <w:bookmarkEnd w:id="57"/>
    </w:p>
    <w:p>
      <w:r>
        <w:rPr>
          <w:rFonts w:ascii="Times New Roman" w:hAnsi="Times New Roman" w:eastAsia="Songti SC"/>
          <w:color w:val="000000"/>
        </w:rPr>
        <w:t>训练侧统一使用I0推理。T0保留前期ICIC的专项适配、线索提示与句子辅助目标；T1加入关系感知增强、组件与关系头监督，以及成对因素对齐。AAEC采用严格组件和二元关系评价，CDCP采用完整原生超边。种子固定为17、29和43，表中“±”表示三次结果的样本标准差，文档级配对区间另行报告。</w:t>
      </w:r>
    </w:p>
    <w:p>
      <w:pPr>
        <w:pStyle w:val="TableCaption"/>
      </w:pPr>
      <w:r>
        <w:rPr>
          <w:rFonts w:ascii="Times New Roman" w:hAnsi="Times New Roman" w:eastAsia="Songti SC"/>
          <w:color w:val="000000"/>
          <w:sz w:val="21"/>
        </w:rPr>
        <w:t>表3-2 训练侧对照与归因条件</w:t>
      </w:r>
      <w:bookmarkStart w:id="171" w:name="v11_171"/>
      <w:bookmarkEnd w:id="17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编号与比较</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变化因素及解释</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T-A T0与普通增强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相同基础损失，不增加新头</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一般文本增量的作用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T-B QOS式与完整增强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相同基础损失、匹配训练规模与更新条件</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比较数据构造，不与T1全机制混比</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T-C 去跨边界正关系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固定完整生成池和其他检查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跨边界正标签筛选的作用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T-D 去NONE检查</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固定生成池和正关系检查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无边状态筛选的作用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 基础、加头、加对齐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完全相同变体、源权重与更新数</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辅助监督与成对项各自的增量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T-F 结论与匹配随机中心</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匹配区域大小、长度和关系度</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中心策略的条件性差异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T-G T0与T1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相同骨干和I0协议</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完整训练方案，复用第五章主行</w:t>
            </w:r>
          </w:p>
        </w:tc>
      </w:tr>
    </w:tbl>
    <w:p>
      <w:pPr>
        <w:spacing w:after="0" w:line="240" w:lineRule="auto"/>
      </w:pPr>
    </w:p>
    <w:p>
      <w:r>
        <w:rPr>
          <w:rFonts w:ascii="Times New Roman" w:hAnsi="Times New Roman" w:eastAsia="Songti SC"/>
          <w:color w:val="000000"/>
        </w:rPr>
        <w:t>构造轨道固定每篇源文档最多4次尝试、接受2个变体，用于比较生成池、接受覆盖和构造成本。主成绩轨道匹配训练规模：AAEC与CDCP分别使用500和900个变体、0.82M和1.35M增强token，并匹配源文档采样规则和有效更新条件。抽取成绩表3-5、学习消融表3-6和中心比较表3-8属于后一轨道；表3-9只报告前一轨道的构造成本。两轨不拼接为同资源优势。</w:t>
      </w:r>
    </w:p>
    <w:p>
      <w:r>
        <w:rPr>
          <w:rFonts w:ascii="Times New Roman" w:hAnsi="Times New Roman" w:eastAsia="Songti SC"/>
          <w:color w:val="000000"/>
        </w:rPr>
        <w:t>T-E的三种设置直接复用同一增强集合及每篇文档的变体数，仅改变损失项。无增强加头对照用于区分头监督本身的作用。QOS式方法使用共同任务接口和槽位表示，结果只解释这一适配条件。过滤消融使用同一完整关系条件生成池，四项检查依次为内部正关系、跨边界正关系、内部NONE和跨边界NONE；完整配置为1111，去跨边界正关系为1011，去NONE为1100。其差值不能单独归于生成提示中的对应条件。</w:t>
      </w:r>
    </w:p>
    <w:p>
      <w:pPr>
        <w:pStyle w:val="Heading3"/>
      </w:pPr>
      <w:r>
        <w:t>3.6.2 增强质量与标签可靠性</w:t>
      </w:r>
      <w:bookmarkStart w:id="58" w:name="v11_58"/>
      <w:bookmarkEnd w:id="58"/>
    </w:p>
    <w:p>
      <w:r>
        <w:rPr>
          <w:rFonts w:ascii="Times New Roman" w:hAnsi="Times New Roman" w:eastAsia="Songti SC"/>
          <w:color w:val="000000"/>
        </w:rPr>
        <w:t>语义判定按语料、接受或拒绝、内部或跨边界、正关系或NONE交叉分层。每个方法和语料的8个层各取200个因素，共1600个；接受与拒绝样本均保留。判定内容覆盖角色、方向、否定、模态、指代与标签保持，CDCP同时检查完整源成员。两路判定的分歧单独登记，裁决后再汇总漂移率。</w:t>
      </w:r>
    </w:p>
    <w:p>
      <w:pPr>
        <w:pStyle w:val="TableCaption"/>
      </w:pPr>
      <w:r>
        <w:rPr>
          <w:rFonts w:ascii="Times New Roman" w:hAnsi="Times New Roman" w:eastAsia="Songti SC"/>
          <w:color w:val="000000"/>
          <w:sz w:val="21"/>
        </w:rPr>
        <w:t>表3-3 接受样本的标签漂移率（%）（人工情景）</w:t>
      </w:r>
      <w:bookmarkStart w:id="172" w:name="v11_172"/>
      <w:bookmarkEnd w:id="17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分层均值</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r>
    </w:tbl>
    <w:p>
      <w:pPr>
        <w:spacing w:after="0" w:line="240" w:lineRule="auto"/>
      </w:pPr>
    </w:p>
    <w:p>
      <w:r>
        <w:rPr>
          <w:rFonts w:ascii="Times New Roman" w:hAnsi="Times New Roman" w:eastAsia="Songti SC"/>
          <w:color w:val="000000"/>
        </w:rPr>
        <w:t>表3-3中，完整方案的接受层分层均值为3.62%和5.75%，低于普通增强与QOS式适配。各层的差异并非在所有方法和语料上同向；例如CDCP普通增强的内部NONE高于内部正关系，说明因素身份需要分别保留。表中跨边界风险为影响域检查提供情景化解释，真实设计必要性则需由训练侧诊断验证。完整方案还伴随覆盖下降，质量、变化幅度和源分布应联合解释。</w:t>
      </w:r>
    </w:p>
    <w:p>
      <w:pPr>
        <w:pStyle w:val="TableCaption"/>
      </w:pPr>
      <w:r>
        <w:rPr>
          <w:rFonts w:ascii="Times New Roman" w:hAnsi="Times New Roman" w:eastAsia="Songti SC"/>
          <w:color w:val="000000"/>
          <w:sz w:val="21"/>
        </w:rPr>
        <w:t>表3-4 接受与拒绝样本的因素漂移审计（人工情景）</w:t>
      </w:r>
      <w:bookmarkStart w:id="173" w:name="v11_173"/>
      <w:bookmarkEnd w:id="17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接受漂移数／800</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拒绝漂移数／800</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46.50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30.12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33.00</w:t>
            </w:r>
          </w:p>
        </w:tc>
      </w:tr>
    </w:tbl>
    <w:p>
      <w:pPr>
        <w:spacing w:after="0" w:line="240" w:lineRule="auto"/>
      </w:pPr>
    </w:p>
    <w:p>
      <w:r>
        <w:rPr>
          <w:rFonts w:ascii="Times New Roman" w:hAnsi="Times New Roman" w:eastAsia="Songti SC"/>
          <w:color w:val="000000"/>
        </w:rPr>
        <w:t>两表以关系因素为单位，四类因素各占相同样本量，百分比是等层权重的均值，不是按整个生成池构成加权的总体漂移率。完整方案的拒绝层中，AAEC有559／800、CDCP有536／800个因素保持标签。单个稳定因素不代表整个变体应被接受：其他因素、组件角色或质量条件仍可能不合格。因此这些数值不能直接解释为变体级误拒率；接受层漂移率也不能直接替代变体级筛选精确率。</w:t>
      </w:r>
    </w:p>
    <w:p>
      <w:r>
        <w:rPr>
          <w:rFonts w:ascii="Times New Roman" w:hAnsi="Times New Roman" w:eastAsia="Songti SC"/>
          <w:color w:val="000000"/>
        </w:rPr>
        <w:t>完整审计还纳入两种过滤消融，共5种方法、2种语料、每组1600个因素，合计16000个。两路因素判定的一致率为96.31%，Cohen κ为0.902，描述的是一致性而非相对于独立金标准的准确率。接受层残余漂移与拒绝层稳定因素共同提示质量和覆盖的取舍；坐标、引用检查只提供结构前提，不能替代这一语义审计。</w:t>
      </w:r>
    </w:p>
    <w:p>
      <w:r>
        <w:rPr>
          <w:rFonts w:ascii="Times New Roman" w:hAnsi="Times New Roman" w:eastAsia="Songti SC"/>
          <w:color w:val="000000"/>
        </w:rPr>
        <w:t>上述低漂移率只描述被接受因素，不能证明增强具有充分变化，也不能排除选择偏向。只要一个受检因素失败就拒绝整个变体，可能使关系密集、受检因素较多的文档更难通过；单因素判断存在误差时也需警惕这一风险，但当前材料不能认定偏差已经发生。原始增强文本缺失，故本节不报告非复制、编辑距离或复杂度分组结果，测量口径统一放在附录H.2。</w:t>
      </w:r>
    </w:p>
    <w:p>
      <w:pPr>
        <w:pStyle w:val="Heading3"/>
      </w:pPr>
      <w:r>
        <w:t>3.6.3 抽取结果与学习目标消融</w:t>
      </w:r>
      <w:bookmarkStart w:id="59" w:name="v11_59"/>
      <w:bookmarkEnd w:id="59"/>
    </w:p>
    <w:p>
      <w:pPr>
        <w:pStyle w:val="TableCaption"/>
      </w:pPr>
      <w:r>
        <w:rPr>
          <w:rFonts w:ascii="Times New Roman" w:hAnsi="Times New Roman" w:eastAsia="Songti SC"/>
          <w:color w:val="000000"/>
          <w:sz w:val="21"/>
        </w:rPr>
        <w:t>表3-5 训练方案的严格抽取结果（匹配训练规模）（人工情景）</w:t>
      </w:r>
      <w:bookmarkStart w:id="174" w:name="v11_174"/>
      <w:bookmarkEnd w:id="17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无增强＋头监督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78.68±0.37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53.86±0.45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70.56±0.31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48.56±0.27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79.07±0.37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54.06±0.53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70.87±0.21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48.84±0.21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QOS式适配</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79.77±0.42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55.68±0.28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71.58±0.25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50.25±0.44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81.38±0.47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57.96±0.22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73.47±0.29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52.06±0.49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81.68±0.43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58.37±0.17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73.78±0.45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52.67±0.35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55.25±0.34</w:t>
            </w:r>
          </w:p>
        </w:tc>
      </w:tr>
    </w:tbl>
    <w:p>
      <w:pPr>
        <w:spacing w:after="0" w:line="240" w:lineRule="auto"/>
      </w:pPr>
    </w:p>
    <w:p>
      <w:r>
        <w:rPr>
          <w:rFonts w:ascii="Times New Roman" w:hAnsi="Times New Roman" w:eastAsia="Songti SC"/>
          <w:color w:val="000000"/>
        </w:rPr>
        <w:t>T1相对T0的严格关系F1分别增加7.32和7.21个百分点，这一总差值包含数据构造、头监督和成对学习。数据构造作用由T-B单独解释：QOS式适配与完整增强都采用基础损失，对照表3-6首行，AAEC为55.68对57.47，CDCP为50.25对52.08，差值分别为1.79和1.83个百分点。过滤消融另在共同生成池和相同学习配置下变化审核项，反映跨边界正关系与NONE检查的条件作用。它们不能将T1的全部增量归给增强、中心或某一个损失项。</w:t>
      </w:r>
    </w:p>
    <w:p>
      <w:pPr>
        <w:pStyle w:val="TableCaption"/>
      </w:pPr>
      <w:r>
        <w:rPr>
          <w:rFonts w:ascii="Times New Roman" w:hAnsi="Times New Roman" w:eastAsia="Songti SC"/>
          <w:color w:val="000000"/>
          <w:sz w:val="21"/>
        </w:rPr>
        <w:t>表3-6 相同增强集合上的学习目标比较（匹配训练规模）（人工情景）</w:t>
      </w:r>
      <w:bookmarkStart w:id="175" w:name="v11_175"/>
      <w:bookmarkEnd w:id="17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完整增强＋基础损失</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80.78±0.32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57.47±0.48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72.87±0.42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52.08±0.33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81.56±0.02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58.65±0.62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73.47±0.65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53.38±0.48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55.25±0.34</w:t>
            </w:r>
          </w:p>
        </w:tc>
      </w:tr>
    </w:tbl>
    <w:p>
      <w:pPr>
        <w:spacing w:after="0" w:line="240" w:lineRule="auto"/>
      </w:pPr>
    </w:p>
    <w:p>
      <w:r>
        <w:rPr>
          <w:rFonts w:ascii="Times New Roman" w:hAnsi="Times New Roman" w:eastAsia="Songti SC"/>
          <w:color w:val="000000"/>
        </w:rPr>
        <w:t>表3-6的三行使用完全相同的增强文本、来源权重和更新条件。增加头监督先建立组件与完整关系因素的输入表示；加入成对对齐后，AAEC与CDCP的关系F1分别再增加1.92和1.88个百分点，文档配对95%区间为[+1.17, +2.72]和[+0.81, +2.85]。因此，在这组相同数据的比较中，完整结果的提升同时包含数据构造、辅助监督和成对目标三部分，不能将总增量全部归给对齐项。</w:t>
      </w:r>
    </w:p>
    <w:p>
      <w:r>
        <w:rPr>
          <w:rFonts w:ascii="Times New Roman" w:hAnsi="Times New Roman" w:eastAsia="Songti SC"/>
          <w:color w:val="000000"/>
        </w:rPr>
        <w:t>无增强加头仅带来较小改善，进一步说明辅助头的存在不足以解释T1的全部变化。成对约束需要依靠可靠的对应因素；若增强本身改变论证角色，预测一致性也可能稳定错误监督。对齐强度应与标签可靠性和原始任务表现共同选择，而不能只最小化一致性损失。</w:t>
      </w:r>
    </w:p>
    <w:p>
      <w:pPr>
        <w:keepNext/>
        <w:spacing w:line="240" w:lineRule="auto" w:before="80" w:after="60"/>
        <w:ind w:firstLine="0"/>
        <w:jc w:val="center"/>
      </w:pPr>
      <w:r>
        <w:drawing>
          <wp:inline xmlns:a="http://schemas.openxmlformats.org/drawingml/2006/main" xmlns:pic="http://schemas.openxmlformats.org/drawingml/2006/picture">
            <wp:extent cx="5652770" cy="2446574"/>
            <wp:docPr id="6" name="training_results.png" descr="训练侧严格关系F1与三种学习目标比较"/>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652770" cy="2446574"/>
                    </a:xfrm>
                    <a:prstGeom prst="rect"/>
                  </pic:spPr>
                </pic:pic>
              </a:graphicData>
            </a:graphic>
          </wp:inline>
        </w:drawing>
      </w:r>
    </w:p>
    <w:p>
      <w:pPr>
        <w:pStyle w:val="FigureCaption"/>
      </w:pPr>
      <w:r>
        <w:rPr>
          <w:rFonts w:ascii="Times New Roman" w:hAnsi="Times New Roman" w:eastAsia="Songti SC"/>
          <w:color w:val="000000"/>
          <w:sz w:val="21"/>
        </w:rPr>
        <w:t>图3-3 训练方案与学习目标的严格关系结果（人工情景）</w:t>
      </w:r>
      <w:bookmarkStart w:id="176" w:name="v11_176"/>
      <w:bookmarkEnd w:id="176"/>
    </w:p>
    <w:p>
      <w:pPr>
        <w:pStyle w:val="Heading3"/>
      </w:pPr>
      <w:r>
        <w:t>3.6.4 中心选择与适用条件</w:t>
      </w:r>
      <w:bookmarkStart w:id="60" w:name="v11_60"/>
      <w:bookmarkEnd w:id="60"/>
    </w:p>
    <w:p>
      <w:r>
        <w:rPr>
          <w:rFonts w:ascii="Times New Roman" w:hAnsi="Times New Roman" w:eastAsia="Songti SC"/>
          <w:color w:val="000000"/>
        </w:rPr>
        <w:t>随机中心从同一文档的全部合法组件中选择，允许结论角色和参考中心自身进入匹配池。两个中心的区域组件数、入关系数相同，区域字符总长之差除以参考长度不超过20%。参考区域有效时自身必然满足匹配条件，因此不设置unmatched；无组件、槽位重叠和资源超限按具体原因分别记录。</w:t>
      </w:r>
    </w:p>
    <w:p>
      <w:pPr>
        <w:pStyle w:val="TableCaption"/>
      </w:pPr>
      <w:r>
        <w:rPr>
          <w:rFonts w:ascii="Times New Roman" w:hAnsi="Times New Roman" w:eastAsia="Songti SC"/>
          <w:color w:val="000000"/>
          <w:sz w:val="21"/>
        </w:rPr>
        <w:t>表3-7 中心匹配的有效覆盖与自匹配（人工情景）</w:t>
      </w:r>
      <w:bookmarkStart w:id="177" w:name="v11_177"/>
      <w:bookmarkEnd w:id="17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有效参考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自匹配</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异中心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构造失败</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r>
    </w:tbl>
    <w:p>
      <w:pPr>
        <w:spacing w:after="0" w:line="240" w:lineRule="auto"/>
      </w:pPr>
    </w:p>
    <w:p>
      <w:r>
        <w:rPr>
          <w:rFonts w:ascii="Times New Roman" w:hAnsi="Times New Roman" w:eastAsia="Songti SC"/>
          <w:color w:val="000000"/>
        </w:rPr>
        <w:t>自匹配率以有效参考文档数为分母，AAEC为36.13%，CDCP为40.94%。全部有效文档比较解释中心选择策略的整体差异；异中心子集用于检查策略真正发生变化时的行为。两个集合的样本组成不同，不能把后者外推为全部文档的结论角色优势。回退文档与没有普通入关系的MajorClaim也不能单独支持这一优势。</w:t>
      </w:r>
    </w:p>
    <w:p>
      <w:pPr>
        <w:pStyle w:val="TableCaption"/>
      </w:pPr>
      <w:r>
        <w:rPr>
          <w:rFonts w:ascii="Times New Roman" w:hAnsi="Times New Roman" w:eastAsia="Songti SC"/>
          <w:color w:val="000000"/>
          <w:sz w:val="21"/>
        </w:rPr>
        <w:t>表3-8 结论中心与匹配随机中心的比较（匹配训练规模）（人工情景）</w:t>
      </w:r>
      <w:bookmarkStart w:id="178" w:name="v11_178"/>
      <w:bookmarkEnd w:id="17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82.07±0.39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60.07±0.45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74.26±0.22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54.75±0.42</w:t>
            </w:r>
          </w:p>
        </w:tc>
      </w:tr>
    </w:tbl>
    <w:p>
      <w:pPr>
        <w:spacing w:after="0" w:line="240" w:lineRule="auto"/>
      </w:pPr>
    </w:p>
    <w:p>
      <w:r>
        <w:rPr>
          <w:rFonts w:ascii="Times New Roman" w:hAnsi="Times New Roman" w:eastAsia="Songti SC"/>
          <w:color w:val="000000"/>
        </w:rPr>
        <w:t>结论中心相对匹配随机中心的关系差值为AAEC 0.50、CDCP 0.51个百分点，配对95%区间分别为[-0.22, +1.19]、[-0.48, +1.47]。区间均含0，未建立稳定的结论中心优势，完整方案增量不能归因于中心角色。</w:t>
      </w:r>
    </w:p>
    <w:p>
      <w:pPr>
        <w:pStyle w:val="Heading3"/>
      </w:pPr>
      <w:r>
        <w:t>3.6.5 生成覆盖与计算成本</w:t>
      </w:r>
      <w:bookmarkStart w:id="61" w:name="v11_61"/>
      <w:bookmarkEnd w:id="61"/>
    </w:p>
    <w:p>
      <w:pPr>
        <w:pStyle w:val="TableCaption"/>
      </w:pPr>
      <w:r>
        <w:rPr>
          <w:rFonts w:ascii="Times New Roman" w:hAnsi="Times New Roman" w:eastAsia="Songti SC"/>
          <w:color w:val="000000"/>
          <w:sz w:val="21"/>
        </w:rPr>
        <w:t>表3-9 固定尝试预算下的覆盖与构造成本（人工情景）</w:t>
      </w:r>
      <w:bookmarkStart w:id="179" w:name="v11_179"/>
      <w:bookmarkEnd w:id="17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接受率%</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源覆盖%</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生成M token</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审核M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47.19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98.75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42.81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91.25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46.12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96.90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42.93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w:t>
            </w:r>
          </w:p>
        </w:tc>
      </w:tr>
    </w:tbl>
    <w:p>
      <w:pPr>
        <w:spacing w:after="0" w:line="240" w:lineRule="auto"/>
      </w:pPr>
    </w:p>
    <w:p>
      <w:r>
        <w:rPr>
          <w:rFonts w:ascii="Times New Roman" w:hAnsi="Times New Roman" w:eastAsia="Songti SC"/>
          <w:color w:val="000000"/>
        </w:rPr>
        <w:t>固定尝试轨中，完整方案在AAEC／CDCP接受520／940个变体、覆盖292／522篇文档；匹配轨另取500／900个变体。全部尝试计费；两轨记录和旧轨训练成本见附录H.2，旧成本不用于匹配主成绩。</w:t>
      </w:r>
    </w:p>
    <w:p>
      <w:r>
        <w:rPr>
          <w:rFonts w:ascii="Times New Roman" w:hAnsi="Times New Roman" w:eastAsia="Songti SC"/>
          <w:color w:val="000000"/>
        </w:rPr>
        <w:t>增强的一次性投入与逐文档修正分开计费；严格筛选须兼顾覆盖与收益。</w:t>
      </w:r>
    </w:p>
    <w:p>
      <w:pPr>
        <w:pStyle w:val="Heading2"/>
      </w:pPr>
      <w:r>
        <w:t>3.7 本章小结</w:t>
      </w:r>
      <w:bookmarkStart w:id="62" w:name="v11_62"/>
      <w:bookmarkEnd w:id="62"/>
    </w:p>
    <w:p>
      <w:r>
        <w:rPr>
          <w:rFonts w:ascii="Times New Roman" w:hAnsi="Times New Roman" w:eastAsia="Songti SC"/>
          <w:color w:val="000000"/>
        </w:rPr>
        <w:t>本章将影响域检查和标注对应连接到成对学习。人工情景把数据构造、头监督和成对项增量分开，同时保留中心区间跨0及源覆盖下降，说明可靠性判断不能只看接受池。真实必要性、有效变化和学习收益仍待验证。</w:t>
      </w:r>
    </w:p>
    <w:p>
      <w:pPr>
        <w:pStyle w:val="Heading1"/>
      </w:pPr>
      <w:r>
        <w:t>第四章 多候选驱动的依赖闭合论辩图修正</w:t>
      </w:r>
      <w:bookmarkStart w:id="63" w:name="v11_63"/>
      <w:bookmarkEnd w:id="63"/>
    </w:p>
    <w:p>
      <w:pPr>
        <w:pStyle w:val="Heading2"/>
      </w:pPr>
      <w:r>
        <w:t>4.1 引言</w:t>
      </w:r>
      <w:bookmarkStart w:id="64" w:name="v11_64"/>
      <w:bookmarkEnd w:id="64"/>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集合修正的必要性取决于端点相关错误相对于纯关系错误的规模，以及候选中是否已有可恢复对象。组件类型、边界、遗漏与多检采用固定顺序诊断，候选缺失另作交叉维度；这些维度不能相加为互斥因果比例。当前材料没有真实错误分布，完整诊断方案见附录H.1。</w:t>
      </w:r>
    </w:p>
    <w:p>
      <w:r>
        <w:rPr>
          <w:rFonts w:ascii="Times New Roman" w:hAnsi="Times New Roman" w:eastAsia="Songti SC"/>
          <w:color w:val="000000"/>
        </w:rPr>
        <w:t>本章方法记为MCR-BR-J，J用于区分联合修正版与前期方法。方法保留完整候选图生成与初始重排序，将修正单位扩展为冲突闭合的组件集合替换，并同步重建所有依赖于变化端点的候选关系。固定文本证据评分、代价敏感效用与有限预算共同规定每次修改的依据和停止条件。下文依次说明候选空间、集合事务、评分与接受规则、求解算法，并以独立对照和机制诊断组织实验分析。</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据此，本章将问题定义为有预算的结构选择，并把同候选、同评分的全局ILP作为主要竞争方案。局部事务能明确一次变更及其依赖，但全局求解也可能提供更好的结构与保留率。研究重点是在共同准备成本、求解预算和变更要求下比较二者，而非将局部性、日志或有限终止直接视为优势。若真实比较不能形成有价值的质量、时延或变更控制取舍，则应简化局部机制或将其保留为可选修正策略。</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716740"/>
            <wp:docPr id="7" name="repair.png" descr="组件变更与关系重建的整体决策"/>
            <wp:cNvGraphicFramePr>
              <a:graphicFrameLocks noChangeAspect="1"/>
            </wp:cNvGraphicFramePr>
            <a:graphic>
              <a:graphicData uri="http://schemas.openxmlformats.org/drawingml/2006/picture">
                <pic:pic>
                  <pic:nvPicPr>
                    <pic:cNvPr id="0" name="repair.png"/>
                    <pic:cNvPicPr/>
                  </pic:nvPicPr>
                  <pic:blipFill>
                    <a:blip r:embed="rId150"/>
                    <a:stretch>
                      <a:fillRect/>
                    </a:stretch>
                  </pic:blipFill>
                  <pic:spPr>
                    <a:xfrm>
                      <a:off x="0" y="0"/>
                      <a:ext cx="5652770" cy="4716740"/>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80" w:name="v11_180"/>
      <w:bookmarkEnd w:id="180"/>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5" w:name="v11_65"/>
      <w:bookmarkEnd w:id="65"/>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6" w:name="v11_66"/>
      <w:bookmarkEnd w:id="66"/>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7" w:name="v11_67"/>
      <w:bookmarkEnd w:id="67"/>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8" w:name="v11_68"/>
      <w:bookmarkEnd w:id="68"/>
    </w:p>
    <w:p>
      <w:r>
        <w:rPr>
          <w:rFonts w:ascii="Times New Roman" w:hAnsi="Times New Roman" w:eastAsia="Songti SC"/>
          <w:color w:val="000000"/>
        </w:rPr>
        <w:t>修正开始前构建固定跨度集合</w:t>
      </w:r>
      <m:oMath>
        <m:r>
          <m:t xml:space="preserve">U</m:t>
        </m:r>
      </m:oMath>
      <w:r>
        <w:rPr>
          <w:rFonts w:ascii="Times New Roman" w:hAnsi="Times New Roman" w:eastAsia="Songti SC"/>
          <w:color w:val="000000"/>
        </w:rPr>
        <w:t>。受保护部分包含合法化后初始图及全部成功解析候选图中的合法组件跨度；对象先去重，不以概率阈值裁掉初始图。独立跨度头和有限规则扩展提供补充部分。两部分分开计数，保护对象多于补充上限时不裁初始图；若总资源无法容纳保护部分，返回候选构造失败，而不是无声改变基线。</w:t>
      </w:r>
    </w:p>
    <w:p>
      <w:r>
        <w:rPr>
          <w:rFonts w:ascii="Times New Roman" w:hAnsi="Times New Roman" w:eastAsia="Songti SC"/>
          <w:color w:val="000000"/>
        </w:rPr>
        <w:t>独立跨度头以训练金标监督起止边界，为候选召回提供补充，并在OOF中遵守与生成器相同的持出隔离。参考解码与一次性有限扩展覆盖邻近边界、相邻跨度合并和内部切分；扩展不递归，去重后才按边界分保留补充候选。坐标转换、排序和异常细则见附录A.6，边界分仅用于召回排序。</w:t>
      </w:r>
    </w:p>
    <w:p>
      <w:r>
        <w:rPr>
          <w:rFonts w:ascii="Times New Roman" w:hAnsi="Times New Roman" w:eastAsia="Songti SC"/>
          <w:color w:val="000000"/>
        </w:rPr>
        <w:t>受保护跨度不受补充长度和数量上限裁剪。候选的保护来源、补充来源及重叠数量分别登记；新增跨度不能通过改变去重或坐标规则隐式扩张候选空间。</w:t>
      </w:r>
    </w:p>
    <w:p>
      <w:r>
        <w:rPr>
          <w:rFonts w:ascii="Times New Roman" w:hAnsi="Times New Roman" w:eastAsia="Songti SC"/>
          <w:color w:val="000000"/>
        </w:rPr>
        <w:t>对</w:t>
      </w:r>
      <m:oMath>
        <m:r>
          <m:t xml:space="preserve">u</m:t>
        </m:r>
        <m:r>
          <m:t xml:space="preserve">∈</m:t>
        </m:r>
        <m:r>
          <m:t xml:space="preserve">U</m:t>
        </m:r>
      </m:oMath>
      <w:r>
        <w:rPr>
          <w:rFonts w:ascii="Times New Roman" w:hAnsi="Times New Roman" w:eastAsia="Songti SC"/>
          <w:color w:val="000000"/>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。NULL表示不选择，同一跨度至多一个类型。组件兼容按语料协议逐对判定；语义身份取决于规范跨度和类型，显示ID不进入评分。完整键与坐标映射见附录A.6。</w:t>
      </w:r>
    </w:p>
    <w:p>
      <w:pPr>
        <w:pStyle w:val="Heading3"/>
      </w:pPr>
      <w:r>
        <w:t>4.2.4 完整关系候选与无边状态</w:t>
      </w:r>
      <w:bookmarkStart w:id="69" w:name="v11_69"/>
      <w:bookmarkEnd w:id="69"/>
    </w:p>
    <w:p>
      <w:r>
        <w:rPr>
          <w:rFonts w:ascii="Times New Roman" w:hAnsi="Times New Roman" w:eastAsia="Songti SC"/>
          <w:color w:val="000000"/>
        </w:rPr>
        <w:t>关系候选池</w:t>
      </w:r>
      <m:oMath>
        <m:r>
          <m:t xml:space="preserve">P</m:t>
        </m:r>
      </m:oMath>
      <w:r>
        <w:rPr>
          <w:rFonts w:ascii="Times New Roman" w:hAnsi="Times New Roman" w:eastAsia="Songti SC"/>
          <w:color w:val="000000"/>
        </w:rPr>
        <w:t>以完整端点槽位为单位构建。AAEC枚举可共存组件的有向对；CDCP枚举可共存、最多三个源成员的有序源集合与目标。除端点互斥等必然冲突外，不按整个候选宇宙中间是否存在其他跨度预删源组合，因为中间跨度可能最终不被选中。初始图与成功解析候选图的合法完整关系槽位受保护，已有长超边完整保留；补充槽位的元数上限仅约束新增组合。</w:t>
      </w:r>
    </w:p>
    <w:p>
      <w:r>
        <w:rPr>
          <w:rFonts w:ascii="Times New Roman" w:hAnsi="Times New Roman" w:eastAsia="Songti SC"/>
          <w:color w:val="000000"/>
        </w:rPr>
        <w:t>一个槽位包含协议允许的全部关系标签，原生超边的完整源集合只算一个端点组合。槽位优先分为固定对象评分的标签最大值；按该分数降序及规范化槽位键升序保留前</w:t>
      </w:r>
      <m:oMath>
        <m:sSub>
          <m:e>
            <m:r>
              <m:t xml:space="preserve">N</m:t>
            </m:r>
          </m:e>
          <m:sub>
            <m:r>
              <m:t xml:space="preserve">s</m:t>
            </m:r>
            <m:r>
              <m:t xml:space="preserve">l</m:t>
            </m:r>
            <m:r>
              <m:t xml:space="preserve">o</m:t>
            </m:r>
            <m:r>
              <m:t xml:space="preserve">t</m:t>
            </m:r>
          </m:sub>
        </m:sSub>
      </m:oMath>
      <w:r>
        <w:rPr>
          <w:rFonts w:ascii="Times New Roman" w:hAnsi="Times New Roman" w:eastAsia="Songti SC"/>
          <w:color w:val="000000"/>
        </w:rPr>
        <w:t>个补充槽位，全部标签一起保留，NONE由不选正关系表示。用于排序的对象分在裁剪前按固定评分器求出，评分成本计入总成本；超出评分资源的预检上限则返回明确失败，不靠测试金标截断候选。</w:t>
      </w:r>
    </w:p>
    <w:p>
      <w:r>
        <w:rPr>
          <w:rFonts w:ascii="Times New Roman" w:hAnsi="Times New Roman" w:eastAsia="Songti SC"/>
          <w:color w:val="000000"/>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Heading3"/>
      </w:pPr>
      <w:r>
        <w:t>4.2.5 裁剪前规模与资源预检</w:t>
      </w:r>
      <w:bookmarkStart w:id="70" w:name="v11_70"/>
      <w:bookmarkEnd w:id="70"/>
    </w:p>
    <w:p>
      <w:r>
        <w:rPr>
          <w:rFonts w:ascii="Times New Roman" w:hAnsi="Times New Roman" w:eastAsia="Songti SC"/>
          <w:color w:val="000000"/>
        </w:rPr>
        <w:t>保留4096个补充槽位，只约束最终进入搜索的数量。设候选宇宙含</w:t>
      </w:r>
      <m:oMath>
        <m:r>
          <m:t xml:space="preserve">m</m:t>
        </m:r>
      </m:oMath>
      <w:r>
        <w:rPr>
          <w:rFonts w:ascii="Times New Roman" w:hAnsi="Times New Roman" w:eastAsia="Songti SC"/>
          <w:color w:val="000000"/>
        </w:rPr>
        <w:t>个可区分跨度、每跨度至多</w:t>
      </w:r>
      <m:oMath>
        <m:r>
          <m:t xml:space="preserve">q</m:t>
        </m:r>
      </m:oMath>
      <w:r>
        <w:rPr>
          <w:rFonts w:ascii="Times New Roman" w:hAnsi="Times New Roman" w:eastAsia="Songti SC"/>
          <w:color w:val="000000"/>
        </w:rPr>
        <w:t>类，在忽略冲突和标签掩码的宽松计数下，AAEC有至多</w:t>
      </w:r>
      <m:oMath>
        <m:r>
          <m:t xml:space="preserve">m</m:t>
        </m:r>
        <m:r>
          <m:t xml:space="preserve">(</m:t>
        </m:r>
        <m:r>
          <m:t xml:space="preserve">m</m:t>
        </m:r>
        <m:r>
          <m:t xml:space="preserve">-</m:t>
        </m:r>
        <m:r>
          <m:t xml:space="preserve">1</m:t>
        </m:r>
        <m:r>
          <m:t xml:space="preserve">)</m:t>
        </m:r>
        <m:sSup>
          <m:e>
            <m:r>
              <m:t xml:space="preserve">q</m:t>
            </m:r>
          </m:e>
          <m:sup>
            <m:r>
              <m:t xml:space="preserve">2</m:t>
            </m:r>
          </m:sup>
        </m:sSup>
      </m:oMath>
      <w:r>
        <w:rPr>
          <w:rFonts w:ascii="Times New Roman" w:hAnsi="Times New Roman" w:eastAsia="Songti SC"/>
          <w:color w:val="000000"/>
        </w:rPr>
        <w:t>个带类型端点槽位；CDCP新增源成员数不超过3时，枚举规模可达</w:t>
      </w:r>
      <m:oMath>
        <m:sSubSup>
          <m:e>
            <m:r>
              <m:t xml:space="preserve">∑</m:t>
            </m:r>
          </m:e>
          <m:sub>
            <m:r>
              <m:t xml:space="preserve">k</m:t>
            </m:r>
            <m:r>
              <m:t xml:space="preserve">=</m:t>
            </m:r>
            <m:r>
              <m:t xml:space="preserve">1</m:t>
            </m:r>
          </m:sub>
          <m:sup>
            <m:r>
              <m:t xml:space="preserve">3</m:t>
            </m:r>
          </m:sup>
        </m:sSubSup>
        <m:r>
          <m:t xml:space="preserve">C</m:t>
        </m:r>
        <m:r>
          <m:t xml:space="preserve">(</m:t>
        </m:r>
        <m:r>
          <m:t xml:space="preserve">m</m:t>
        </m:r>
        <m:r>
          <m:t xml:space="preserve">,</m:t>
        </m:r>
        <m:r>
          <m:t xml:space="preserve">k</m:t>
        </m:r>
        <m:r>
          <m:t xml:space="preserve">)</m:t>
        </m:r>
        <m:r>
          <m:t xml:space="preserve">(</m:t>
        </m:r>
        <m:r>
          <m:t xml:space="preserve">m</m:t>
        </m:r>
        <m:r>
          <m:t xml:space="preserve">-</m:t>
        </m:r>
        <m:r>
          <m:t xml:space="preserve">k</m:t>
        </m:r>
        <m:r>
          <m:t xml:space="preserve">)</m:t>
        </m:r>
        <m:sSup>
          <m:e>
            <m:r>
              <m:t xml:space="preserve">q</m:t>
            </m:r>
          </m:e>
          <m:sup>
            <m:r>
              <m:t xml:space="preserve">k</m:t>
            </m:r>
            <m:r>
              <m:t xml:space="preserve">+</m:t>
            </m:r>
            <m:r>
              <m:t xml:space="preserve">1</m:t>
            </m:r>
          </m:sup>
        </m:sSup>
      </m:oMath>
      <w:r>
        <w:rPr>
          <w:rFonts w:ascii="Times New Roman" w:hAnsi="Times New Roman" w:eastAsia="Songti SC"/>
          <w:color w:val="000000"/>
        </w:rPr>
        <w:t>。其中</w:t>
      </w:r>
      <m:oMath>
        <m:r>
          <m:t xml:space="preserve">C</m:t>
        </m:r>
        <m:r>
          <m:t xml:space="preserve">(</m:t>
        </m:r>
        <m:r>
          <m:t xml:space="preserve">m</m:t>
        </m:r>
        <m:r>
          <m:t xml:space="preserve">,</m:t>
        </m:r>
        <m:r>
          <m:t xml:space="preserve">k</m:t>
        </m:r>
        <m:r>
          <m:t xml:space="preserve">)</m:t>
        </m:r>
      </m:oMath>
      <w:r>
        <w:rPr>
          <w:rFonts w:ascii="Times New Roman" w:hAnsi="Times New Roman" w:eastAsia="Songti SC"/>
          <w:color w:val="000000"/>
        </w:rPr>
        <w:t>为组合数。实际合法性会减少数量，受保护长超边则另行加入。该计数说明候选补充的组合增长发生在裁剪之前，并不等于实测内存或运行时间。</w:t>
      </w:r>
    </w:p>
    <w:p>
      <w:r>
        <w:rPr>
          <w:rFonts w:ascii="Times New Roman" w:hAnsi="Times New Roman" w:eastAsia="Songti SC"/>
          <w:color w:val="000000"/>
        </w:rPr>
        <w:t>资源限制须作用于裁剪前枚举和完整评分，阈值只由训练侧资源探测确定。超限作为构造失败保留，已耗时间及金标仍进入成本和评价；保护部分超限时不能靠删除初始正确对象满足限制。当前材料尚不能量化预检拒绝比例及恢复空间损失，计量字段见附录H.3。</w:t>
      </w:r>
    </w:p>
    <w:p>
      <w:r>
        <w:rPr>
          <w:rFonts w:ascii="Times New Roman" w:hAnsi="Times New Roman" w:eastAsia="Songti SC"/>
          <w:color w:val="000000"/>
        </w:rPr>
        <w:t>当前保持既定候选策略，以实际规模测量决定是否需要改变它。若裁剪前枚举不可承受，再比较预筛选或受限生成，并重新测量覆盖及完整关系遗漏；所有局部／全局对照都使用改变后同一候选快照。资源字段及失败分母见附录H.3。</w:t>
      </w:r>
    </w:p>
    <w:p>
      <w:pPr>
        <w:pStyle w:val="Heading2"/>
      </w:pPr>
      <w:r>
        <w:t>4.3 组件集合替换与受影响关系重建</w:t>
      </w:r>
      <w:bookmarkStart w:id="71" w:name="v11_71"/>
      <w:bookmarkEnd w:id="71"/>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2" w:name="v11_72"/>
      <w:bookmarkEnd w:id="72"/>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。本章的</w:t>
      </w:r>
      <m:oMath>
        <m:sSub>
          <m:e>
            <m:r>
              <m:t xml:space="preserve">D</m:t>
            </m:r>
          </m:e>
          <m:sub>
            <m:r>
              <m:t xml:space="preserve">0</m:t>
            </m:r>
          </m:sub>
        </m:sSub>
      </m:oMath>
      <w:r>
        <w:rPr>
          <w:rFonts w:ascii="Times New Roman" w:hAnsi="Times New Roman" w:eastAsia="Songti SC"/>
          <w:color w:val="000000"/>
        </w:rPr>
        <w:t>和</w:t>
      </w:r>
      <m:oMath>
        <m:r>
          <m:t xml:space="preserve">D</m:t>
        </m:r>
      </m:oMath>
      <w:r>
        <w:rPr>
          <w:rFonts w:ascii="Times New Roman" w:hAnsi="Times New Roman" w:eastAsia="Songti SC"/>
          <w:color w:val="000000"/>
        </w:rPr>
        <w:t>均为待删除组件的集合，输入文档始终记为</w:t>
      </w:r>
      <m:oMath>
        <m:r>
          <m:t xml:space="preserve">x</m:t>
        </m:r>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3" w:name="v11_73"/>
      <w:bookmarkEnd w:id="73"/>
    </w:p>
    <w:p>
      <w:r>
        <w:rPr>
          <w:rFonts w:ascii="Times New Roman" w:hAnsi="Times New Roman" w:eastAsia="Songti SC"/>
          <w:color w:val="000000"/>
        </w:rPr>
        <w:t>“依赖闭合”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令变化对象集合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包含删除的旧组件与加入的新组件，不同于第三章允许改写文字的组件集合。</w:t>
      </w:r>
      <m:oMath>
        <m:sSub>
          <m:e>
            <m:r>
              <m:t xml:space="preserve">P</m:t>
            </m:r>
          </m:e>
          <m:sub>
            <m:r>
              <m:t xml:space="preserve">A</m:t>
            </m:r>
          </m:sub>
        </m:sSub>
      </m:oMath>
      <w:r>
        <w:rPr>
          <w:rFonts w:ascii="Times New Roman" w:hAnsi="Times New Roman" w:eastAsia="Songti SC"/>
          <w:color w:val="000000"/>
        </w:rPr>
        <w:t xml:space="preserve"> 包含候选池 </w:t>
      </w:r>
      <m:oMath>
        <m:r>
          <m:t xml:space="preserve">P</m:t>
        </m:r>
      </m:oMath>
      <w:r>
        <w:rPr>
          <w:rFonts w:ascii="Times New Roman" w:hAnsi="Times New Roman" w:eastAsia="Songti SC"/>
          <w:color w:val="000000"/>
        </w:rPr>
        <w:t xml:space="preserve"> 中接触变化对象集合 </w:t>
      </w:r>
      <m:oMath>
        <m:r>
          <m:t xml:space="preserve">A</m:t>
        </m:r>
      </m:oMath>
      <w:r>
        <w:rPr>
          <w:rFonts w:ascii="Times New Roman" w:hAnsi="Times New Roman" w:eastAsia="Songti SC"/>
          <w:color w:val="000000"/>
        </w:rPr>
        <w:t xml:space="preserve"> 任一对象的全部关系，同时覆盖入边、出边、原有正关系和原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时，其全部合法标签候选一同进入；二元反向修改遵循4.2.4节的双槽位条件；任一方向缺失或当前非法时不进入反向队列，不能仅重选已有方向后称为反向。</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。事务外关系保持固定，但全局约束在整图上检查。本版固定采用最小合法化扩域：将组件变化后失效的已选事务外关系所在完整槽位加入</w:t>
      </w:r>
      <m:oMath>
        <m:sSub>
          <m:e>
            <m:r>
              <m:t xml:space="preserve">S</m:t>
            </m:r>
          </m:e>
          <m:sub>
            <m:r>
              <m:t xml:space="preserve">R</m:t>
            </m:r>
          </m:sub>
        </m:sSub>
      </m:oMath>
      <w:r>
        <w:rPr>
          <w:rFonts w:ascii="Times New Roman" w:hAnsi="Times New Roman" w:eastAsia="Songti SC"/>
          <w:color w:val="000000"/>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r>
        <w:rPr>
          <w:rFonts w:ascii="Times New Roman" w:hAnsi="Times New Roman" w:eastAsia="Songti SC"/>
          <w:color w:val="000000"/>
        </w:rPr>
        <w:t>CDCP的源连续性还依赖哪些中间组件被选中，因此需要区分“旧关系失效”和“未选槽位变得合法”。例如，当前组件按位置排列为</w:t>
      </w:r>
      <m:oMath>
        <m:r>
          <m:t xml:space="preserve">a</m:t>
        </m:r>
        <m:r>
          <m:t xml:space="preserve">,</m:t>
        </m:r>
        <m:r>
          <m:t xml:space="preserve">b</m:t>
        </m:r>
        <m:r>
          <m:t xml:space="preserve">,</m:t>
        </m:r>
        <m:r>
          <m:t xml:space="preserve">c</m:t>
        </m:r>
        <m:r>
          <m:t xml:space="preserve">,</m:t>
        </m:r>
        <m:r>
          <m:t xml:space="preserve">t</m:t>
        </m:r>
      </m:oMath>
      <w:r>
        <w:rPr>
          <w:rFonts w:ascii="Times New Roman" w:hAnsi="Times New Roman" w:eastAsia="Songti SC"/>
          <w:color w:val="000000"/>
        </w:rPr>
        <w:t>，固定候选池已包含</w:t>
      </w:r>
      <m:oMath>
        <m:r>
          <m:t xml:space="preserve">h</m:t>
        </m:r>
        <m:r>
          <m:t xml:space="preserve">=</m:t>
        </m:r>
        <m:r>
          <m:t xml:space="preserve">(</m:t>
        </m:r>
        <m:r>
          <m:rPr>
            <m:sty m:val="p"/>
          </m:rPr>
          <m:t xml:space="preserve">{</m:t>
        </m:r>
        <m:r>
          <m:t xml:space="preserve">a</m:t>
        </m:r>
        <m:r>
          <m:t xml:space="preserve">,</m:t>
        </m:r>
        <m:r>
          <m:t xml:space="preserve">c</m:t>
        </m:r>
        <m:r>
          <m:rPr>
            <m:sty m:val="p"/>
          </m:rPr>
          <m:t xml:space="preserve">}</m:t>
        </m:r>
        <m:r>
          <m:t xml:space="preserve">,</m:t>
        </m:r>
        <m:r>
          <m:t xml:space="preserve">t</m:t>
        </m:r>
        <m:r>
          <m:t xml:space="preserve">,</m:t>
        </m:r>
        <m:r>
          <m:rPr>
            <m:sty m:val="p"/>
          </m:rPr>
          <m:t xml:space="preserve">Reason</m:t>
        </m:r>
        <m:r>
          <m:t xml:space="preserve">)</m:t>
        </m:r>
      </m:oMath>
      <w:r>
        <w:rPr>
          <w:rFonts w:ascii="Times New Roman" w:hAnsi="Times New Roman" w:eastAsia="Songti SC"/>
          <w:color w:val="000000"/>
        </w:rPr>
        <w:t>。由于</w:t>
      </w:r>
      <m:oMath>
        <m:r>
          <m:t xml:space="preserve">b</m:t>
        </m:r>
      </m:oMath>
      <w:r>
        <w:rPr>
          <w:rFonts w:ascii="Times New Roman" w:hAnsi="Times New Roman" w:eastAsia="Songti SC"/>
          <w:color w:val="000000"/>
        </w:rPr>
        <w:t>位于两个源成员之间，</w:t>
      </w:r>
      <m:oMath>
        <m:r>
          <m:t xml:space="preserve">h</m:t>
        </m:r>
      </m:oMath>
      <w:r>
        <w:rPr>
          <w:rFonts w:ascii="Times New Roman" w:hAnsi="Times New Roman" w:eastAsia="Songti SC"/>
          <w:color w:val="000000"/>
        </w:rPr>
        <w:t>当前非法且未被选中。若删除</w:t>
      </w:r>
      <m:oMath>
        <m:r>
          <m:t xml:space="preserve">b</m:t>
        </m:r>
      </m:oMath>
      <w:r>
        <w:rPr>
          <w:rFonts w:ascii="Times New Roman" w:hAnsi="Times New Roman" w:eastAsia="Songti SC"/>
          <w:color w:val="000000"/>
        </w:rPr>
        <w:t>的事务获准提交，</w:t>
      </w:r>
      <m:oMath>
        <m:r>
          <m:t xml:space="preserve">h</m:t>
        </m:r>
      </m:oMath>
      <w:r>
        <w:rPr>
          <w:rFonts w:ascii="Times New Roman" w:hAnsi="Times New Roman" w:eastAsia="Songti SC"/>
          <w:color w:val="000000"/>
        </w:rPr>
        <w:t>便满足源连续性，但其端点</w:t>
      </w:r>
      <m:oMath>
        <m:r>
          <m:t xml:space="preserve">a</m:t>
        </m:r>
        <m:r>
          <m:t xml:space="preserve">,</m:t>
        </m:r>
        <m:r>
          <m:t xml:space="preserve">c</m:t>
        </m:r>
        <m:r>
          <m:t xml:space="preserve">,</m:t>
        </m:r>
        <m:r>
          <m:t xml:space="preserve">t</m:t>
        </m:r>
      </m:oMath>
      <w:r>
        <w:rPr>
          <w:rFonts w:ascii="Times New Roman" w:hAnsi="Times New Roman" w:eastAsia="Songti SC"/>
          <w:color w:val="000000"/>
        </w:rPr>
        <w:t>均未变化，故</w:t>
      </w:r>
      <m:oMath>
        <m:r>
          <m:t xml:space="preserve">h</m:t>
        </m:r>
      </m:oMath>
      <w:r>
        <w:rPr>
          <w:rFonts w:ascii="Times New Roman" w:hAnsi="Times New Roman" w:eastAsia="Songti SC"/>
          <w:color w:val="000000"/>
        </w:rPr>
        <w:t>不属于该事务的</w:t>
      </w:r>
      <m:oMath>
        <m:sSub>
          <m:e>
            <m:r>
              <m:t xml:space="preserve">P</m:t>
            </m:r>
          </m:e>
          <m:sub>
            <m:r>
              <m:t xml:space="preserve">A</m:t>
            </m:r>
          </m:sub>
        </m:sSub>
      </m:oMath>
      <w:r>
        <w:rPr>
          <w:rFonts w:ascii="Times New Roman" w:hAnsi="Times New Roman" w:eastAsia="Songti SC"/>
          <w:color w:val="000000"/>
        </w:rPr>
        <w:t>；若该事务的</w:t>
      </w:r>
      <m:oMath>
        <m:sSub>
          <m:e>
            <m:r>
              <m:t xml:space="preserve">S</m:t>
            </m:r>
          </m:e>
          <m:sub>
            <m:r>
              <m:t xml:space="preserve">R</m:t>
            </m:r>
          </m:sub>
        </m:sSub>
      </m:oMath>
      <w:r>
        <w:rPr>
          <w:rFonts w:ascii="Times New Roman" w:hAnsi="Times New Roman" w:eastAsia="Songti SC"/>
          <w:color w:val="000000"/>
        </w:rPr>
        <w:t>也未包含它，</w:t>
      </w:r>
      <m:oMath>
        <m:r>
          <m:t xml:space="preserve">h</m:t>
        </m:r>
      </m:oMath>
      <w:r>
        <w:rPr>
          <w:rFonts w:ascii="Times New Roman" w:hAnsi="Times New Roman" w:eastAsia="Songti SC"/>
          <w:color w:val="000000"/>
        </w:rPr>
        <w:t>仍保持未选状态。为保留整图合法性而扩域，并不自动触发对这类新合法槽位的枚举。</w:t>
      </w:r>
    </w:p>
    <w:p>
      <w:r>
        <w:rPr>
          <w:rFonts w:ascii="Times New Roman" w:hAnsi="Times New Roman" w:eastAsia="Songti SC"/>
          <w:color w:val="000000"/>
        </w:rPr>
        <w:t>在上述新状态中，若保持</w:t>
      </w:r>
      <m:oMath>
        <m:r>
          <m:t xml:space="preserve">h</m:t>
        </m:r>
      </m:oMath>
      <w:r>
        <w:rPr>
          <w:rFonts w:ascii="Times New Roman" w:hAnsi="Times New Roman" w:eastAsia="Songti SC"/>
          <w:color w:val="000000"/>
        </w:rPr>
        <w:t>的端点不变，后续提议仍需将</w:t>
      </w:r>
      <m:oMath>
        <m:r>
          <m:t xml:space="preserve">h</m:t>
        </m:r>
      </m:oMath>
      <w:r>
        <w:rPr>
          <w:rFonts w:ascii="Times New Roman" w:hAnsi="Times New Roman" w:eastAsia="Songti SC"/>
          <w:color w:val="000000"/>
        </w:rPr>
        <w:t>所在槽位纳入</w:t>
      </w:r>
      <m:oMath>
        <m:sSub>
          <m:e>
            <m:r>
              <m:t xml:space="preserve">S</m:t>
            </m:r>
          </m:e>
          <m:sub>
            <m:r>
              <m:t xml:space="preserve">R</m:t>
            </m:r>
          </m:sub>
        </m:sSub>
      </m:oMath>
      <w:r>
        <w:rPr>
          <w:rFonts w:ascii="Times New Roman" w:hAnsi="Times New Roman" w:eastAsia="Songti SC"/>
          <w:color w:val="000000"/>
        </w:rPr>
        <w:t>，实际进入并执行于队列，且通过合法性、效用门与剩余预算检查，才可能恢复</w:t>
      </w:r>
      <m:oMath>
        <m:r>
          <m:t xml:space="preserve">h</m:t>
        </m:r>
      </m:oMath>
      <w:r>
        <w:rPr>
          <w:rFonts w:ascii="Times New Roman" w:hAnsi="Times New Roman" w:eastAsia="Songti SC"/>
          <w:color w:val="000000"/>
        </w:rPr>
        <w:t>。若删除</w:t>
      </w:r>
      <m:oMath>
        <m:r>
          <m:t xml:space="preserve">b</m:t>
        </m:r>
      </m:oMath>
      <w:r>
        <w:rPr>
          <w:rFonts w:ascii="Times New Roman" w:hAnsi="Times New Roman" w:eastAsia="Songti SC"/>
          <w:color w:val="000000"/>
        </w:rPr>
        <w:t>未被接受、候选池不含</w:t>
      </w:r>
      <m:oMath>
        <m:r>
          <m:t xml:space="preserve">h</m:t>
        </m:r>
      </m:oMath>
      <w:r>
        <w:rPr>
          <w:rFonts w:ascii="Times New Roman" w:hAnsi="Times New Roman" w:eastAsia="Songti SC"/>
          <w:color w:val="000000"/>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4" w:name="v11_74"/>
      <w:bookmarkEnd w:id="74"/>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5" w:name="v11_75"/>
      <w:bookmarkEnd w:id="75"/>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4.4.2 训练外候选与概率校准</w:t>
      </w:r>
      <w:bookmarkStart w:id="76" w:name="v11_76"/>
      <w:bookmarkEnd w:id="76"/>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2.6.1的拟合、校准和策略用途，不将校准或策略标签合并回评分器拟合池。</w:t>
      </w:r>
    </w:p>
    <w:p>
      <w:r>
        <w:rPr>
          <w:rFonts w:ascii="Times New Roman" w:hAnsi="Times New Roman" w:eastAsia="Songti SC"/>
          <w:color w:val="000000"/>
        </w:rPr>
        <w:t>初始配置采用训练内三折OOF，折划分与开发集用途按2.6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4.6.4和4.6.5节进一步分析评分及误改。</w:t>
      </w:r>
    </w:p>
    <w:p>
      <w:pPr>
        <w:pStyle w:val="Heading3"/>
      </w:pPr>
      <w:r>
        <w:t>4.4.3 固定计数效用</w:t>
      </w:r>
      <w:bookmarkStart w:id="77" w:name="v11_77"/>
      <w:bookmarkEnd w:id="77"/>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8" w:name="v11_78"/>
      <w:bookmarkEnd w:id="78"/>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3"/>
      </w:pPr>
      <w:r>
        <w:t>4.4.5 联合修正的教学算例</w:t>
      </w:r>
      <w:bookmarkStart w:id="79" w:name="v11_79"/>
      <w:bookmarkEnd w:id="79"/>
    </w:p>
    <w:p>
      <w:r>
        <w:rPr>
          <w:rFonts w:ascii="Times New Roman" w:hAnsi="Times New Roman" w:eastAsia="Songti SC"/>
          <w:color w:val="000000"/>
        </w:rPr>
        <w:t>以下用人工设定的二元图与分数说明一次完整决策，不对应AAEC或CDCP的观测样本，也不用于评价方法效果。设当前预测图含三个组件：</w:t>
      </w:r>
      <m:oMath>
        <m:sSub>
          <m:e>
            <m:r>
              <m:t xml:space="preserve">c</m:t>
            </m:r>
          </m:e>
          <m:sub>
            <m:r>
              <m:t xml:space="preserve">1</m:t>
            </m:r>
          </m:sub>
        </m:sSub>
      </m:oMath>
      <w:r>
        <w:rPr>
          <w:rFonts w:ascii="Times New Roman" w:hAnsi="Times New Roman" w:eastAsia="Songti SC"/>
          <w:color w:val="000000"/>
        </w:rPr>
        <w:t>为Claim，</w:t>
      </w:r>
      <m:oMath>
        <m:sSubSup>
          <m:e>
            <m:r>
              <m:t xml:space="preserve">c</m:t>
            </m:r>
          </m:e>
          <m:sub>
            <m:r>
              <m:t xml:space="preserve">2</m:t>
            </m:r>
          </m:sub>
          <m:sup>
            <m:r>
              <m:t xml:space="preserve">o</m:t>
            </m:r>
          </m:sup>
        </m:sSubSup>
      </m:oMath>
      <w:r>
        <w:rPr>
          <w:rFonts w:ascii="Times New Roman" w:hAnsi="Times New Roman" w:eastAsia="Songti SC"/>
          <w:color w:val="000000"/>
        </w:rPr>
        <w:t>和</w:t>
      </w:r>
      <m:oMath>
        <m:sSub>
          <m:e>
            <m:r>
              <m:t xml:space="preserve">c</m:t>
            </m:r>
          </m:e>
          <m:sub>
            <m:r>
              <m:t xml:space="preserve">3</m:t>
            </m:r>
          </m:sub>
        </m:sSub>
      </m:oMath>
      <w:r>
        <w:rPr>
          <w:rFonts w:ascii="Times New Roman" w:hAnsi="Times New Roman" w:eastAsia="Songti SC"/>
          <w:color w:val="000000"/>
        </w:rPr>
        <w:t>为Premise。当前图选中两条Support关系，分别为</w:t>
      </w:r>
      <m:oMath>
        <m:sSubSup>
          <m:e>
            <m:r>
              <m:t xml:space="preserve">r</m:t>
            </m:r>
          </m:e>
          <m:sub>
            <m:r>
              <m:t xml:space="preserve">1</m:t>
            </m:r>
          </m:sub>
          <m:sup>
            <m:r>
              <m:t xml:space="preserve">o</m:t>
            </m:r>
          </m:sup>
        </m:sSubSup>
        <m:r>
          <m:t xml:space="preserve">=</m:t>
        </m:r>
        <m:r>
          <m:t xml:space="preserve">(</m:t>
        </m:r>
        <m:sSubSup>
          <m:e>
            <m:r>
              <m:t xml:space="preserve">c</m:t>
            </m:r>
          </m:e>
          <m:sub>
            <m:r>
              <m:t xml:space="preserve">2</m:t>
            </m:r>
          </m:sub>
          <m:sup>
            <m:r>
              <m:t xml:space="preserve">o</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o</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o</m:t>
            </m:r>
          </m:sup>
        </m:sSubSup>
        <m:r>
          <m:t xml:space="preserve">,</m:t>
        </m:r>
        <m:r>
          <m:rPr>
            <m:sty m:val="p"/>
          </m:rPr>
          <m:t xml:space="preserve">Support</m:t>
        </m:r>
        <m:r>
          <m:t xml:space="preserve">)</m:t>
        </m:r>
      </m:oMath>
      <w:r>
        <w:rPr>
          <w:rFonts w:ascii="Times New Roman" w:hAnsi="Times New Roman" w:eastAsia="Songti SC"/>
          <w:color w:val="000000"/>
        </w:rPr>
        <w:t>。候选池另含</w:t>
      </w:r>
      <m:oMath>
        <m:sSubSup>
          <m:e>
            <m:r>
              <m:t xml:space="preserve">c</m:t>
            </m:r>
          </m:e>
          <m:sub>
            <m:r>
              <m:t xml:space="preserve">2</m:t>
            </m:r>
          </m:sub>
          <m:sup>
            <m:r>
              <m:t xml:space="preserve">a</m:t>
            </m:r>
          </m:sup>
        </m:sSubSup>
      </m:oMath>
      <w:r>
        <w:rPr>
          <w:rFonts w:ascii="Times New Roman" w:hAnsi="Times New Roman" w:eastAsia="Songti SC"/>
          <w:color w:val="000000"/>
        </w:rPr>
        <w:t>与</w:t>
      </w:r>
      <m:oMath>
        <m:sSubSup>
          <m:e>
            <m:r>
              <m:t xml:space="preserve">c</m:t>
            </m:r>
          </m:e>
          <m:sub>
            <m:r>
              <m:t xml:space="preserve">2</m:t>
            </m:r>
          </m:sub>
          <m:sup>
            <m:r>
              <m:t xml:space="preserve">b</m:t>
            </m:r>
          </m:sup>
        </m:sSubSup>
      </m:oMath>
      <w:r>
        <w:rPr>
          <w:rFonts w:ascii="Times New Roman" w:hAnsi="Times New Roman" w:eastAsia="Songti SC"/>
          <w:color w:val="000000"/>
        </w:rPr>
        <w:t>，二者均为</w:t>
      </w:r>
      <m:oMath>
        <m:sSubSup>
          <m:e>
            <m:r>
              <m:t xml:space="preserve">c</m:t>
            </m:r>
          </m:e>
          <m:sub>
            <m:r>
              <m:t xml:space="preserve">2</m:t>
            </m:r>
          </m:sub>
          <m:sup>
            <m:r>
              <m:t xml:space="preserve">o</m:t>
            </m:r>
          </m:sup>
        </m:sSubSup>
      </m:oMath>
      <w:r>
        <w:rPr>
          <w:rFonts w:ascii="Times New Roman" w:hAnsi="Times New Roman" w:eastAsia="Songti SC"/>
          <w:color w:val="000000"/>
        </w:rPr>
        <w:t>的不同边界版本，与</w:t>
      </w:r>
      <m:oMath>
        <m:sSubSup>
          <m:e>
            <m:r>
              <m:t xml:space="preserve">c</m:t>
            </m:r>
          </m:e>
          <m:sub>
            <m:r>
              <m:t xml:space="preserve">2</m:t>
            </m:r>
          </m:sub>
          <m:sup>
            <m:r>
              <m:t xml:space="preserve">o</m:t>
            </m:r>
          </m:sup>
        </m:sSubSup>
      </m:oMath>
      <w:r>
        <w:rPr>
          <w:rFonts w:ascii="Times New Roman" w:hAnsi="Times New Roman" w:eastAsia="Songti SC"/>
          <w:color w:val="000000"/>
        </w:rPr>
        <w:t>相冲突，但不与</w:t>
      </w:r>
      <m:oMath>
        <m:sSub>
          <m:e>
            <m:r>
              <m:t xml:space="preserve">c</m:t>
            </m:r>
          </m:e>
          <m:sub>
            <m:r>
              <m:t xml:space="preserve">1</m:t>
            </m:r>
          </m:sub>
        </m:sSub>
        <m:r>
          <m:t xml:space="preserve">,</m:t>
        </m:r>
        <m:sSub>
          <m:e>
            <m:r>
              <m:t xml:space="preserve">c</m:t>
            </m:r>
          </m:e>
          <m:sub>
            <m:r>
              <m:t xml:space="preserve">3</m:t>
            </m:r>
          </m:sub>
        </m:sSub>
      </m:oMath>
      <w:r>
        <w:rPr>
          <w:rFonts w:ascii="Times New Roman" w:hAnsi="Times New Roman" w:eastAsia="Songti SC"/>
          <w:color w:val="000000"/>
        </w:rPr>
        <w:t>重叠。三个版本两两不能同时选中；当前图没有其他关系接触</w:t>
      </w:r>
      <m:oMath>
        <m:sSubSup>
          <m:e>
            <m:r>
              <m:t xml:space="preserve">c</m:t>
            </m:r>
          </m:e>
          <m:sub>
            <m:r>
              <m:t xml:space="preserve">2</m:t>
            </m:r>
          </m:sub>
          <m:sup>
            <m:r>
              <m:t xml:space="preserve">o</m:t>
            </m:r>
          </m:sup>
        </m:sSubSup>
      </m:oMath>
      <w:r>
        <w:rPr>
          <w:rFonts w:ascii="Times New Roman" w:hAnsi="Times New Roman" w:eastAsia="Songti SC"/>
          <w:color w:val="000000"/>
        </w:rPr>
        <w:t>。</w:t>
      </w:r>
    </w:p>
    <w:p>
      <w:r>
        <w:rPr>
          <w:rFonts w:ascii="Times New Roman" w:hAnsi="Times New Roman" w:eastAsia="Songti SC"/>
          <w:color w:val="000000"/>
        </w:rPr>
        <w:t>（1）固定评分与预算。设</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κ</m:t>
            </m:r>
          </m:e>
          <m:sub>
            <m:r>
              <m:t xml:space="preserve">R</m:t>
            </m:r>
          </m:sub>
        </m:sSub>
        <m:r>
          <m:t xml:space="preserve">=</m:t>
        </m:r>
        <m:r>
          <m:t xml:space="preserve">0</m:t>
        </m:r>
        <m:r>
          <m:t xml:space="preserve">.</m:t>
        </m:r>
        <m:r>
          <m:t xml:space="preserve">2</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w:t>
      </w:r>
      <m:oMath>
        <m:r>
          <m:t xml:space="preserve">δ</m:t>
        </m:r>
        <m:r>
          <m:t xml:space="preserve">=</m:t>
        </m:r>
        <m:r>
          <m:t xml:space="preserve">0</m:t>
        </m:r>
        <m:r>
          <m:t xml:space="preserve">.</m:t>
        </m:r>
        <m:r>
          <m:t xml:space="preserve">0</m:t>
        </m:r>
        <m:r>
          <m:t xml:space="preserve">2</m:t>
        </m:r>
      </m:oMath>
      <w:r>
        <w:rPr>
          <w:rFonts w:ascii="Times New Roman" w:hAnsi="Times New Roman" w:eastAsia="Songti SC"/>
          <w:color w:val="000000"/>
        </w:rPr>
        <w:t>，剩余组件和关系编辑预算分别至少为2和4。三个边界版本的组件分数为</w:t>
      </w:r>
      <m:oMath>
        <m:sSub>
          <m:e>
            <m:r>
              <m:t xml:space="preserve">q</m:t>
            </m:r>
          </m:e>
          <m:sub>
            <m:r>
              <m:t xml:space="preserve">C</m:t>
            </m:r>
          </m:sub>
        </m:sSub>
        <m:r>
          <m:t xml:space="preserve">(</m:t>
        </m:r>
        <m:sSubSup>
          <m:e>
            <m:r>
              <m:t xml:space="preserve">c</m:t>
            </m:r>
          </m:e>
          <m:sub>
            <m:r>
              <m:t xml:space="preserve">2</m:t>
            </m:r>
          </m:sub>
          <m:sup>
            <m:r>
              <m:t xml:space="preserve">o</m:t>
            </m:r>
          </m:sup>
        </m:sSubSup>
        <m:r>
          <m:t xml:space="preserve">)</m:t>
        </m:r>
        <m:r>
          <m:t xml:space="preserve">=</m:t>
        </m:r>
        <m:r>
          <m:t xml:space="preserve">0</m:t>
        </m:r>
        <m:r>
          <m:t xml:space="preserve">.</m:t>
        </m:r>
        <m:r>
          <m:t xml:space="preserve">2</m:t>
        </m:r>
        <m:r>
          <m:t xml:space="preserve">0</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a</m:t>
            </m:r>
          </m:sup>
        </m:sSubSup>
        <m:r>
          <m:t xml:space="preserve">)</m:t>
        </m:r>
        <m:r>
          <m:t xml:space="preserve">=</m:t>
        </m:r>
        <m:r>
          <m:t xml:space="preserve">0</m:t>
        </m:r>
        <m:r>
          <m:t xml:space="preserve">.</m:t>
        </m:r>
        <m:r>
          <m:t xml:space="preserve">4</m:t>
        </m:r>
        <m:r>
          <m:t xml:space="preserve">5</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b</m:t>
            </m:r>
          </m:sup>
        </m:sSubSup>
        <m:r>
          <m:t xml:space="preserve">)</m:t>
        </m:r>
        <m:r>
          <m:t xml:space="preserve">=</m:t>
        </m:r>
        <m:r>
          <m:t xml:space="preserve">0</m:t>
        </m:r>
        <m:r>
          <m:t xml:space="preserve">.</m:t>
        </m:r>
        <m:r>
          <m:t xml:space="preserve">3</m:t>
        </m:r>
        <m:r>
          <m:t xml:space="preserve">5</m:t>
        </m:r>
      </m:oMath>
      <w:r>
        <w:rPr>
          <w:rFonts w:ascii="Times New Roman" w:hAnsi="Times New Roman" w:eastAsia="Songti SC"/>
          <w:color w:val="000000"/>
        </w:rPr>
        <w:t>；旧关系分数为</w:t>
      </w:r>
      <m:oMath>
        <m:sSub>
          <m:e>
            <m:r>
              <m:t xml:space="preserve">q</m:t>
            </m:r>
          </m:e>
          <m:sub>
            <m:r>
              <m:t xml:space="preserve">R</m:t>
            </m:r>
          </m:sub>
        </m:sSub>
        <m:r>
          <m:t xml:space="preserve">(</m:t>
        </m:r>
        <m:sSubSup>
          <m:e>
            <m:r>
              <m:t xml:space="preserve">r</m:t>
            </m:r>
          </m:e>
          <m:sub>
            <m:r>
              <m:t xml:space="preserve">1</m:t>
            </m:r>
          </m:sub>
          <m:sup>
            <m:r>
              <m:t xml:space="preserve">o</m:t>
            </m:r>
          </m:sup>
        </m:sSubSup>
        <m:r>
          <m:t xml:space="preserve">)</m:t>
        </m:r>
        <m:r>
          <m:t xml:space="preserve">=</m:t>
        </m:r>
        <m:r>
          <m:t xml:space="preserve">0</m:t>
        </m:r>
        <m:r>
          <m:t xml:space="preserve">.</m:t>
        </m:r>
        <m:r>
          <m:t xml:space="preserve">1</m:t>
        </m:r>
        <m:r>
          <m:t xml:space="preserve">8</m:t>
        </m:r>
      </m:oMath>
      <w:r>
        <w:rPr>
          <w:rFonts w:ascii="Times New Roman" w:hAnsi="Times New Roman" w:eastAsia="Songti SC"/>
          <w:color w:val="000000"/>
        </w:rPr>
        <w:t>、</w:t>
      </w:r>
      <m:oMath>
        <m:sSub>
          <m:e>
            <m:r>
              <m:t xml:space="preserve">q</m:t>
            </m:r>
          </m:e>
          <m:sub>
            <m:r>
              <m:t xml:space="preserve">R</m:t>
            </m:r>
          </m:sub>
        </m:sSub>
        <m:r>
          <m:t xml:space="preserve">(</m:t>
        </m:r>
        <m:sSubSup>
          <m:e>
            <m:r>
              <m:t xml:space="preserve">r</m:t>
            </m:r>
          </m:e>
          <m:sub>
            <m:r>
              <m:t xml:space="preserve">2</m:t>
            </m:r>
          </m:sub>
          <m:sup>
            <m:r>
              <m:t xml:space="preserve">o</m:t>
            </m:r>
          </m:sup>
        </m:sSubSup>
        <m:r>
          <m:t xml:space="preserve">)</m:t>
        </m:r>
        <m:r>
          <m:t xml:space="preserve">=</m:t>
        </m:r>
        <m:r>
          <m:t xml:space="preserve">0</m:t>
        </m:r>
        <m:r>
          <m:t xml:space="preserve">.</m:t>
        </m:r>
        <m:r>
          <m:t xml:space="preserve">1</m:t>
        </m:r>
        <m:r>
          <m:t xml:space="preserve">6</m:t>
        </m:r>
      </m:oMath>
      <w:r>
        <w:rPr>
          <w:rFonts w:ascii="Times New Roman" w:hAnsi="Times New Roman" w:eastAsia="Songti SC"/>
          <w:color w:val="000000"/>
        </w:rPr>
        <w:t>。因此，旧组件的效用贡献为</w:t>
      </w:r>
      <m:oMath>
        <m:r>
          <m:t xml:space="preserve">2</m:t>
        </m:r>
        <m:r>
          <m:t xml:space="preserve">×</m:t>
        </m:r>
        <m:r>
          <m:t xml:space="preserve">0</m:t>
        </m:r>
        <m:r>
          <m:t xml:space="preserve">.</m:t>
        </m:r>
        <m:r>
          <m:t xml:space="preserve">2</m:t>
        </m:r>
        <m:r>
          <m:t xml:space="preserve">0</m:t>
        </m:r>
        <m:r>
          <m:t xml:space="preserve">-</m:t>
        </m:r>
        <m:r>
          <m:t xml:space="preserve">0</m:t>
        </m:r>
        <m:r>
          <m:t xml:space="preserve">.</m:t>
        </m:r>
        <m:r>
          <m:t xml:space="preserve">4</m:t>
        </m:r>
        <m:r>
          <m:t xml:space="preserve">=</m:t>
        </m:r>
        <m:r>
          <m:t xml:space="preserve">0</m:t>
        </m:r>
      </m:oMath>
      <w:r>
        <w:rPr>
          <w:rFonts w:ascii="Times New Roman" w:hAnsi="Times New Roman" w:eastAsia="Songti SC"/>
          <w:color w:val="000000"/>
        </w:rPr>
        <w:t>，两条旧关系的合计贡献为</w:t>
      </w:r>
      <m:oMath>
        <m:r>
          <m:t xml:space="preserve">(</m:t>
        </m:r>
        <m:r>
          <m:t xml:space="preserve">2</m:t>
        </m:r>
        <m:r>
          <m:t xml:space="preserve">×</m:t>
        </m:r>
        <m:r>
          <m:t xml:space="preserve">0</m:t>
        </m:r>
        <m:r>
          <m:t xml:space="preserve">.</m:t>
        </m:r>
        <m:r>
          <m:t xml:space="preserve">1</m:t>
        </m:r>
        <m:r>
          <m:t xml:space="preserve">8</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1</m:t>
        </m:r>
        <m:r>
          <m:t xml:space="preserve">6</m:t>
        </m:r>
        <m:r>
          <m:t xml:space="preserve">-</m:t>
        </m:r>
        <m:r>
          <m:t xml:space="preserve">0</m:t>
        </m:r>
        <m:r>
          <m:t xml:space="preserve">.</m:t>
        </m:r>
        <m:r>
          <m:t xml:space="preserve">2</m:t>
        </m:r>
        <m:r>
          <m:t xml:space="preserve">)</m:t>
        </m:r>
        <m:r>
          <m:t xml:space="preserve">=</m:t>
        </m:r>
        <m:r>
          <m:t xml:space="preserve">0</m:t>
        </m:r>
        <m:r>
          <m:t xml:space="preserve">.</m:t>
        </m:r>
        <m:r>
          <m:t xml:space="preserve">2</m:t>
        </m:r>
        <m:r>
          <m:t xml:space="preserve">8</m:t>
        </m:r>
      </m:oMath>
      <w:r>
        <w:rPr>
          <w:rFonts w:ascii="Times New Roman" w:hAnsi="Times New Roman" w:eastAsia="Songti SC"/>
          <w:color w:val="000000"/>
        </w:rPr>
        <w:t>。未变化的组件和关系在求差时相消。</w:t>
      </w:r>
    </w:p>
    <w:p>
      <w:r>
        <w:rPr>
          <w:rFonts w:ascii="Times New Roman" w:hAnsi="Times New Roman" w:eastAsia="Songti SC"/>
          <w:color w:val="000000"/>
        </w:rPr>
        <w:t>（2）构造替换与闭合域。先考虑</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a</m:t>
            </m:r>
          </m:sup>
        </m:sSubSup>
        <m:r>
          <m:rPr>
            <m:sty m:val="p"/>
          </m:rPr>
          <m:t xml:space="preserve">}</m:t>
        </m:r>
      </m:oMath>
      <w:r>
        <w:rPr>
          <w:rFonts w:ascii="Times New Roman" w:hAnsi="Times New Roman" w:eastAsia="Songti SC"/>
          <w:color w:val="000000"/>
        </w:rPr>
        <w:t>，则</w:t>
      </w:r>
      <m:oMath>
        <m:r>
          <m:t xml:space="preserve">C</m:t>
        </m:r>
        <m:r>
          <m:t xml:space="preserve">′</m:t>
        </m:r>
        <m:r>
          <m:t xml:space="preserve">=</m:t>
        </m:r>
        <m:r>
          <m:rPr>
            <m:sty m:val="p"/>
          </m:rPr>
          <m:t xml:space="preserve">{</m:t>
        </m:r>
        <m:sSub>
          <m:e>
            <m:r>
              <m:t xml:space="preserve">c</m:t>
            </m:r>
          </m:e>
          <m:sub>
            <m:r>
              <m:t xml:space="preserve">1</m:t>
            </m:r>
          </m:sub>
        </m:sSub>
        <m:r>
          <m:t xml:space="preserve">,</m:t>
        </m:r>
        <m:sSubSup>
          <m:e>
            <m:r>
              <m:t xml:space="preserve">c</m:t>
            </m:r>
          </m:e>
          <m:sub>
            <m:r>
              <m:t xml:space="preserve">2</m:t>
            </m:r>
          </m:sub>
          <m:sup>
            <m:r>
              <m:t xml:space="preserve">a</m:t>
            </m:r>
          </m:sup>
        </m:sSubSup>
        <m:r>
          <m:t xml:space="preserve">,</m:t>
        </m:r>
        <m:sSub>
          <m:e>
            <m:r>
              <m:t xml:space="preserve">c</m:t>
            </m:r>
          </m:e>
          <m:sub>
            <m:r>
              <m:t xml:space="preserve">3</m:t>
            </m:r>
          </m:sub>
        </m:sSub>
        <m:r>
          <m:rPr>
            <m:sty m:val="p"/>
          </m:rPr>
          <m:t xml:space="preserve">}</m:t>
        </m:r>
      </m:oMath>
      <w:r>
        <w:rPr>
          <w:rFonts w:ascii="Times New Roman" w:hAnsi="Times New Roman" w:eastAsia="Songti SC"/>
          <w:color w:val="000000"/>
        </w:rPr>
        <w:t>，</w:t>
      </w:r>
      <m:oMath>
        <m:sSub>
          <m:e>
            <m:r>
              <m:t xml:space="preserve">d</m:t>
            </m:r>
          </m:e>
          <m:sub>
            <m:r>
              <m:t xml:space="preserve">C</m:t>
            </m:r>
          </m:sub>
        </m:sSub>
        <m:r>
          <m:t xml:space="preserve">=</m:t>
        </m:r>
        <m:r>
          <m:t xml:space="preserve">2</m:t>
        </m:r>
        <m:r>
          <m:t xml:space="preserve">≤</m:t>
        </m:r>
        <m:r>
          <m:t xml:space="preserve">3</m:t>
        </m:r>
      </m:oMath>
      <w:r>
        <w:rPr>
          <w:rFonts w:ascii="Times New Roman" w:hAnsi="Times New Roman" w:eastAsia="Songti SC"/>
          <w:color w:val="000000"/>
        </w:rPr>
        <w:t>。删除</w:t>
      </w:r>
      <m:oMath>
        <m:sSubSup>
          <m:e>
            <m:r>
              <m:t xml:space="preserve">c</m:t>
            </m:r>
          </m:e>
          <m:sub>
            <m:r>
              <m:t xml:space="preserve">2</m:t>
            </m:r>
          </m:sub>
          <m:sup>
            <m:r>
              <m:t xml:space="preserve">o</m:t>
            </m:r>
          </m:sup>
        </m:sSubSup>
      </m:oMath>
      <w:r>
        <w:rPr>
          <w:rFonts w:ascii="Times New Roman" w:hAnsi="Times New Roman" w:eastAsia="Songti SC"/>
          <w:color w:val="000000"/>
        </w:rPr>
        <w:t>后，</w:t>
      </w:r>
      <m:oMath>
        <m:sSubSup>
          <m:e>
            <m:r>
              <m:t xml:space="preserve">r</m:t>
            </m:r>
          </m:e>
          <m:sub>
            <m:r>
              <m:t xml:space="preserve">1</m:t>
            </m:r>
          </m:sub>
          <m:sup>
            <m:r>
              <m:t xml:space="preserve">o</m:t>
            </m:r>
          </m:sup>
        </m:sSubSup>
      </m:oMath>
      <w:r>
        <w:rPr>
          <w:rFonts w:ascii="Times New Roman" w:hAnsi="Times New Roman" w:eastAsia="Songti SC"/>
          <w:color w:val="000000"/>
        </w:rPr>
        <w:t>和</w:t>
      </w:r>
      <m:oMath>
        <m:sSubSup>
          <m:e>
            <m:r>
              <m:t xml:space="preserve">r</m:t>
            </m:r>
          </m:e>
          <m:sub>
            <m:r>
              <m:t xml:space="preserve">2</m:t>
            </m:r>
          </m:sub>
          <m:sup>
            <m:r>
              <m:t xml:space="preserve">o</m:t>
            </m:r>
          </m:sup>
        </m:sSubSup>
      </m:oMath>
      <w:r>
        <w:rPr>
          <w:rFonts w:ascii="Times New Roman" w:hAnsi="Times New Roman" w:eastAsia="Songti SC"/>
          <w:color w:val="000000"/>
        </w:rPr>
        <w:t>均失效，即使新的显示编号仍为“组件2”，也不能继承任何一条旧边。闭合域纳入这两条旧关系，以及新端点参与的全部候选槽位和合法标签，包括原来为NONE的组合；事务外对象保持不变。</w:t>
      </w:r>
    </w:p>
    <w:p>
      <w:r>
        <w:rPr>
          <w:rFonts w:ascii="Times New Roman" w:hAnsi="Times New Roman" w:eastAsia="Songti SC"/>
          <w:color w:val="000000"/>
        </w:rPr>
        <w:t>（3）补全并接受候选a。设</w:t>
      </w:r>
      <m:oMath>
        <m:sSubSup>
          <m:e>
            <m:r>
              <m:t xml:space="preserve">r</m:t>
            </m:r>
          </m:e>
          <m:sub>
            <m:r>
              <m:t xml:space="preserve">1</m:t>
            </m:r>
          </m:sub>
          <m:sup>
            <m:r>
              <m:t xml:space="preserve">a</m:t>
            </m:r>
          </m:sup>
        </m:sSubSup>
        <m:r>
          <m:t xml:space="preserve">=</m:t>
        </m:r>
        <m:r>
          <m:t xml:space="preserve">(</m:t>
        </m:r>
        <m:sSubSup>
          <m:e>
            <m:r>
              <m:t xml:space="preserve">c</m:t>
            </m:r>
          </m:e>
          <m:sub>
            <m:r>
              <m:t xml:space="preserve">2</m:t>
            </m:r>
          </m:sub>
          <m:sup>
            <m:r>
              <m:t xml:space="preserve">a</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a</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a</m:t>
            </m:r>
          </m:sup>
        </m:sSubSup>
        <m:r>
          <m:t xml:space="preserve">,</m:t>
        </m:r>
        <m:r>
          <m:rPr>
            <m:sty m:val="p"/>
          </m:rPr>
          <m:t xml:space="preserve">Support</m:t>
        </m:r>
        <m:r>
          <m:t xml:space="preserve">)</m:t>
        </m:r>
      </m:oMath>
      <w:r>
        <w:rPr>
          <w:rFonts w:ascii="Times New Roman" w:hAnsi="Times New Roman" w:eastAsia="Songti SC"/>
          <w:color w:val="000000"/>
        </w:rPr>
        <w:t>的固定分数分别为0.40和0.35，其余新端点候选的分数均小于0.10。后者效用为负，取NONE优于加入这些关系。在本例无环且每个源至多一条出边的约束下，选择</w:t>
      </w:r>
      <m:oMath>
        <m:sSubSup>
          <m:e>
            <m:r>
              <m:t xml:space="preserve">r</m:t>
            </m:r>
          </m:e>
          <m:sub>
            <m:r>
              <m:t xml:space="preserve">1</m:t>
            </m:r>
          </m:sub>
          <m:sup>
            <m:r>
              <m:t xml:space="preserve">a</m:t>
            </m:r>
          </m:sup>
        </m:sSubSup>
        <m:r>
          <m:t xml:space="preserve">,</m:t>
        </m:r>
        <m:sSubSup>
          <m:e>
            <m:r>
              <m:t xml:space="preserve">r</m:t>
            </m:r>
          </m:e>
          <m:sub>
            <m:r>
              <m:t xml:space="preserve">2</m:t>
            </m:r>
          </m:sub>
          <m:sup>
            <m:r>
              <m:t xml:space="preserve">a</m:t>
            </m:r>
          </m:sup>
        </m:sSubSup>
      </m:oMath>
      <w:r>
        <w:rPr>
          <w:rFonts w:ascii="Times New Roman" w:hAnsi="Times New Roman" w:eastAsia="Songti SC"/>
          <w:color w:val="000000"/>
        </w:rPr>
        <w:t>合法，其关系贡献为</w:t>
      </w:r>
      <m:oMath>
        <m:r>
          <m:t xml:space="preserve">(</m:t>
        </m:r>
        <m:r>
          <m:t xml:space="preserve">2</m:t>
        </m:r>
        <m:r>
          <m:t xml:space="preserve">×</m:t>
        </m:r>
        <m:r>
          <m:t xml:space="preserve">0</m:t>
        </m:r>
        <m:r>
          <m:t xml:space="preserve">.</m:t>
        </m:r>
        <m:r>
          <m:t xml:space="preserve">4</m:t>
        </m:r>
        <m:r>
          <m:t xml:space="preserve">0</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3</m:t>
        </m:r>
        <m:r>
          <m:t xml:space="preserve">5</m:t>
        </m:r>
        <m:r>
          <m:t xml:space="preserve">-</m:t>
        </m:r>
        <m:r>
          <m:t xml:space="preserve">0</m:t>
        </m:r>
        <m:r>
          <m:t xml:space="preserve">.</m:t>
        </m:r>
        <m:r>
          <m:t xml:space="preserve">2</m:t>
        </m:r>
        <m:r>
          <m:t xml:space="preserve">)</m:t>
        </m:r>
        <m:r>
          <m:t xml:space="preserve">=</m:t>
        </m:r>
        <m:r>
          <m:t xml:space="preserve">1</m:t>
        </m:r>
        <m:r>
          <m:t xml:space="preserve">.</m:t>
        </m:r>
        <m:r>
          <m:t xml:space="preserve">1</m:t>
        </m:r>
        <m:r>
          <m:t xml:space="preserve">0</m:t>
        </m:r>
      </m:oMath>
      <w:r>
        <w:rPr>
          <w:rFonts w:ascii="Times New Roman" w:hAnsi="Times New Roman" w:eastAsia="Songti SC"/>
          <w:color w:val="000000"/>
        </w:rPr>
        <w:t>。由此得到</w:t>
      </w:r>
      <m:oMath>
        <m:r>
          <m:t xml:space="preserve">Δ</m:t>
        </m:r>
        <m:sSub>
          <m:e>
            <m:r>
              <m:t xml:space="preserve">Φ</m:t>
            </m:r>
          </m:e>
          <m:sub>
            <m:r>
              <m:t xml:space="preserve">C</m:t>
            </m:r>
          </m:sub>
        </m:sSub>
        <m:r>
          <m:t xml:space="preserve">=</m:t>
        </m:r>
        <m:r>
          <m:t xml:space="preserve">0</m:t>
        </m:r>
        <m:r>
          <m:t xml:space="preserve">.</m:t>
        </m:r>
        <m:r>
          <m:t xml:space="preserve">5</m:t>
        </m:r>
        <m:r>
          <m:t xml:space="preserve">0</m:t>
        </m:r>
      </m:oMath>
      <w:r>
        <w:rPr>
          <w:rFonts w:ascii="Times New Roman" w:hAnsi="Times New Roman" w:eastAsia="Songti SC"/>
          <w:color w:val="000000"/>
        </w:rPr>
        <w:t>、</w:t>
      </w:r>
      <m:oMath>
        <m:r>
          <m:t xml:space="preserve">Δ</m:t>
        </m:r>
        <m:sSub>
          <m:e>
            <m:r>
              <m:t xml:space="preserve">Φ</m:t>
            </m:r>
          </m:e>
          <m:sub>
            <m:r>
              <m:t xml:space="preserve">R</m:t>
            </m:r>
          </m:sub>
        </m:sSub>
        <m:r>
          <m:t xml:space="preserve">=</m:t>
        </m:r>
        <m:r>
          <m:t xml:space="preserve">1</m:t>
        </m:r>
        <m:r>
          <m:t xml:space="preserve">.</m:t>
        </m:r>
        <m:r>
          <m:t xml:space="preserve">1</m:t>
        </m:r>
        <m:r>
          <m:t xml:space="preserve">0</m:t>
        </m:r>
        <m:r>
          <m:t xml:space="preserve">-</m:t>
        </m:r>
        <m:r>
          <m:t xml:space="preserve">0</m:t>
        </m:r>
        <m:r>
          <m:t xml:space="preserve">.</m:t>
        </m:r>
        <m:r>
          <m:t xml:space="preserve">2</m:t>
        </m:r>
        <m:r>
          <m:t xml:space="preserve">8</m:t>
        </m:r>
        <m:r>
          <m:t xml:space="preserve">=</m:t>
        </m:r>
        <m:r>
          <m:t xml:space="preserve">0</m:t>
        </m:r>
        <m:r>
          <m:t xml:space="preserve">.</m:t>
        </m:r>
        <m:r>
          <m:t xml:space="preserve">8</m:t>
        </m:r>
        <m:r>
          <m:t xml:space="preserve">2</m:t>
        </m:r>
      </m:oMath>
      <w:r>
        <w:rPr>
          <w:rFonts w:ascii="Times New Roman" w:hAnsi="Times New Roman" w:eastAsia="Songti SC"/>
          <w:color w:val="000000"/>
        </w:rPr>
        <w:t>，总增益为1.32，大于0.02。删除两条旧边并加入两条新边使</w:t>
      </w:r>
      <m:oMath>
        <m:sSub>
          <m:e>
            <m:r>
              <m:t xml:space="preserve">d</m:t>
            </m:r>
          </m:e>
          <m:sub>
            <m:r>
              <m:t xml:space="preserve">R</m:t>
            </m:r>
          </m:sub>
        </m:sSub>
        <m:r>
          <m:t xml:space="preserve">=</m:t>
        </m:r>
        <m:r>
          <m:t xml:space="preserve">4</m:t>
        </m:r>
      </m:oMath>
      <w:r>
        <w:rPr>
          <w:rFonts w:ascii="Times New Roman" w:hAnsi="Times New Roman" w:eastAsia="Songti SC"/>
          <w:color w:val="000000"/>
        </w:rPr>
        <w:t>。全部门限与预算通过后，才原子提交新组件及两条新关系。</w:t>
      </w:r>
    </w:p>
    <w:p>
      <w:r>
        <w:rPr>
          <w:rFonts w:ascii="Times New Roman" w:hAnsi="Times New Roman" w:eastAsia="Songti SC"/>
          <w:color w:val="000000"/>
        </w:rPr>
        <w:t>（4）从同一旧图检查候选b。令</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b</m:t>
            </m:r>
          </m:sup>
        </m:sSubSup>
        <m:r>
          <m:rPr>
            <m:sty m:val="p"/>
          </m:rPr>
          <m:t xml:space="preserve">}</m:t>
        </m:r>
      </m:oMath>
      <w:r>
        <w:rPr>
          <w:rFonts w:ascii="Times New Roman" w:hAnsi="Times New Roman" w:eastAsia="Songti SC"/>
          <w:color w:val="000000"/>
        </w:rPr>
        <w:t>，组件效用增加0.30。对应的两条Support候选分数改为0.11和0.05，其余新端点候选仍小于0.10。暂不施加关系非下降门时，最高分补全只保留分数0.11的那条边，另一槽位取NONE，关系贡献仅为</w:t>
      </w:r>
      <m:oMath>
        <m:r>
          <m:t xml:space="preserve">2</m:t>
        </m:r>
        <m:r>
          <m:t xml:space="preserve">×</m:t>
        </m:r>
        <m:r>
          <m:t xml:space="preserve">0</m:t>
        </m:r>
        <m:r>
          <m:t xml:space="preserve">.</m:t>
        </m:r>
        <m:r>
          <m:t xml:space="preserve">1</m:t>
        </m:r>
        <m:r>
          <m:t xml:space="preserve">1</m:t>
        </m:r>
        <m:r>
          <m:t xml:space="preserve">-</m:t>
        </m:r>
        <m:r>
          <m:t xml:space="preserve">0</m:t>
        </m:r>
        <m:r>
          <m:t xml:space="preserve">.</m:t>
        </m:r>
        <m:r>
          <m:t xml:space="preserve">2</m:t>
        </m:r>
        <m:r>
          <m:t xml:space="preserve">=</m:t>
        </m:r>
        <m:r>
          <m:t xml:space="preserve">0</m:t>
        </m:r>
        <m:r>
          <m:t xml:space="preserve">.</m:t>
        </m:r>
        <m:r>
          <m:t xml:space="preserve">0</m:t>
        </m:r>
        <m:r>
          <m:t xml:space="preserve">2</m:t>
        </m:r>
      </m:oMath>
      <w:r>
        <w:rPr>
          <w:rFonts w:ascii="Times New Roman" w:hAnsi="Times New Roman" w:eastAsia="Songti SC"/>
          <w:color w:val="000000"/>
        </w:rPr>
        <w:t>。即使采用这一补全上界，仍有</w:t>
      </w:r>
      <m:oMath>
        <m:r>
          <m:t xml:space="preserve">Δ</m:t>
        </m:r>
        <m:sSub>
          <m:e>
            <m:r>
              <m:t xml:space="preserve">Φ</m:t>
            </m:r>
          </m:e>
          <m:sub>
            <m:r>
              <m:t xml:space="preserve">R</m:t>
            </m:r>
          </m:sub>
        </m:sSub>
        <m:r>
          <m:t xml:space="preserve">=</m:t>
        </m:r>
        <m:r>
          <m:t xml:space="preserve">0</m:t>
        </m:r>
        <m:r>
          <m:t xml:space="preserve">.</m:t>
        </m:r>
        <m:r>
          <m:t xml:space="preserve">0</m:t>
        </m:r>
        <m:r>
          <m:t xml:space="preserve">2</m:t>
        </m:r>
        <m:r>
          <m:t xml:space="preserve">-</m:t>
        </m:r>
        <m:r>
          <m:t xml:space="preserve">0</m:t>
        </m:r>
        <m:r>
          <m:t xml:space="preserve">.</m:t>
        </m:r>
        <m:r>
          <m:t xml:space="preserve">2</m:t>
        </m:r>
        <m:r>
          <m:t xml:space="preserve">8</m:t>
        </m:r>
        <m:r>
          <m:t xml:space="preserve">=</m:t>
        </m:r>
        <m:r>
          <m:t xml:space="preserve">-</m:t>
        </m:r>
        <m:r>
          <m:t xml:space="preserve">0</m:t>
        </m:r>
        <m:r>
          <m:t xml:space="preserve">.</m:t>
        </m:r>
        <m:r>
          <m:t xml:space="preserve">2</m:t>
        </m:r>
        <m:r>
          <m:t xml:space="preserve">6</m:t>
        </m:r>
      </m:oMath>
      <w:r>
        <w:rPr>
          <w:rFonts w:ascii="Times New Roman" w:hAnsi="Times New Roman" w:eastAsia="Songti SC"/>
          <w:color w:val="000000"/>
        </w:rPr>
        <w:t>。该状态的</w:t>
      </w:r>
      <m:oMath>
        <m:sSub>
          <m:e>
            <m:r>
              <m:t xml:space="preserve">d</m:t>
            </m:r>
          </m:e>
          <m:sub>
            <m:r>
              <m:t xml:space="preserve">C</m:t>
            </m:r>
          </m:sub>
        </m:sSub>
        <m:r>
          <m:t xml:space="preserve">=</m:t>
        </m:r>
        <m:r>
          <m:t xml:space="preserve">2</m:t>
        </m:r>
      </m:oMath>
      <w:r>
        <w:rPr>
          <w:rFonts w:ascii="Times New Roman" w:hAnsi="Times New Roman" w:eastAsia="Songti SC"/>
          <w:color w:val="000000"/>
        </w:rPr>
        <w:t>、</w:t>
      </w:r>
      <m:oMath>
        <m:sSub>
          <m:e>
            <m:r>
              <m:t xml:space="preserve">d</m:t>
            </m:r>
          </m:e>
          <m:sub>
            <m:r>
              <m:t xml:space="preserve">R</m:t>
            </m:r>
          </m:sub>
        </m:sSub>
        <m:r>
          <m:t xml:space="preserve">=</m:t>
        </m:r>
        <m:r>
          <m:t xml:space="preserve">3</m:t>
        </m:r>
      </m:oMath>
      <w:r>
        <w:rPr>
          <w:rFonts w:ascii="Times New Roman" w:hAnsi="Times New Roman" w:eastAsia="Songti SC"/>
          <w:color w:val="000000"/>
        </w:rPr>
        <w:t>，总增益0.04也超过0.02，但关系分项下降。故实际包含分项门的ILP没有合格补全，整个提议被拒绝；当前图仍保留旧组件和两条旧边，不留下半完成状态。这里的无门限计算只用于解释不可接受的原因，不是算法先提交再回滚的执行顺序。</w:t>
      </w:r>
    </w:p>
    <w:p>
      <w:r>
        <w:rPr>
          <w:rFonts w:ascii="Times New Roman" w:hAnsi="Times New Roman" w:eastAsia="Songti SC"/>
          <w:color w:val="000000"/>
        </w:rPr>
        <w:t>两次比较使用同一旧图、候选池、评分和预算，候选b不是在接受a之后继续评分。该算例展示了组件获益、失效关系及新关系重建如何共同决定提交；4.5.4节的集合可达性反例则回答另一个问题，即成组替换何时能够越过单对象动作的限制。</w:t>
      </w:r>
    </w:p>
    <w:p>
      <w:pPr>
        <w:pStyle w:val="Heading2"/>
      </w:pPr>
      <w:r>
        <w:t>4.5 求解算法及性质</w:t>
      </w:r>
      <w:bookmarkStart w:id="80" w:name="v11_80"/>
      <w:bookmarkEnd w:id="80"/>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81" w:name="v11_81"/>
      <w:bookmarkEnd w:id="81"/>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实际求解器的数值和线程确定性仍须验收。</w:t>
      </w:r>
    </w:p>
    <w:p>
      <w:pPr>
        <w:pStyle w:val="Heading3"/>
      </w:pPr>
      <w:r>
        <w:t>4.5.2 有界执行、原子提交与回退</w:t>
      </w:r>
      <w:bookmarkStart w:id="82" w:name="v11_82"/>
      <w:bookmarkEnd w:id="82"/>
    </w:p>
    <w:p>
      <w:r>
        <w:rPr>
          <w:rFonts w:ascii="Times New Roman" w:hAnsi="Times New Roman" w:eastAsia="Songti SC"/>
          <w:color w:val="000000"/>
        </w:rPr>
        <w:t>提议分为纯关系、插入、删除、替换、拆分和合并六类。纯关系枚举当前端点存在且合法的全部槽位，包含未选槽位；二元反向仅在冻结正逆槽位都存在且当前合法时共同进入</w:t>
      </w:r>
      <m:oMath>
        <m:sSub>
          <m:e>
            <m:r>
              <m:t xml:space="preserve">S</m:t>
            </m:r>
          </m:e>
          <m:sub>
            <m:r>
              <m:t xml:space="preserve">R</m:t>
            </m:r>
          </m:sub>
        </m:sSub>
      </m:oMath>
      <w:r>
        <w:rPr>
          <w:rFonts w:ascii="Times New Roman" w:hAnsi="Times New Roman" w:eastAsia="Songti SC"/>
          <w:color w:val="000000"/>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r>
          <m:t xml:space="preserve">(</m:t>
        </m:r>
        <m:r>
          <m:t xml:space="preserve">|</m:t>
        </m:r>
        <m:r>
          <m:t xml:space="preserve">D</m:t>
        </m:r>
        <m:r>
          <m:t xml:space="preserve">|</m:t>
        </m:r>
        <m:r>
          <m:t xml:space="preserve">,</m:t>
        </m:r>
        <m:r>
          <m:t xml:space="preserve">|</m:t>
        </m:r>
        <m:r>
          <m:t xml:space="preserve">B</m:t>
        </m:r>
        <m:r>
          <m:t xml:space="preserve">|</m:t>
        </m:r>
        <m:r>
          <m:t xml:space="preserve">)</m:t>
        </m:r>
      </m:oMath>
      <w:r>
        <w:rPr>
          <w:rFonts w:ascii="Times New Roman" w:hAnsi="Times New Roman" w:eastAsia="Songti SC"/>
          <w:color w:val="000000"/>
        </w:rPr>
        <w:t>重新核对形态、跨度条件及三对象上限。不符合五种声明形态的提议不进入主邻域；名义插入若变成</w:t>
      </w:r>
      <m:oMath>
        <m:r>
          <m:t xml:space="preserve">2</m:t>
        </m:r>
        <m:r>
          <m:t xml:space="preserve">→</m:t>
        </m:r>
        <m:r>
          <m:t xml:space="preserve">1</m:t>
        </m:r>
      </m:oMath>
      <w:r>
        <w:rPr>
          <w:rFonts w:ascii="Times New Roman" w:hAnsi="Times New Roman" w:eastAsia="Songti SC"/>
          <w:color w:val="000000"/>
        </w:rPr>
        <w:t>，单对象对照须拒绝。端点变化产生的旧入边、出边及完整超边全部删除，新增完整关系逐项重新计费。带坐标的正反例见附录D.6。</w:t>
      </w:r>
    </w:p>
    <w:p>
      <w:r>
        <w:rPr>
          <w:rFonts w:ascii="Times New Roman" w:hAnsi="Times New Roman" w:eastAsia="Songti SC"/>
          <w:color w:val="000000"/>
        </w:rPr>
        <w:t>每类内部按固定组件效用差降序、对象编辑数升序和规范化提议键升序排序；纯关系类第一项改用该槽位在忽略整图耦合约束时的关系效用增量。此量只用于排序，不作为接受判断。六类按上述顺序轮转，每次从非空类取一个，参考批长为6。提议键由状态哈希、排序后的</w:t>
      </w:r>
      <m:oMath>
        <m:r>
          <m:t xml:space="preserve">D</m:t>
        </m:r>
        <m:r>
          <m:t xml:space="preserve">,</m:t>
        </m:r>
        <m:r>
          <m:t xml:space="preserve">B</m:t>
        </m:r>
      </m:oMath>
      <w:r>
        <w:rPr>
          <w:rFonts w:ascii="Times New Roman" w:hAnsi="Times New Roman" w:eastAsia="Songti SC"/>
          <w:color w:val="000000"/>
        </w:rPr>
        <w:t>和完整槽位集合组成，重复提议只评估一次；拒绝缓存也包含状态身份。组件改变后可在新状态重新枚举旧状态非法的槽位，但不能扩张冻结候选宇宙。</w:t>
      </w:r>
    </w:p>
    <w:p>
      <w:r>
        <w:rPr>
          <w:rFonts w:ascii="Times New Roman" w:hAnsi="Times New Roman" w:eastAsia="Songti SC"/>
          <w:color w:val="000000"/>
        </w:rPr>
        <w:t>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r>
        <w:rPr>
          <w:rFonts w:ascii="Times New Roman" w:hAnsi="Times New Roman" w:eastAsia="Songti SC"/>
          <w:color w:val="000000"/>
        </w:rPr>
        <w:t>继续评估新提议需要剩余尝试名额和评估资源；提交已评估候选需要剩余接受名额、组件与关系编辑预算以及复核和提交资源，提交本身不再增加尝试。达到外层尝试上限后不启动新评估，当前批次已经合格的候选仍可择优提交。无法完成复核或安全提交时保留最后完整合法图，分别登记停止原因，已消费计算成本不退回。</w:t>
      </w:r>
    </w:p>
    <w:p>
      <w:r>
        <w:rPr>
          <w:rFonts w:ascii="Times New Roman" w:hAnsi="Times New Roman" w:eastAsia="Songti SC"/>
          <w:color w:val="000000"/>
        </w:rPr>
        <w:t>同一状态的队列游标、已尝试集合和拒绝缓存跨轮保留；每轮只重置本轮计数。首批全拒时继续余批，当前状态的声明队列耗尽且无合格项才停止。提交到未见状态后建立独立队列与游标，已有状态按状态键续用缓存；仅改变轮号不允许重评同一状态的同一提议。计算与调用成本对所有尝试计费，组件和关系编辑仅对实际提交的删增累计计费。秒数、调用和token限制必须由正式运行清单冻结。</w:t>
      </w:r>
    </w:p>
    <w:p>
      <w:pPr>
        <w:pStyle w:val="AlgorithmCaption"/>
      </w:pPr>
      <w:r>
        <w:rPr>
          <w:rFonts w:ascii="Times New Roman" w:hAnsi="Times New Roman" w:eastAsia="Songti SC"/>
          <w:color w:val="000000"/>
          <w:sz w:val="21"/>
        </w:rPr>
        <w:t>算法4-1 多候选驱动的依赖闭合修正</w:t>
      </w:r>
      <w:bookmarkStart w:id="181" w:name="v11_181"/>
      <w:bookmarkEnd w:id="181"/>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输入：原文、生成候选、冻结配置和有限资源清单。</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输出：最后完整合法图或明确初始化失败，以及轨迹。</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初始化预算；执行MCR选择及共用合法化，计入全部成本</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初始化失败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明确失败状态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冻结候选、对象分与效用系数；G ← G0</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b/>
          <w:color w:val="000000"/>
          <w:sz w:val="21"/>
        </w:rPr>
        <w:t>for</w:t>
      </w:r>
      <w:r>
        <w:rPr>
          <w:rFonts w:ascii="Times New Roman" w:hAnsi="Times New Roman" w:eastAsia="Songti SC"/>
          <w:color w:val="000000"/>
          <w:sz w:val="21"/>
        </w:rPr>
        <w:t xml:space="preserve"> 每一轮，在轮数及全程预算内 </w:t>
      </w:r>
      <w:r>
        <w:rPr>
          <w:rFonts w:ascii="Times New Roman" w:hAnsi="Times New Roman" w:eastAsia="Songti SC"/>
          <w:b/>
          <w:color w:val="000000"/>
          <w:sz w:val="21"/>
        </w:rPr>
        <w:t>do</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color w:val="000000"/>
          <w:sz w:val="21"/>
        </w:rPr>
        <w:t>重置本轮计数；首次进入状态才建队列，否则续用游标与缓存</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08</w:t>
        <w:tab/>
      </w:r>
      <w:r>
        <w:rPr>
          <w:rFonts w:ascii="Times New Roman" w:hAnsi="Times New Roman" w:eastAsia="Songti SC"/>
          <w:b/>
          <w:color w:val="000000"/>
          <w:sz w:val="21"/>
        </w:rPr>
        <w:t>while</w:t>
      </w:r>
      <w:r>
        <w:rPr>
          <w:rFonts w:ascii="Times New Roman" w:hAnsi="Times New Roman" w:eastAsia="Songti SC"/>
          <w:color w:val="000000"/>
          <w:sz w:val="21"/>
        </w:rPr>
        <w:t xml:space="preserve"> 本轮与全程尚有尝试及接受名额，且评估资源允许 </w:t>
      </w:r>
      <w:r>
        <w:rPr>
          <w:rFonts w:ascii="Times New Roman" w:hAnsi="Times New Roman" w:eastAsia="Songti SC"/>
          <w:b/>
          <w:color w:val="000000"/>
          <w:sz w:val="21"/>
        </w:rPr>
        <w:t>do</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按剩余尝试名额取至多批长个提议Q；Gnoop ← G；H ← ∅</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for</w:t>
      </w:r>
      <w:r>
        <w:rPr>
          <w:rFonts w:ascii="Times New Roman" w:hAnsi="Times New Roman" w:eastAsia="Songti SC"/>
          <w:color w:val="000000"/>
          <w:sz w:val="21"/>
        </w:rPr>
        <w:t xml:space="preserve"> Q中每个未评估提议，在评估资源内 </w:t>
      </w:r>
      <w:r>
        <w:rPr>
          <w:rFonts w:ascii="Times New Roman" w:hAnsi="Times New Roman" w:eastAsia="Songti SC"/>
          <w:b/>
          <w:color w:val="000000"/>
          <w:sz w:val="21"/>
        </w:rPr>
        <w:t>do</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外层尝试加1；调用算法4-2，登记求解、失败及实际开销</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color w:val="000000"/>
          <w:sz w:val="21"/>
        </w:rPr>
        <w:t>将通过复核的完整状态加入H</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for</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b/>
          <w:color w:val="000000"/>
          <w:sz w:val="21"/>
        </w:rPr>
        <w:t>if</w:t>
      </w:r>
      <w:r>
        <w:rPr>
          <w:rFonts w:ascii="Times New Roman" w:hAnsi="Times New Roman" w:eastAsia="Songti SC"/>
          <w:color w:val="000000"/>
          <w:sz w:val="21"/>
        </w:rPr>
        <w:t xml:space="preserve"> H非空 </w:t>
      </w:r>
      <w:r>
        <w:rPr>
          <w:rFonts w:ascii="Times New Roman" w:hAnsi="Times New Roman" w:eastAsia="Songti SC"/>
          <w:b/>
          <w:color w:val="000000"/>
          <w:sz w:val="21"/>
        </w:rPr>
        <w:t>then</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15</w:t>
        <w:tab/>
      </w:r>
      <w:r>
        <w:rPr>
          <w:rFonts w:ascii="Times New Roman" w:hAnsi="Times New Roman" w:eastAsia="Songti SC"/>
          <w:color w:val="000000"/>
          <w:sz w:val="21"/>
        </w:rPr>
        <w:t>按总效用、较少编辑、语义键择优</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复核接受名额、编辑及提交资源；不再要求剩余尝试名额</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17</w:t>
        <w:tab/>
      </w:r>
      <w:r>
        <w:rPr>
          <w:rFonts w:ascii="Times New Roman" w:hAnsi="Times New Roman" w:eastAsia="Songti SC"/>
          <w:color w:val="000000"/>
          <w:sz w:val="21"/>
        </w:rPr>
        <w:t>提交条件不足则保留Gnoop，记录原因并停止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18</w:t>
        <w:tab/>
      </w:r>
      <w:r>
        <w:rPr>
          <w:rFonts w:ascii="Times New Roman" w:hAnsi="Times New Roman" w:eastAsia="Songti SC"/>
          <w:color w:val="000000"/>
          <w:sz w:val="21"/>
        </w:rPr>
        <w:t>原子提交；失败则完整恢复Gnoop并停止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更新实际编辑；外层接受加1；未见状态建队列，已见则续用</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20</w:t>
        <w:tab/>
      </w:r>
      <w:r>
        <w:rPr>
          <w:rFonts w:ascii="Times New Roman" w:hAnsi="Times New Roman" w:eastAsia="Songti SC"/>
          <w:b/>
          <w:color w:val="000000"/>
          <w:sz w:val="21"/>
        </w:rPr>
        <w:t>else</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21</w:t>
        <w:tab/>
      </w:r>
      <w:r>
        <w:rPr>
          <w:rFonts w:ascii="Times New Roman" w:hAnsi="Times New Roman" w:eastAsia="Songti SC"/>
          <w:color w:val="000000"/>
          <w:sz w:val="21"/>
        </w:rPr>
        <w:t>保留Gnoop；已遍历声明队列则停止，否则继续下一批</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b/>
          <w:color w:val="000000"/>
          <w:sz w:val="21"/>
        </w:rPr>
        <w:t>end if</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24</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25</w:t>
        <w:tab/>
      </w:r>
      <w:r>
        <w:rPr>
          <w:rFonts w:ascii="Times New Roman" w:hAnsi="Times New Roman" w:eastAsia="Songti SC"/>
          <w:b/>
          <w:color w:val="000000"/>
          <w:sz w:val="21"/>
        </w:rPr>
        <w:t>return</w:t>
      </w:r>
      <w:r>
        <w:rPr>
          <w:rFonts w:ascii="Times New Roman" w:hAnsi="Times New Roman" w:eastAsia="Songti SC"/>
          <w:color w:val="000000"/>
          <w:sz w:val="21"/>
        </w:rPr>
        <w:t xml:space="preserve"> G及实际停止原因；中断只返回最后完整合法状态</w:t>
      </w:r>
    </w:p>
    <w:p>
      <w:pPr>
        <w:pStyle w:val="AlgorithmCaption"/>
      </w:pPr>
      <w:r>
        <w:rPr>
          <w:rFonts w:ascii="Times New Roman" w:hAnsi="Times New Roman" w:eastAsia="Songti SC"/>
          <w:color w:val="000000"/>
          <w:sz w:val="21"/>
        </w:rPr>
        <w:t>算法4-2 单提议的闭合评估</w:t>
      </w:r>
      <w:bookmarkStart w:id="182" w:name="v11_182"/>
      <w:bookmarkEnd w:id="182"/>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输入：当前合法图G、提议、冻结候选分和剩余预算。</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输出：经复核的完整候选状态，或拒绝状态。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复制G；抵消相同对象；完成冲突闭合</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内部冲突、动作形态或组件成本不合规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拒绝，原图不变</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构造端点依赖域；最小扩域处理失效的已选外部槽位</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color w:val="000000"/>
          <w:sz w:val="21"/>
        </w:rPr>
        <w:t>固定域外关系，将整图约束、效用门及剩余编辑预算加入ILP</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07</w:t>
        <w:tab/>
      </w:r>
      <w:r>
        <w:rPr>
          <w:rFonts w:ascii="Times New Roman" w:hAnsi="Times New Roman" w:eastAsia="Songti SC"/>
          <w:color w:val="000000"/>
          <w:sz w:val="21"/>
        </w:rPr>
        <w:t>求解并登记状态；超时有incumbent时保留非最优身份</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08</w:t>
        <w:tab/>
      </w:r>
      <w:r>
        <w:rPr>
          <w:rFonts w:ascii="Times New Roman" w:hAnsi="Times New Roman" w:eastAsia="Songti SC"/>
          <w:b/>
          <w:color w:val="000000"/>
          <w:sz w:val="21"/>
        </w:rPr>
        <w:t>if</w:t>
      </w:r>
      <w:r>
        <w:rPr>
          <w:rFonts w:ascii="Times New Roman" w:hAnsi="Times New Roman" w:eastAsia="Songti SC"/>
          <w:color w:val="000000"/>
          <w:sz w:val="21"/>
        </w:rPr>
        <w:t xml:space="preserve"> 无可行解或评分失败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09</w:t>
        <w:tab/>
      </w:r>
      <w:r>
        <w:rPr>
          <w:rFonts w:ascii="Times New Roman" w:hAnsi="Times New Roman" w:eastAsia="Songti SC"/>
          <w:b/>
          <w:color w:val="000000"/>
          <w:sz w:val="21"/>
        </w:rPr>
        <w:t>return</w:t>
      </w:r>
      <w:r>
        <w:rPr>
          <w:rFonts w:ascii="Times New Roman" w:hAnsi="Times New Roman" w:eastAsia="Songti SC"/>
          <w:color w:val="000000"/>
          <w:sz w:val="21"/>
        </w:rPr>
        <w:t xml:space="preserve"> 区分原因的拒绝状态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10</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11</w:t>
        <w:tab/>
      </w:r>
      <w:r>
        <w:rPr>
          <w:rFonts w:ascii="Times New Roman" w:hAnsi="Times New Roman" w:eastAsia="Songti SC"/>
          <w:color w:val="000000"/>
          <w:sz w:val="21"/>
        </w:rPr>
        <w:t>复核整图合法、完整删增成本、两个分项门及严格总增益</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12</w:t>
        <w:tab/>
      </w:r>
      <w:r>
        <w:rPr>
          <w:rFonts w:ascii="Times New Roman" w:hAnsi="Times New Roman" w:eastAsia="Songti SC"/>
          <w:b/>
          <w:color w:val="000000"/>
          <w:sz w:val="21"/>
        </w:rPr>
        <w:t>return</w:t>
      </w:r>
      <w:r>
        <w:rPr>
          <w:rFonts w:ascii="Times New Roman" w:hAnsi="Times New Roman" w:eastAsia="Songti SC"/>
          <w:color w:val="000000"/>
          <w:sz w:val="21"/>
        </w:rPr>
        <w:t xml:space="preserve"> 复核通过的完整状态；否则丢弃副本并返回拒绝</w:t>
      </w:r>
    </w:p>
    <w:p>
      <w:pPr>
        <w:keepNext/>
        <w:spacing w:line="240" w:lineRule="auto" w:before="80" w:after="60"/>
        <w:ind w:firstLine="0"/>
        <w:jc w:val="center"/>
      </w:pPr>
      <w:r>
        <w:drawing>
          <wp:inline xmlns:a="http://schemas.openxmlformats.org/drawingml/2006/main" xmlns:pic="http://schemas.openxmlformats.org/drawingml/2006/picture">
            <wp:extent cx="5652770" cy="5329580"/>
            <wp:docPr id="8" name="bounded_execution.png" descr="候选生成至有界事务接受的执行流程"/>
            <wp:cNvGraphicFramePr>
              <a:graphicFrameLocks noChangeAspect="1"/>
            </wp:cNvGraphicFramePr>
            <a:graphic>
              <a:graphicData uri="http://schemas.openxmlformats.org/drawingml/2006/picture">
                <pic:pic>
                  <pic:nvPicPr>
                    <pic:cNvPr id="0" name="bounded_execution.png"/>
                    <pic:cNvPicPr/>
                  </pic:nvPicPr>
                  <pic:blipFill>
                    <a:blip r:embed="rId151"/>
                    <a:stretch>
                      <a:fillRect/>
                    </a:stretch>
                  </pic:blipFill>
                  <pic:spPr>
                    <a:xfrm>
                      <a:off x="0" y="0"/>
                      <a:ext cx="5652770" cy="5329580"/>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83" w:name="v11_183"/>
      <w:bookmarkEnd w:id="183"/>
    </w:p>
    <w:p>
      <w:r>
        <w:rPr>
          <w:rFonts w:ascii="Times New Roman" w:hAnsi="Times New Roman" w:eastAsia="Songti SC"/>
          <w:color w:val="000000"/>
        </w:rPr>
        <w:t>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pPr>
      <w:r>
        <w:t>4.5.3 固定评分下的精确差值</w:t>
      </w:r>
      <w:bookmarkStart w:id="83" w:name="v11_83"/>
      <w:bookmarkEnd w:id="83"/>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固定评分使共同对象抵消，完整依赖重建使差集覆盖所有改变的关系。详细推导及评分变化时的适用边界见附录B.6。</w:t>
      </w:r>
    </w:p>
    <w:p>
      <w:pPr>
        <w:pStyle w:val="Heading3"/>
      </w:pPr>
      <w:r>
        <w:t>4.5.4 集合事务的可达性</w:t>
      </w:r>
      <w:bookmarkStart w:id="84" w:name="v11_84"/>
      <w:bookmarkEnd w:id="84"/>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附录B.6给出两个旧组件合并为一个新组件的合法构造：单对象严格改进无法通过，整体替换可以通过。该反例刻画动作表达能力，不提供真实F1保证。</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5" w:name="v11_85"/>
      <w:bookmarkEnd w:id="85"/>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严格增加同一固定效用排除状态重复；有限候选空间使接受序列有限。证明及预算停止的区别见附录B.6。</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6" w:name="v11_86"/>
      <w:bookmarkEnd w:id="86"/>
    </w:p>
    <w:p>
      <w:r>
        <w:rPr>
          <w:rFonts w:ascii="Times New Roman" w:hAnsi="Times New Roman" w:eastAsia="Songti SC"/>
          <w:color w:val="000000"/>
        </w:rPr>
        <w:t>本节表图和案例使用人工情景；求解状态、错误分布与真实延迟的新增诊断按附录H执行后另行报告。</w:t>
      </w:r>
    </w:p>
    <w:p>
      <w:r>
        <w:rPr>
          <w:rFonts w:ascii="Times New Roman" w:hAnsi="Times New Roman" w:eastAsia="Songti SC"/>
          <w:color w:val="000000"/>
        </w:rPr>
        <w:t>本章固定T1训练条件，以I0为共同起点，分别比较完整系统和受控机制。组件及完整关系计数用于评价最终输出，候选覆盖、Oracle、对象评分、恢复风险和资源曲线用于解释增量来源。数学构造保留在方法说明与附录D，用于展示边界情形，不代替完整对照。</w:t>
      </w:r>
    </w:p>
    <w:p>
      <w:pPr>
        <w:pStyle w:val="Heading3"/>
      </w:pPr>
      <w:r>
        <w:t>4.6.1 推理协议与方法对照</w:t>
      </w:r>
      <w:bookmarkStart w:id="87" w:name="v11_87"/>
      <w:bookmarkEnd w:id="87"/>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执行4.3.2节的最小合法化扩域并重新计费，失败则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推理侧设置整系统比较与机制受控比较两类对照。整系统比较共享生成检查点、初始完整候选和共用合法化规则，保留MCR-only、BR-O、BR-C及BR-J各自的候选补充、评分与修正机制，用于判断完整方案的效果及成本。受控比较则除被检验因素外，固定候选宇宙、对象评分、动作或搜索顺序及相应资源口径，分别检验评分、决策策略与事务范围的作用。表4-1定义各版本的操作接口，表4-2列出归因条件。</w:t>
      </w:r>
    </w:p>
    <w:p>
      <w:pPr>
        <w:pStyle w:val="TableCaption"/>
      </w:pPr>
      <w:r>
        <w:rPr>
          <w:rFonts w:ascii="Times New Roman" w:hAnsi="Times New Roman" w:eastAsia="Songti SC"/>
          <w:color w:val="000000"/>
          <w:sz w:val="21"/>
        </w:rPr>
        <w:t>表4-1 推理方法的修改对象与决策接口</w:t>
      </w:r>
      <w:bookmarkStart w:id="184" w:name="v11_184"/>
      <w:bookmarkEnd w:id="18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采用BR-J的对象评分与效用，仅修改关系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再重建关系，以检验分步决策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限制单次组件改动范围</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在同一评分下检验受限动作的可达性</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重建受影响关系后整体接受或回退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在共同效用与整图约束下联合选边</w:t>
            </w:r>
          </w:p>
        </w:tc>
      </w:tr>
    </w:tbl>
    <w:p>
      <w:pPr>
        <w:spacing w:after="0" w:line="240" w:lineRule="auto"/>
      </w:pPr>
    </w:p>
    <w:p>
      <w:r>
        <w:rPr>
          <w:rFonts w:ascii="Times New Roman" w:hAnsi="Times New Roman" w:eastAsia="Songti SC"/>
          <w:color w:val="000000"/>
        </w:rPr>
        <w:t>BR-C与RelationOnly均固定组件，但前者保留前期覆盖目标，后者采用新对象评分，因而分别承担原版系统对照与动作限制对照。</w:t>
      </w:r>
    </w:p>
    <w:p>
      <w:r>
        <w:rPr>
          <w:rFonts w:ascii="Times New Roman" w:hAnsi="Times New Roman" w:eastAsia="Songti SC"/>
          <w:color w:val="000000"/>
        </w:rPr>
        <w:t>本版顺序对照命名为“组件优先的分步决策”。组件提议的第一阶段要求组件效用严格增加超过</w:t>
      </w:r>
      <m:oMath>
        <m:sSub>
          <m:e>
            <m:r>
              <m:t xml:space="preserve">δ</m:t>
            </m:r>
          </m:e>
          <m:sub>
            <m:r>
              <m:t xml:space="preserve">C</m:t>
            </m:r>
          </m:sub>
        </m:sSub>
        <m:r>
          <m:t xml:space="preserve">=</m:t>
        </m:r>
        <m:r>
          <m:t xml:space="preserve">δ</m:t>
        </m:r>
      </m:oMath>
      <w:r>
        <w:rPr>
          <w:rFonts w:ascii="Times New Roman" w:hAnsi="Times New Roman" w:eastAsia="Songti SC"/>
          <w:color w:val="000000"/>
        </w:rPr>
        <w:t>，删除端点或源连续性变化导致失效的全部旧关系，并检查整图合法性及剩余编辑预算。第一阶段不设关系或总效用非下降门，实际关系删除全部收费。每批先在临时副本上评估所有获额度的外层提议：组件提议只用其第一阶段的</w:t>
      </w:r>
      <m:oMath>
        <m:sSub>
          <m:e>
            <m:r>
              <m:t xml:space="preserve">w</m:t>
            </m:r>
          </m:e>
          <m:sub>
            <m:r>
              <m:t xml:space="preserve">C</m:t>
            </m:r>
          </m:sub>
        </m:sSub>
        <m:r>
          <m:t xml:space="preserve">Δ</m:t>
        </m:r>
        <m:sSub>
          <m:e>
            <m:r>
              <m:t xml:space="preserve">Φ</m:t>
            </m:r>
          </m:e>
          <m:sub>
            <m:r>
              <m:t xml:space="preserve">C</m:t>
            </m:r>
          </m:sub>
        </m:sSub>
      </m:oMath>
      <w:r>
        <w:rPr>
          <w:rFonts w:ascii="Times New Roman" w:hAnsi="Times New Roman" w:eastAsia="Songti SC"/>
          <w:color w:val="000000"/>
        </w:rPr>
        <w:t>排序，纯关系提议用</w:t>
      </w:r>
      <m:oMath>
        <m:sSub>
          <m:e>
            <m:r>
              <m:t xml:space="preserve">w</m:t>
            </m:r>
          </m:e>
          <m:sub>
            <m:r>
              <m:t xml:space="preserve">R</m:t>
            </m:r>
          </m:sub>
        </m:sSub>
        <m:r>
          <m:t xml:space="preserve">Δ</m:t>
        </m:r>
        <m:sSub>
          <m:e>
            <m:r>
              <m:t xml:space="preserve">Φ</m:t>
            </m:r>
          </m:e>
          <m:sub>
            <m:r>
              <m:t xml:space="preserve">R</m:t>
            </m:r>
          </m:sub>
        </m:sSub>
      </m:oMath>
      <w:r>
        <w:rPr>
          <w:rFonts w:ascii="Times New Roman" w:hAnsi="Times New Roman" w:eastAsia="Songti SC"/>
          <w:color w:val="000000"/>
        </w:rPr>
        <w:t>排序；同分依次比较该阶段实际编辑数与规范键。只提交批内一个胜出提议，组件提议的未来关系补全不得影响这一选择。临时评估只消费实际计算资源，未提交的图编辑不计累计编辑。</w:t>
      </w:r>
    </w:p>
    <w:p>
      <w:r>
        <w:rPr>
          <w:rFonts w:ascii="Times New Roman" w:hAnsi="Times New Roman" w:eastAsia="Songti SC"/>
          <w:color w:val="000000"/>
        </w:rPr>
        <w:t>组件提议胜出后立即提交第一阶段，外层接受加1，再在合法中间图上以同一候选域及剩余资源求解配套关系阶段，要求关系效用严格增加超过</w:t>
      </w:r>
      <m:oMath>
        <m:sSub>
          <m:e>
            <m:r>
              <m:t xml:space="preserve">δ</m:t>
            </m:r>
          </m:e>
          <m:sub>
            <m:r>
              <m:t xml:space="preserve">R</m:t>
            </m:r>
          </m:sub>
        </m:sSub>
        <m:r>
          <m:t xml:space="preserve">=</m:t>
        </m:r>
        <m:r>
          <m:t xml:space="preserve">δ</m:t>
        </m:r>
      </m:oMath>
      <w:r>
        <w:rPr>
          <w:rFonts w:ascii="Times New Roman" w:hAnsi="Times New Roman" w:eastAsia="Songti SC"/>
          <w:color w:val="000000"/>
        </w:rPr>
        <w:t>。第二阶段无解、无incumbent超时或实际资源耗尽均保留第一阶段状态，既有成本不退回；有incumbent时先按该阶段门限、合法性与预算复核。达到外层接受上限不会截断已接受提议的配套阶段，但真实资源和编辑上限始终有效。纯关系提议已在批内完成关系评估，胜出时直接提交，不重复求解；成功计一次外层接受。阶段尝试、求解、提交、时间、调用与token分别登记，两个阶段的关系删增均累计收费。</w:t>
      </w:r>
    </w:p>
    <w:p>
      <w:r>
        <w:rPr>
          <w:rFonts w:ascii="Times New Roman" w:hAnsi="Times New Roman" w:eastAsia="Songti SC"/>
          <w:color w:val="000000"/>
        </w:rPr>
        <w:t>组件预筛后整体提交并在失败时撤销第一阶段，是另一种联合提交变体，不是本节顺序基线。单对象对照只允许冲突闭合后的</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，禁止</w:t>
      </w:r>
      <m:oMath>
        <m:r>
          <m:t xml:space="preserve">1</m:t>
        </m:r>
        <m:r>
          <m:t xml:space="preserve">→</m:t>
        </m:r>
        <m:r>
          <m:t xml:space="preserve">2</m:t>
        </m:r>
      </m:oMath>
      <w:r>
        <w:rPr>
          <w:rFonts w:ascii="Times New Roman" w:hAnsi="Times New Roman" w:eastAsia="Songti SC"/>
          <w:color w:val="000000"/>
        </w:rPr>
        <w:t>、</w:t>
      </w:r>
      <m:oMath>
        <m:r>
          <m:t xml:space="preserve">2</m:t>
        </m:r>
        <m:r>
          <m:t xml:space="preserve">→</m:t>
        </m:r>
        <m:r>
          <m:t xml:space="preserve">1</m:t>
        </m:r>
      </m:oMath>
      <w:r>
        <w:rPr>
          <w:rFonts w:ascii="Times New Roman" w:hAnsi="Times New Roman" w:eastAsia="Songti SC"/>
          <w:color w:val="000000"/>
        </w:rPr>
        <w:t>，仍完整重建依赖关系。名义插入导致多对象删除时按实际形态限制。轨迹分叉后的队列不必相同，固定的是候选、对象分、规则和资源；另用同图同提议配对诊断区分信息使用方式。</w:t>
      </w:r>
    </w:p>
    <w:p>
      <w:r>
        <w:rPr>
          <w:rFonts w:ascii="Times New Roman" w:hAnsi="Times New Roman" w:eastAsia="Songti SC"/>
          <w:color w:val="000000"/>
        </w:rPr>
        <w:t>该顺序对照比较组件优先分步策略与联合决策策略的整体差异，不单独识别纯执行顺序的因果作用。单对象动作检验集合替换的可达性，两者均不能代替完整BR-J。附录E保留前期BR-O的历史协议，当前共同接口下的对照另行汇总。</w:t>
      </w:r>
    </w:p>
    <w:p>
      <w:pPr>
        <w:pStyle w:val="TableCaption"/>
      </w:pPr>
      <w:r>
        <w:rPr>
          <w:rFonts w:ascii="Times New Roman" w:hAnsi="Times New Roman" w:eastAsia="Songti SC"/>
          <w:color w:val="000000"/>
          <w:sz w:val="21"/>
        </w:rPr>
        <w:t>表4-2 推理侧对照及归因</w:t>
      </w:r>
      <w:bookmarkStart w:id="185" w:name="v11_185"/>
      <w:bookmarkEnd w:id="18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同一生成检查点、初始候选与共用合法化</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完整系统效果及前期工作递进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候选补充、评分、失败尝试与求解成本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收益是否主要来自删除错误关系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同候选、评分、动作规则及明确资源口径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两种决策策略的整体差异，不单独归因于执行顺序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净恢复、误改与实际计算成本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同一候选、事务集合、搜索顺序与资源口径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旧均分、固定计数效用及其他明确目标的差异</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RelationOnly、单对象动作与BR-J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固定候选、评分及资源口径，分别限制修改范围</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组件可变性、集合替换与闭合范围的作用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编辑数量、事务大小及可达范围</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同一候选与效用，采用包含局部终态的可行域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有限预算下局部修正的价值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等额度通用重写或重生成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明确对齐token额度或调用额度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给定额度代理下的修正收益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另报真实时间、解析失败、幻觉跨度及全部成本</w:t>
            </w:r>
          </w:p>
        </w:tc>
      </w:tr>
    </w:tbl>
    <w:p>
      <w:pPr>
        <w:spacing w:after="0" w:line="240" w:lineRule="auto"/>
      </w:pPr>
    </w:p>
    <w:p>
      <w:r>
        <w:rPr>
          <w:rFonts w:ascii="Times New Roman" w:hAnsi="Times New Roman" w:eastAsia="Songti SC"/>
          <w:color w:val="000000"/>
        </w:rPr>
        <w:t>全局ILP是同时选择全部组件与关系的强对照。其主配置固定相同候选、评分和合法性规则，要求组件与关系效用分别不低于初始图，并将两类对象的最终净编辑量分别限制在局部累计编辑预算内。局部方法的分项非下降和累计预算保证其终态满足这些约束；反向关系不成立，因此该全局可行域包含局部可达终态，二者并非同域。已证明最优的全局效用构成相应局部解的上界；若求解未完成，最大化问题的有效求解上界也可用作界，但当前可行解的效用不是该保证。因此，即使候选、评分与求解时间相同，比较也同时包含局部累计编辑与全局净编辑约束的差异，不能全部归因于求解范围。可行解、求解间隙和最优性状态分别报告，大预算行不自动视为全局最优。上述包含关系只涵盖BR-J终态；顺序方法允许关系效用下降，其终态不一定满足初始分项下界。顺序方法若与全局方法比较，另设不加分项下界的版本。不加分项门或采用其他净预算的版本分别命名。</w:t>
      </w:r>
    </w:p>
    <w:p>
      <w:r>
        <w:rPr>
          <w:rFonts w:ascii="Times New Roman" w:hAnsi="Times New Roman" w:eastAsia="Songti SC"/>
          <w:color w:val="000000"/>
        </w:rPr>
        <w:t>本节情景对应等求解预算比较，共同准备成本照常计入总时间。等端到端时限是另一比较条件，须从相同总额度扣除候选准备、评分和失败尝试，不能直接重命名现有成绩。预算点、规模分组、完整求解状态及失败分母集中于附录H.3。</w:t>
      </w:r>
    </w:p>
    <w:p>
      <w:pPr>
        <w:pStyle w:val="Heading3"/>
      </w:pPr>
      <w:r>
        <w:t>4.6.2 系统结果与策略对照</w:t>
      </w:r>
      <w:bookmarkStart w:id="88" w:name="v11_88"/>
      <w:bookmarkEnd w:id="88"/>
    </w:p>
    <w:p>
      <w:pPr>
        <w:pStyle w:val="TableCaption"/>
      </w:pPr>
      <w:r>
        <w:rPr>
          <w:rFonts w:ascii="Times New Roman" w:hAnsi="Times New Roman" w:eastAsia="Songti SC"/>
          <w:color w:val="000000"/>
          <w:sz w:val="21"/>
        </w:rPr>
        <w:t>表4-3 推理方法的严格抽取结果（人工情景）</w:t>
      </w:r>
      <w:bookmarkStart w:id="186" w:name="v11_186"/>
      <w:bookmarkEnd w:id="18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I0（T1初始图）</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61.97±0.48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75.07±0.40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56.76±0.26</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62.27±0.36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56.97±0.32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62.97±0.44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57.57±0.52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82.98±0.28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63.15±0.33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57.68±0.26</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83.66±0.33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64.57±0.33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75.76±0.33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58.95±0.27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未校准评分</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64.25±0.44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76.57±0.30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59.06±0.39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84.17±0.51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61.96±0.51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全局ILP等时限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84.47±0.21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66.96±0.33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76.97±0.28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62.47±0.25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84.77±0.38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67.87±0.45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77.37±0.53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63.36±0.29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83.37±0.29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63.67±0.33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75.46±0.45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58.05±0.42</w:t>
            </w:r>
          </w:p>
        </w:tc>
      </w:tr>
    </w:tbl>
    <w:p>
      <w:pPr>
        <w:spacing w:after="0" w:line="240" w:lineRule="auto"/>
      </w:pPr>
    </w:p>
    <w:p>
      <w:r>
        <w:rPr>
          <w:rFonts w:ascii="Times New Roman" w:hAnsi="Times New Roman" w:eastAsia="Songti SC"/>
          <w:color w:val="000000"/>
        </w:rPr>
        <w:t>BR-J相对I0在AAEC和CDCP上的关系F1分别增加5.99和6.71个百分点，同时提高组件结果。固定组件的BR-C和RelationOnly能够修复部分关系错误，但无法补回错误或遗漏的完整端点。单对象动作进一步扩大修正范围，集合替换则允许拆分、合并及其依赖关系作为共同提议参与决策。</w:t>
      </w:r>
    </w:p>
    <w:p>
      <w:r>
        <w:rPr>
          <w:rFonts w:ascii="Times New Roman" w:hAnsi="Times New Roman" w:eastAsia="Songti SC"/>
          <w:color w:val="000000"/>
        </w:rPr>
        <w:t>相对于组件优先分步策略，BR-J的关系增量为3.41和4.28个百分点，文档配对95%区间分别为[+2.58, +4.16]和[+3.39, +5.14]。该比较支持联合决策策略相对于本节分步策略的整体差异。两者同时改变信息使用、接受条件和批内排序，因而结果不能单独识别纯执行顺序的因果作用。</w:t>
      </w:r>
    </w:p>
    <w:p>
      <w:r>
        <w:rPr>
          <w:rFonts w:ascii="Times New Roman" w:hAnsi="Times New Roman" w:eastAsia="Songti SC"/>
          <w:color w:val="000000"/>
        </w:rPr>
        <w:t>另取一个独立的两阶段决策简例，取关系权重为1、其余对象效用不变，并假设旧关系在修改组件前必须删除：旧、新组件效用分别为0.20和0.80，旧、新关系效用分别为0.90和0.20。若先提交组件，再成功生成新关系，总效用由0.20＋0.90＝1.10变为0.80＋0.20＝1.00；联合门因关系分量下降而拒绝该提议。本例与4.4.5的教学算例采用不同赋值，仅说明代理目标下的决策差异；真实标签与代理评分不一致时，联合门也可能错误拒绝。</w:t>
      </w:r>
    </w:p>
    <w:p>
      <w:r>
        <w:rPr>
          <w:rFonts w:ascii="Times New Roman" w:hAnsi="Times New Roman" w:eastAsia="Songti SC"/>
          <w:color w:val="000000"/>
        </w:rPr>
        <w:t>全局等时限结果略高于BR-J，扩大求解预算后继续提高关系结果。这个次序符合更宽决策范围可能获得更好解的解释，但不能由任务F1反推预测效用的最优性。局部方法的价值还取决于求解时间、预算可控性与实际恢复轨迹，成本比较见4.6.5节。</w:t>
      </w:r>
    </w:p>
    <w:p>
      <w:pPr>
        <w:pStyle w:val="Heading3"/>
      </w:pPr>
      <w:r>
        <w:t>4.6.3 候选覆盖与恢复空间</w:t>
      </w:r>
      <w:bookmarkStart w:id="89" w:name="v11_89"/>
      <w:bookmarkEnd w:id="89"/>
    </w:p>
    <w:p>
      <w:r>
        <w:rPr>
          <w:rFonts w:ascii="Times New Roman" w:hAnsi="Times New Roman" w:eastAsia="Songti SC"/>
          <w:color w:val="000000"/>
        </w:rPr>
        <w:t>严格组件覆盖以完整金标组件数为分母；全部端点覆盖要求一条金标关系的所有完整端点均存在；完整关系覆盖进一步要求源集合、方向和标签被枚举。这三个层次均不表示对象能够共同进入合法图，也不表示已经进入实际队列。</w:t>
      </w:r>
    </w:p>
    <w:p>
      <w:pPr>
        <w:pStyle w:val="TableCaption"/>
      </w:pPr>
      <w:r>
        <w:rPr>
          <w:rFonts w:ascii="Times New Roman" w:hAnsi="Times New Roman" w:eastAsia="Songti SC"/>
          <w:color w:val="000000"/>
          <w:sz w:val="21"/>
        </w:rPr>
        <w:t>表4-4 从完整组件到完整关系的候选覆盖（人工情景）</w:t>
      </w:r>
      <w:bookmarkStart w:id="187" w:name="v11_187"/>
      <w:bookmarkEnd w:id="18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覆盖层次</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 %（计数）</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 %（计数）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完整组件</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95.18（1600/1681）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91.79（1419/1546）</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全部完整端点</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91.11（1137/1248）</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84.61（786/929）</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87.42（1091/1248）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79.22（736/929）</w:t>
            </w:r>
          </w:p>
        </w:tc>
      </w:tr>
    </w:tbl>
    <w:p>
      <w:pPr>
        <w:spacing w:after="0" w:line="240" w:lineRule="auto"/>
      </w:pPr>
    </w:p>
    <w:p>
      <w:r>
        <w:rPr>
          <w:rFonts w:ascii="Times New Roman" w:hAnsi="Times New Roman" w:eastAsia="Songti SC"/>
          <w:color w:val="000000"/>
        </w:rPr>
        <w:t>AAEC从组件覆盖到完整关系覆盖仍有差距，CDCP的差距更大。原生超边需要同时满足多个源成员和目标的完整身份，因此单个跨度进入候选并不足以恢复关系。二元逆向槽位被裁掉时，该方向不进入反向队列；现有长超边保护与新长源集合枚举也分别记录，避免把候选范围限制统一归为评分失败。</w:t>
      </w:r>
    </w:p>
    <w:p>
      <w:r>
        <w:rPr>
          <w:rFonts w:ascii="Times New Roman" w:hAnsi="Times New Roman" w:eastAsia="Songti SC"/>
          <w:color w:val="000000"/>
        </w:rPr>
        <w:t>令</w:t>
      </w:r>
      <m:oMath>
        <m:sSub>
          <m:e>
            <m:r>
              <m:t xml:space="preserve">ℋ</m:t>
            </m:r>
          </m:e>
          <m:sub>
            <m:r>
              <m:t xml:space="preserve">1</m:t>
            </m:r>
          </m:sub>
        </m:sSub>
      </m:oMath>
      <w:r>
        <w:rPr>
          <w:rFonts w:ascii="Times New Roman" w:hAnsi="Times New Roman" w:eastAsia="Songti SC"/>
          <w:color w:val="000000"/>
        </w:rPr>
        <w:t>为初始图及一次允许事务的合法终态，</w:t>
      </w:r>
      <m:oMath>
        <m:sSub>
          <m:e>
            <m:r>
              <m:t xml:space="preserve">ℋ</m:t>
            </m:r>
          </m:e>
          <m:sub>
            <m:r>
              <m:t xml:space="preserve">L</m:t>
            </m:r>
          </m:sub>
        </m:sSub>
      </m:oMath>
      <w:r>
        <w:rPr>
          <w:rFonts w:ascii="Times New Roman" w:hAnsi="Times New Roman" w:eastAsia="Songti SC"/>
          <w:color w:val="000000"/>
        </w:rPr>
        <w:t>为最多</w:t>
      </w:r>
      <m:oMath>
        <m:r>
          <m:t xml:space="preserve">L</m:t>
        </m:r>
      </m:oMath>
      <w:r>
        <w:rPr>
          <w:rFonts w:ascii="Times New Roman" w:hAnsi="Times New Roman" w:eastAsia="Songti SC"/>
          <w:color w:val="000000"/>
        </w:rPr>
        <w:t>次事务、每一步合法并满足累计编辑预算的终态，</w:t>
      </w:r>
      <m:oMath>
        <m:sSub>
          <m:e>
            <m:r>
              <m:t xml:space="preserve">ℋ</m:t>
            </m:r>
          </m:e>
          <m:sub>
            <m:r>
              <m:t xml:space="preserve">n</m:t>
            </m:r>
            <m:r>
              <m:t xml:space="preserve">e</m:t>
            </m:r>
            <m:r>
              <m:t xml:space="preserve">t</m:t>
            </m:r>
          </m:sub>
        </m:sSub>
      </m:oMath>
      <w:r>
        <w:rPr>
          <w:rFonts w:ascii="Times New Roman" w:hAnsi="Times New Roman" w:eastAsia="Songti SC"/>
          <w:color w:val="000000"/>
        </w:rPr>
        <w:t>为相同候选与整图合法性下满足相同数值净编辑预算的图。三者解除预测效用门、队列截断和运行时限；前两者保留动作形态，</w:t>
      </w:r>
      <m:oMath>
        <m:sSub>
          <m:e>
            <m:r>
              <m:t xml:space="preserve">ℋ</m:t>
            </m:r>
          </m:e>
          <m:sub>
            <m:r>
              <m:t xml:space="preserve">L</m:t>
            </m:r>
          </m:sub>
        </m:sSub>
      </m:oMath>
      <w:r>
        <w:rPr>
          <w:rFonts w:ascii="Times New Roman" w:hAnsi="Times New Roman" w:eastAsia="Songti SC"/>
          <w:color w:val="000000"/>
        </w:rPr>
        <w:t>保留中间状态与累计成本。包含no-op时，有</w:t>
      </w:r>
      <m:oMath>
        <m:sSub>
          <m:e>
            <m:r>
              <m:t xml:space="preserve">ℋ</m:t>
            </m:r>
          </m:e>
          <m:sub>
            <m:r>
              <m:t xml:space="preserve">1</m:t>
            </m:r>
          </m:sub>
        </m:sSub>
        <m:r>
          <m:t xml:space="preserve">⊆</m:t>
        </m:r>
        <m:sSub>
          <m:e>
            <m:r>
              <m:t xml:space="preserve">ℋ</m:t>
            </m:r>
          </m:e>
          <m:sub>
            <m:r>
              <m:t xml:space="preserve">L</m:t>
            </m:r>
          </m:sub>
        </m:sSub>
        <m:r>
          <m:t xml:space="preserve">⊆</m:t>
        </m:r>
        <m:sSub>
          <m:e>
            <m:r>
              <m:t xml:space="preserve">ℋ</m:t>
            </m:r>
          </m:e>
          <m:sub>
            <m:r>
              <m:t xml:space="preserve">n</m:t>
            </m:r>
            <m:r>
              <m:t xml:space="preserve">e</m:t>
            </m:r>
            <m:r>
              <m:t xml:space="preserve">t</m:t>
            </m:r>
          </m:sub>
        </m:sSub>
      </m:oMath>
      <w:r>
        <w:rPr>
          <w:rFonts w:ascii="Times New Roman" w:hAnsi="Times New Roman" w:eastAsia="Songti SC"/>
          <w:color w:val="000000"/>
        </w:rPr>
        <w:t>。主诊断的</w:t>
      </w:r>
      <m:oMath>
        <m:r>
          <m:t xml:space="preserve">L</m:t>
        </m:r>
      </m:oMath>
      <w:r>
        <w:rPr>
          <w:rFonts w:ascii="Times New Roman" w:hAnsi="Times New Roman" w:eastAsia="Songti SC"/>
          <w:color w:val="000000"/>
        </w:rPr>
        <w:t>对应BR-J外层接受上限，不是轮数或分步阶段数。</w:t>
      </w:r>
    </w:p>
    <w:p>
      <w:r>
        <w:rPr>
          <w:rFonts w:ascii="Times New Roman" w:hAnsi="Times New Roman" w:eastAsia="Songti SC"/>
          <w:color w:val="000000"/>
        </w:rPr>
        <w:t>Oracle按整个评价集合的严格关系micro-F1优化，即</w:t>
      </w:r>
      <m:oMath>
        <m:r>
          <m:t xml:space="preserve">2</m:t>
        </m:r>
        <m:sSub>
          <m:e>
            <m:r>
              <m:t xml:space="preserve">∑</m:t>
            </m:r>
          </m:e>
          <m:sub>
            <m:r>
              <m:t xml:space="preserve">d</m:t>
            </m:r>
          </m:sub>
        </m:sSub>
        <m:r>
          <m:t xml:space="preserve">T</m:t>
        </m:r>
        <m:sSub>
          <m:e>
            <m:r>
              <m:t xml:space="preserve">P</m:t>
            </m:r>
          </m:e>
          <m:sub>
            <m:r>
              <m:t xml:space="preserve">d</m:t>
            </m:r>
          </m:sub>
        </m:sSub>
        <m:r>
          <m:t xml:space="preserve">/</m:t>
        </m:r>
        <m:r>
          <m:t xml:space="preserve">(</m:t>
        </m:r>
        <m:sSub>
          <m:e>
            <m:r>
              <m:t xml:space="preserve">∑</m:t>
            </m:r>
          </m:e>
          <m:sub>
            <m:r>
              <m:t xml:space="preserve">d</m:t>
            </m:r>
          </m:sub>
        </m:sSub>
        <m:r>
          <m:t xml:space="preserve">|</m:t>
        </m:r>
        <m:sSub>
          <m:e>
            <m:r>
              <m:t xml:space="preserve">R</m:t>
            </m:r>
          </m:e>
          <m:sub>
            <m:r>
              <m:t xml:space="preserve">d</m:t>
            </m:r>
          </m:sub>
        </m:sSub>
        <m:r>
          <m:t xml:space="preserve">|</m:t>
        </m:r>
        <m:r>
          <m:t xml:space="preserve">+</m:t>
        </m:r>
        <m:sSub>
          <m:e>
            <m:r>
              <m:t xml:space="preserve">∑</m:t>
            </m:r>
          </m:e>
          <m:sub>
            <m:r>
              <m:t xml:space="preserve">d</m:t>
            </m:r>
          </m:sub>
        </m:sSub>
        <m:r>
          <m:t xml:space="preserve">|</m:t>
        </m:r>
        <m:sSub>
          <m:e>
            <m:r>
              <m:t xml:space="preserve">Y</m:t>
            </m:r>
          </m:e>
          <m:sub>
            <m:r>
              <m:t xml:space="preserve">d</m:t>
            </m:r>
          </m:sub>
        </m:sSub>
        <m:r>
          <m:t xml:space="preserve">|</m:t>
        </m:r>
        <m:r>
          <m:t xml:space="preserve">)</m:t>
        </m:r>
      </m:oMath>
      <w:r>
        <w:rPr>
          <w:rFonts w:ascii="Times New Roman" w:hAnsi="Times New Roman" w:eastAsia="Songti SC"/>
          <w:color w:val="000000"/>
        </w:rPr>
        <w:t>。逐文档最优F1再平均不等于该目标。表4-5按共同计数展示三个恢复空间的诊断值，金标只参与离线诊断，不进入测试输出选择或预算调整。</w:t>
      </w:r>
    </w:p>
    <w:p>
      <w:pPr>
        <w:pStyle w:val="TableCaption"/>
      </w:pPr>
      <w:r>
        <w:rPr>
          <w:rFonts w:ascii="Times New Roman" w:hAnsi="Times New Roman" w:eastAsia="Songti SC"/>
          <w:color w:val="000000"/>
          <w:sz w:val="21"/>
        </w:rPr>
        <w:t>表4-5 三类恢复空间的关系计数诊断（人工情景）</w:t>
      </w:r>
      <w:bookmarkStart w:id="188" w:name="v11_188"/>
      <w:bookmarkEnd w:id="18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空间</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 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 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76.77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940/261/308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70.26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639/251/290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多事务松弛空间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1020/184/228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77.67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708/186/221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全局净预算松弛空间</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85.07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1043/161/205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733/162/196</w:t>
            </w:r>
          </w:p>
        </w:tc>
      </w:tr>
    </w:tbl>
    <w:p>
      <w:pPr>
        <w:spacing w:after="0" w:line="240" w:lineRule="auto"/>
      </w:pPr>
    </w:p>
    <w:p>
      <w:r>
        <w:rPr>
          <w:rFonts w:ascii="Times New Roman" w:hAnsi="Times New Roman" w:eastAsia="Songti SC"/>
          <w:color w:val="000000"/>
        </w:rPr>
        <w:t>多事务空间相对单事务空间保留了额外恢复余地，全局净预算空间又放宽了路径和累计开销限制。三者的数值差异说明“覆盖”“可达”和“实际接受”应分开分析；关系候选存在仍可能需要后续事务才能被选择。附录D.4的四组件穷举给出最小例子：覆盖为100%，一次事务最佳F1为66.67，多步为100.00，原因是删除非端点组件后，新合法关系还需单独的关系事务。</w:t>
      </w:r>
    </w:p>
    <w:p>
      <w:r>
        <w:rPr>
          <w:rFonts w:ascii="Times New Roman" w:hAnsi="Times New Roman" w:eastAsia="Songti SC"/>
          <w:color w:val="000000"/>
        </w:rPr>
        <w:t>净编辑预算也不代表相同操作成本。先删除再加入同一对象的终态净变化为0，实际累计编辑为2。未完成全状态求解时，找到的可行值只提供最大化目标的下界，须与有效上界和最优性状态分开。金标Oracle和4.6.1的预测效用全局ILP使用不同目标，不能相互替代。</w:t>
      </w:r>
    </w:p>
    <w:p>
      <w:pPr>
        <w:pStyle w:val="Heading3"/>
      </w:pPr>
      <w:r>
        <w:t>4.6.4 完整对象评分与校准</w:t>
      </w:r>
      <w:bookmarkStart w:id="90" w:name="v11_90"/>
      <w:bookmarkEnd w:id="90"/>
    </w:p>
    <w:p>
      <w:r>
        <w:rPr>
          <w:rFonts w:ascii="Times New Roman" w:hAnsi="Times New Roman" w:eastAsia="Songti SC"/>
          <w:color w:val="000000"/>
        </w:rPr>
        <w:t>评分验证使用固定提案及完整对象精确标签，按文档分组，保留候选来源与自然错误类别。组件、关系分别统计AUROC、Brier和10个等宽分箱的ECE；AUROC反映排序，Brier和ECE反映概率与标签的对应。概率校准的讨论遵循置信度与经验正确率的区分[45]。</w:t>
      </w:r>
    </w:p>
    <w:p>
      <w:pPr>
        <w:pStyle w:val="TableCaption"/>
      </w:pPr>
      <w:r>
        <w:rPr>
          <w:rFonts w:ascii="Times New Roman" w:hAnsi="Times New Roman" w:eastAsia="Songti SC"/>
          <w:color w:val="000000"/>
          <w:sz w:val="21"/>
        </w:rPr>
        <w:t>表4-6 完整对象评分的区分与校准（人工情景）</w:t>
      </w:r>
      <w:bookmarkStart w:id="189" w:name="v11_189"/>
      <w:bookmarkEnd w:id="18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AUROC</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Brier前→后</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ECE前→后</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对象数</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0.181→0.173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0.082→0.024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0.178→0.170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0.077→0.010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0.168→0.164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0.057→0.021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0.781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0.177→0.169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0.074→0.009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r>
    </w:tbl>
    <w:p>
      <w:pPr>
        <w:spacing w:after="0" w:line="240" w:lineRule="auto"/>
      </w:pPr>
    </w:p>
    <w:p>
      <w:r>
        <w:rPr>
          <w:rFonts w:ascii="Times New Roman" w:hAnsi="Times New Roman" w:eastAsia="Songti SC"/>
          <w:color w:val="000000"/>
        </w:rPr>
        <w:t>校准后Brier和ECE下降，AUROC保持不变，符合单调概率变换保持排序的特点。完整关系正例要求源成员、目标、端点类型、方向和标签同时匹配，不能把一个成员正确视为整条超边正确。未被生成器输出的关系也不自动记作负例，候选池需要保留完整标签槽位和明确定义的负例来源。</w:t>
      </w:r>
    </w:p>
    <w:p>
      <w:r>
        <w:rPr>
          <w:rFonts w:ascii="Times New Roman" w:hAnsi="Times New Roman" w:eastAsia="Songti SC"/>
          <w:color w:val="000000"/>
        </w:rPr>
        <w:t>训练内OOF生成器与跨度头共同隔离持出文档及其变体，开发校准与策略选择使用不同子集。T0和T1候选的分布变化纳入评分材料，最终模型的候选来源单独登记。表4-3中未校准评分低于完整BR-J，但概率指标改善仍不构成接受后安全保证：搜索会选择高分对象，接受分布与固定提案分布不同，需进一步观察表4-7的恢复和误改。</w:t>
      </w:r>
    </w:p>
    <w:p>
      <w:pPr>
        <w:pStyle w:val="Heading3"/>
      </w:pPr>
      <w:r>
        <w:t>4.6.5 恢复风险与资源取舍</w:t>
      </w:r>
      <w:bookmarkStart w:id="91" w:name="v11_91"/>
      <w:bookmarkEnd w:id="91"/>
    </w:p>
    <w:p>
      <w:pPr>
        <w:pStyle w:val="TableCaption"/>
      </w:pPr>
      <w:r>
        <w:rPr>
          <w:rFonts w:ascii="Times New Roman" w:hAnsi="Times New Roman" w:eastAsia="Songti SC"/>
          <w:color w:val="000000"/>
          <w:sz w:val="21"/>
        </w:rPr>
        <w:t>表4-7 关系恢复与误改的累计计数（人工情景）</w:t>
      </w:r>
      <w:bookmarkStart w:id="190" w:name="v11_190"/>
      <w:bookmarkEnd w:id="19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恢复TP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损失TP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移除FP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原TP保留%</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分步</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267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95.35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97.06</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全局等时限</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97.65</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分步</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278</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217</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94.40</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144</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96.93</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全局等时限</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243</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146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97.20</w:t>
            </w:r>
          </w:p>
        </w:tc>
      </w:tr>
    </w:tbl>
    <w:p>
      <w:pPr>
        <w:spacing w:after="0" w:line="240" w:lineRule="auto"/>
      </w:pPr>
    </w:p>
    <w:p>
      <w:r>
        <w:rPr>
          <w:rFonts w:ascii="Times New Roman" w:hAnsi="Times New Roman" w:eastAsia="Songti SC"/>
          <w:color w:val="000000"/>
        </w:rPr>
        <w:t>表4-7累加三种子的关系对象变化，恢复为新增真阳性，损失为初始真阳性消失；FP移除与新增分别计数。BR-J在AAEC和CDCP保留了97.06%和96.93%的初始关系真阳性，高于本比较中的分步策略。尽管最终关系F1提高，仍有28和60个文档与种子配对的关系F1下降，分别占11.67%和13.51%。因此，分项代理门控制的是代理分量，不能保证每篇文档的真实指标非下降。</w:t>
      </w:r>
    </w:p>
    <w:p>
      <w:r>
        <w:rPr>
          <w:rFonts w:ascii="Times New Roman" w:hAnsi="Times New Roman" w:eastAsia="Songti SC"/>
          <w:color w:val="000000"/>
        </w:rPr>
        <w:t>分步方法最多进行两次阶段提交，BR-J每个外层接受进行一次联合提交。本文以文档净TP、FP、FN比较风险，不直接把二者的“有益提交比例”放在同一分母下。组件与关系混合变化保留计数向量；以关系F1标记有益或有害时，也不掩盖组件端的变化。</w:t>
      </w:r>
    </w:p>
    <w:p>
      <w:pPr>
        <w:keepNext/>
        <w:spacing w:line="240" w:lineRule="auto" w:before="80" w:after="60"/>
        <w:ind w:firstLine="0"/>
        <w:jc w:val="center"/>
      </w:pPr>
      <w:r>
        <w:drawing>
          <wp:inline xmlns:a="http://schemas.openxmlformats.org/drawingml/2006/main" xmlns:pic="http://schemas.openxmlformats.org/drawingml/2006/picture">
            <wp:extent cx="5652770" cy="2768473"/>
            <wp:docPr id="9" name="recovery_risk.png" descr="联合修正的关系恢复与真阳性损失"/>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652770" cy="2768473"/>
                    </a:xfrm>
                    <a:prstGeom prst="rect"/>
                  </pic:spPr>
                </pic:pic>
              </a:graphicData>
            </a:graphic>
          </wp:inline>
        </w:drawing>
      </w:r>
    </w:p>
    <w:p>
      <w:pPr>
        <w:pStyle w:val="FigureCaption"/>
      </w:pPr>
      <w:r>
        <w:rPr>
          <w:rFonts w:ascii="Times New Roman" w:hAnsi="Times New Roman" w:eastAsia="Songti SC"/>
          <w:color w:val="000000"/>
          <w:sz w:val="21"/>
        </w:rPr>
        <w:t>图4-3 联合修正中的关系恢复与原真阳性损失（人工情景）</w:t>
      </w:r>
      <w:bookmarkStart w:id="191" w:name="v11_191"/>
      <w:bookmarkEnd w:id="191"/>
    </w:p>
    <w:p>
      <w:pPr>
        <w:pStyle w:val="TableCaption"/>
      </w:pPr>
      <w:r>
        <w:rPr>
          <w:rFonts w:ascii="Times New Roman" w:hAnsi="Times New Roman" w:eastAsia="Songti SC"/>
          <w:color w:val="000000"/>
          <w:sz w:val="21"/>
        </w:rPr>
        <w:t>表4-8 推理成本与预算取舍（人工情景）</w:t>
      </w:r>
      <w:bookmarkStart w:id="192" w:name="v11_192"/>
      <w:bookmarkEnd w:id="19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平均秒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求解秒</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总k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27.2</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组件优先分步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49.69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全局ILP等时限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52.77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全局ILP大预算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164.64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I0</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69.96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45.16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全局ILP等时限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250.74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71.10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bl>
    <w:p>
      <w:pPr>
        <w:spacing w:after="0" w:line="240" w:lineRule="auto"/>
      </w:pPr>
    </w:p>
    <w:p>
      <w:r>
        <w:rPr>
          <w:rFonts w:ascii="Times New Roman" w:hAnsi="Times New Roman" w:eastAsia="Songti SC"/>
          <w:color w:val="000000"/>
        </w:rPr>
        <w:t>耗时包括候选生成、裁剪前对象评分、全部提议评估、失败处理和求解。保留4096个补充槽位不意味着只对4096个对象评分。表4-8的等时限比较采用相同逐文档总求解上限及线程设置，单次时限另记；大预算全局结果允许更长求解时间。重生成与BR-J对齐总token额度，解析失败与额外调用进入成本，实际调用组织可以不同。这里的token合计包含各模型输入与输出，是额度代理；输入读取、评分和自回归解码的单位代价不同，等token不表示等GPU时间、等能耗或等端到端时延，成本结论须同时查看时间列。</w:t>
      </w:r>
    </w:p>
    <w:p>
      <w:r>
        <w:rPr>
          <w:rFonts w:ascii="Times New Roman" w:hAnsi="Times New Roman" w:eastAsia="Songti SC"/>
          <w:color w:val="000000"/>
        </w:rPr>
        <w:t>BR-J相对等求解时限全局ILP节省的平均总时间仅为4.19%和4.73%，关系F1按未舍入值计算分别低0.40和0.50个百分点。表4-7中全局方法的初始关系TP保留率也略高，因此当前情景没有支持“局部更安全”或突出的效率优势。按已有成本分项，BR-J求解仅占总时间的5.00%和5.67%；大部分时间在生成与评分，单独加速局部求解难以等比例改善整体时延。这些是人工成本设定下的算术关系，该情景中的局部仍略快，不能说被全局在所有维度严格支配；但这点节时也不足以支持突出效率优势。真实采用条件尚未确定，冷启动、缓存和一次性准备费用按附录H.3分别解释。</w:t>
      </w:r>
    </w:p>
    <w:p>
      <w:pPr>
        <w:keepNext/>
        <w:spacing w:line="240" w:lineRule="auto" w:before="80" w:after="60"/>
        <w:ind w:firstLine="0"/>
        <w:jc w:val="center"/>
      </w:pPr>
      <w:r>
        <w:drawing>
          <wp:inline xmlns:a="http://schemas.openxmlformats.org/drawingml/2006/main" xmlns:pic="http://schemas.openxmlformats.org/drawingml/2006/picture">
            <wp:extent cx="5652770" cy="2673474"/>
            <wp:docPr id="10" name="budget_results.png" descr="不同外层轮数下的关系结果与逐文档时间"/>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652770" cy="2673474"/>
                    </a:xfrm>
                    <a:prstGeom prst="rect"/>
                  </pic:spPr>
                </pic:pic>
              </a:graphicData>
            </a:graphic>
          </wp:inline>
        </w:drawing>
      </w:r>
    </w:p>
    <w:p>
      <w:pPr>
        <w:pStyle w:val="FigureCaption"/>
      </w:pPr>
      <w:r>
        <w:rPr>
          <w:rFonts w:ascii="Times New Roman" w:hAnsi="Times New Roman" w:eastAsia="Songti SC"/>
          <w:color w:val="000000"/>
          <w:sz w:val="21"/>
        </w:rPr>
        <w:t>图4-4 外层轮数增加时的结果与时间变化（人工情景）</w:t>
      </w:r>
      <w:bookmarkStart w:id="193" w:name="v11_193"/>
      <w:bookmarkEnd w:id="193"/>
    </w:p>
    <w:p>
      <w:r>
        <w:rPr>
          <w:rFonts w:ascii="Times New Roman" w:hAnsi="Times New Roman" w:eastAsia="Songti SC"/>
          <w:color w:val="000000"/>
        </w:rPr>
        <w:t>轮数曲线显示当前情景的边际增量逐步减小。图中局部轮数与全局时限属于不同控制量，只能结合实际端到端时间阅读；它还不能证明大图或紧预算下局部方法必然更优。完整调度边界见算法4-1、4-2及附录B.4.3。</w:t>
      </w:r>
    </w:p>
    <w:p>
      <w:pPr>
        <w:pStyle w:val="Heading3"/>
      </w:pPr>
      <w:r>
        <w:t>4.6.6 案例分析</w:t>
      </w:r>
      <w:bookmarkStart w:id="92" w:name="v11_92"/>
      <w:bookmarkEnd w:id="92"/>
    </w:p>
    <w:p>
      <w:r>
        <w:rPr>
          <w:rFonts w:ascii="Times New Roman" w:hAnsi="Times New Roman" w:eastAsia="Songti SC"/>
          <w:color w:val="000000"/>
        </w:rPr>
        <w:t>表4-9仅以人工机制片段说明四种决策情形。真实同文档前后案例尚未取得，取例与复核要求见附录B.5及H.4。</w:t>
      </w:r>
    </w:p>
    <w:p>
      <w:pPr>
        <w:pStyle w:val="TableCaption"/>
      </w:pPr>
      <w:r>
        <w:rPr>
          <w:rFonts w:ascii="Times New Roman" w:hAnsi="Times New Roman" w:eastAsia="Songti SC"/>
          <w:color w:val="000000"/>
          <w:sz w:val="21"/>
        </w:rPr>
        <w:t>表4-9 结构恢复与失败案例（人工情景）</w:t>
      </w:r>
      <w:bookmarkStart w:id="194" w:name="v11_194"/>
      <w:bookmarkEnd w:id="19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2835"/>
        <w:gridCol w:w="2409"/>
        <w:gridCol w:w="2409"/>
      </w:tblGrid>
      <w:tr>
        <w:trPr>
          <w:cantSplit/>
          <w:tblHeader/>
        </w:trPr>
        <w:tc>
          <w:tcPr>
            <w:tcW w:type="dxa" w:w="124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类别</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原文及金标要点</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初始状态与候选</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决策与解释</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拆分恢复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library needs more seats. It should also stay open later.”包含两个主张</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初始将两句合成一个组件；池中保留两个独立跨度</w:t>
            </w:r>
          </w:p>
        </w:tc>
        <w:tc>
          <w:tcPr>
            <w:tcW w:type="dxa" w:w="240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拆为两个兼容组件，并重建各自入关系；共同提交避免沿用旧端点</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错误接受</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“More seats may help, but longer hours alone will not solve crowding.”含模态与否定</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候选错误地赋予后半句肯定支持关系；对象分偏高</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联合代理门通过但严格关系变差，体现评分偏差的影响</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错误拒绝</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schedule is too short to serve evening students.”支持延时开放</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正确替代跨度和关系均在池中，关系对象分偏低</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组件增益不能补偿关系代理下降，分项门拒绝真实有益提议</w:t>
            </w:r>
          </w:p>
        </w:tc>
      </w:tr>
      <w:tr>
        <w:trPr>
          <w:cantSplit/>
        </w:trPr>
        <w:tc>
          <w:tcPr>
            <w:tcW w:type="dxa" w:w="124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候选限制</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“Staffing is limited. Buses stop early. Lighting is unsafe.”三条前提共同支持“The library should close early.”</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一个正确源跨度被裁剪，无法形成完整关系对象</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扩大当前事务时间仍不能恢复，需在候选构造层处理</w:t>
            </w:r>
          </w:p>
        </w:tc>
      </w:tr>
    </w:tbl>
    <w:p>
      <w:pPr>
        <w:spacing w:after="0" w:line="240" w:lineRule="auto"/>
      </w:pPr>
    </w:p>
    <w:p>
      <w:r>
        <w:rPr>
          <w:rFonts w:ascii="Times New Roman" w:hAnsi="Times New Roman" w:eastAsia="Songti SC"/>
          <w:color w:val="000000"/>
        </w:rPr>
        <w:t>四类片段分别说明动作表达、评分偏差、接受门和候选限制；真实频率与误改风险由总体运行记录评价。</w:t>
      </w:r>
    </w:p>
    <w:p>
      <w:pPr>
        <w:pStyle w:val="Heading2"/>
      </w:pPr>
      <w:r>
        <w:t>4.7 本章小结</w:t>
      </w:r>
      <w:bookmarkStart w:id="93" w:name="v11_93"/>
      <w:bookmarkEnd w:id="93"/>
    </w:p>
    <w:p>
      <w:r>
        <w:rPr>
          <w:rFonts w:ascii="Times New Roman" w:hAnsi="Times New Roman" w:eastAsia="Songti SC"/>
          <w:color w:val="000000"/>
        </w:rPr>
        <w:t>本章明确了集合事务的表达与决策条件。人工情景中，BR-J优于所定义分步策略，但与等求解预算全局方法相比尚无突出质量、时间或保留率优势。局部方法的使用条件需由真实资源和变更轨迹检验；第五章继续分析其与训练条件的关系。</w:t>
      </w:r>
    </w:p>
    <w:p>
      <w:pPr>
        <w:pStyle w:val="Heading1"/>
      </w:pPr>
      <w:r>
        <w:t>第五章 两阶段框架的综合分析</w:t>
      </w:r>
      <w:bookmarkStart w:id="94" w:name="v11_94"/>
      <w:bookmarkEnd w:id="94"/>
    </w:p>
    <w:p>
      <w:r>
        <w:rPr>
          <w:rFonts w:ascii="Times New Roman" w:hAnsi="Times New Roman" w:eastAsia="Songti SC"/>
          <w:color w:val="000000"/>
        </w:rPr>
        <w:t>本章复用四格人工计数与成本，分析条件增量、净错误变化和在线配置取舍，并说明超边规模的评价范围。聚合计数能支持这些比较，不能识别共同修复对象或训练影响修正的具体路径；相应分析设计集中于附录H.4。</w:t>
      </w:r>
    </w:p>
    <w:p>
      <w:pPr>
        <w:pStyle w:val="Heading2"/>
      </w:pPr>
      <w:r>
        <w:t>5.1 两阶段的条件增量</w:t>
      </w:r>
      <w:bookmarkStart w:id="95" w:name="v11_95"/>
      <w:bookmarkEnd w:id="95"/>
    </w:p>
    <w:p>
      <w:r>
        <w:rPr>
          <w:rFonts w:ascii="Times New Roman" w:hAnsi="Times New Roman" w:eastAsia="Songti SC"/>
          <w:color w:val="000000"/>
        </w:rPr>
        <w:t>四格为T0＋I0、T1＋I0、T0＋I1和T1＋I1，I1采用BR-J。同一训练条件下，I0与I1共用检查点、初始图和候选；不同训练条件可以改变候选及评分适配，因而四格估计的是条件系统增量。第三章T1和第四章BR-J分别复用T1＋I0、T1＋I1的主行，全部三个种子均进入汇总。</w:t>
      </w:r>
    </w:p>
    <w:p>
      <w:pPr>
        <w:pStyle w:val="TableCaption"/>
      </w:pPr>
      <w:r>
        <w:rPr>
          <w:rFonts w:ascii="Times New Roman" w:hAnsi="Times New Roman" w:eastAsia="Songti SC"/>
          <w:color w:val="000000"/>
          <w:sz w:val="21"/>
        </w:rPr>
        <w:t>表5-1 两阶段组合的四格结果（人工情景）</w:t>
      </w:r>
      <w:bookmarkStart w:id="195" w:name="v11_195"/>
      <w:bookmarkEnd w:id="19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80.77±0.51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59.87±0.35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72.67±0.39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54.35±0.40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84.17±0.51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61.96±0.51</w:t>
            </w:r>
          </w:p>
        </w:tc>
      </w:tr>
    </w:tbl>
    <w:p>
      <w:pPr>
        <w:spacing w:after="0" w:line="240" w:lineRule="auto"/>
      </w:pPr>
    </w:p>
    <w:p>
      <w:r>
        <w:rPr>
          <w:rFonts w:ascii="Times New Roman" w:hAnsi="Times New Roman" w:eastAsia="Songti SC"/>
          <w:color w:val="000000"/>
        </w:rPr>
        <w:t>完整组合相对T0＋I0的关系增量为13.31和13.92个百分点。令</w:t>
      </w:r>
      <m:oMath>
        <m:sSub>
          <m:e>
            <m:r>
              <m:t xml:space="preserve">F</m:t>
            </m:r>
          </m:e>
          <m:sub>
            <m:r>
              <m:t xml:space="preserve">t</m:t>
            </m:r>
            <m:r>
              <m:t xml:space="preserve">i</m:t>
            </m:r>
          </m:sub>
        </m:sSub>
      </m:oMath>
      <w:r>
        <w:rPr>
          <w:rFonts w:ascii="Times New Roman" w:hAnsi="Times New Roman" w:eastAsia="Songti SC"/>
          <w:color w:val="000000"/>
        </w:rPr>
        <w:t>表示同一指标的四格结果，交互差为</w:t>
      </w:r>
      <m:oMath>
        <m:r>
          <m:t xml:space="preserve">I</m:t>
        </m:r>
        <m:r>
          <m:t xml:space="preserve">=</m:t>
        </m:r>
        <m:sSub>
          <m:e>
            <m:r>
              <m:t xml:space="preserve">F</m:t>
            </m:r>
          </m:e>
          <m:sub>
            <m:r>
              <m:t xml:space="preserve">1</m:t>
            </m:r>
            <m:r>
              <m:t xml:space="preserve">1</m:t>
            </m:r>
          </m:sub>
        </m:sSub>
        <m:r>
          <m:t xml:space="preserve">-</m:t>
        </m:r>
        <m:sSub>
          <m:e>
            <m:r>
              <m:t xml:space="preserve">F</m:t>
            </m:r>
          </m:e>
          <m:sub>
            <m:r>
              <m:t xml:space="preserve">1</m:t>
            </m:r>
            <m:r>
              <m:t xml:space="preserve">0</m:t>
            </m:r>
          </m:sub>
        </m:sSub>
        <m:r>
          <m:t xml:space="preserve">-</m:t>
        </m:r>
        <m:sSub>
          <m:e>
            <m:r>
              <m:t xml:space="preserve">F</m:t>
            </m:r>
          </m:e>
          <m:sub>
            <m:r>
              <m:t xml:space="preserve">0</m:t>
            </m:r>
            <m:r>
              <m:t xml:space="preserve">1</m:t>
            </m:r>
          </m:sub>
        </m:sSub>
        <m:r>
          <m:t xml:space="preserve">+</m:t>
        </m:r>
        <m:sSub>
          <m:e>
            <m:r>
              <m:t xml:space="preserve">F</m:t>
            </m:r>
          </m:e>
          <m:sub>
            <m:r>
              <m:t xml:space="preserve">0</m:t>
            </m:r>
            <m:r>
              <m:t xml:space="preserve">0</m:t>
            </m:r>
          </m:sub>
        </m:sSub>
      </m:oMath>
      <w:r>
        <w:rPr>
          <w:rFonts w:ascii="Times New Roman" w:hAnsi="Times New Roman" w:eastAsia="Songti SC"/>
          <w:color w:val="000000"/>
        </w:rPr>
        <w:t>；下表按未舍入的种子均值计算，单位为百分点。</w:t>
      </w:r>
    </w:p>
    <w:p>
      <w:pPr>
        <w:pStyle w:val="TableCaption"/>
      </w:pPr>
      <w:r>
        <w:rPr>
          <w:rFonts w:ascii="Times New Roman" w:hAnsi="Times New Roman" w:eastAsia="Songti SC"/>
          <w:color w:val="000000"/>
          <w:sz w:val="21"/>
        </w:rPr>
        <w:t>表5-2 条件增量与交互差（人工情景）</w:t>
      </w:r>
      <w:bookmarkStart w:id="196" w:name="v11_196"/>
      <w:bookmarkEnd w:id="19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语料与指标</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交互差</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-0.64</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+4.39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-0.49</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+0.40</w:t>
            </w:r>
          </w:p>
        </w:tc>
      </w:tr>
    </w:tbl>
    <w:p>
      <w:pPr>
        <w:spacing w:after="0" w:line="240" w:lineRule="auto"/>
      </w:pPr>
    </w:p>
    <w:p>
      <w:r>
        <w:rPr>
          <w:rFonts w:ascii="Times New Roman" w:hAnsi="Times New Roman" w:eastAsia="Songti SC"/>
          <w:color w:val="000000"/>
        </w:rPr>
        <w:t>AAEC关系交互差为−0.64，配对95%区间为[−1.71, +0.41]；CDCP为+0.40，区间为[−1.01, +1.80]。两者均包含0，因此组合增量与稳定超加性应分别判断。AAEC组件交互为负，与收益重叠相容，但不能据此确定两阶段改变的是哪些对象。</w:t>
      </w:r>
    </w:p>
    <w:p>
      <w:pPr>
        <w:keepNext/>
        <w:spacing w:line="240" w:lineRule="auto" w:before="80" w:after="60"/>
        <w:ind w:firstLine="0"/>
        <w:jc w:val="center"/>
      </w:pPr>
      <w:r>
        <w:drawing>
          <wp:inline xmlns:a="http://schemas.openxmlformats.org/drawingml/2006/main" xmlns:pic="http://schemas.openxmlformats.org/drawingml/2006/picture">
            <wp:extent cx="5652770" cy="2468771"/>
            <wp:docPr id="11" name="four_cell_results.png" descr="四格中两个训练条件下的推理增量"/>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652770" cy="2468771"/>
                    </a:xfrm>
                    <a:prstGeom prst="rect"/>
                  </pic:spPr>
                </pic:pic>
              </a:graphicData>
            </a:graphic>
          </wp:inline>
        </w:drawing>
      </w:r>
    </w:p>
    <w:p>
      <w:pPr>
        <w:pStyle w:val="FigureCaption"/>
      </w:pPr>
      <w:r>
        <w:rPr>
          <w:rFonts w:ascii="Times New Roman" w:hAnsi="Times New Roman" w:eastAsia="Songti SC"/>
          <w:color w:val="000000"/>
          <w:sz w:val="21"/>
        </w:rPr>
        <w:t>图5-1 两个训练条件下的推理增量与交互关系（人工情景）</w:t>
      </w:r>
      <w:bookmarkStart w:id="197" w:name="v11_197"/>
      <w:bookmarkEnd w:id="197"/>
    </w:p>
    <w:p>
      <w:pPr>
        <w:pStyle w:val="Heading2"/>
      </w:pPr>
      <w:r>
        <w:t>5.2 净错误变化与对象分析边界</w:t>
      </w:r>
      <w:bookmarkStart w:id="96" w:name="v11_96"/>
      <w:bookmarkEnd w:id="96"/>
    </w:p>
    <w:p>
      <w:r>
        <w:rPr>
          <w:rFonts w:ascii="Times New Roman" w:hAnsi="Times New Roman" w:eastAsia="Songti SC"/>
          <w:color w:val="000000"/>
        </w:rPr>
        <w:t>净计数为对象分析提供总量约束。表5-3分别计算T1＋I0减T0＋I0、T0＋I1减T0＋I0，以及T1＋I1减T1＋I0，按同文档和种子累加；金标固定，所以每项ΔFN等于−ΔTP。</w:t>
      </w:r>
    </w:p>
    <w:p>
      <w:pPr>
        <w:pStyle w:val="TableCaption"/>
      </w:pPr>
      <w:r>
        <w:rPr>
          <w:rFonts w:ascii="Times New Roman" w:hAnsi="Times New Roman" w:eastAsia="Songti SC"/>
          <w:color w:val="000000"/>
          <w:sz w:val="21"/>
        </w:rPr>
        <w:t>表5-3 四格比较的净错误计数变化（人工情景）</w:t>
      </w:r>
      <w:bookmarkStart w:id="198" w:name="v11_198"/>
      <w:bookmarkEnd w:id="19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154"/>
        <w:gridCol w:w="2268"/>
        <w:gridCol w:w="2239"/>
        <w:gridCol w:w="2239"/>
      </w:tblGrid>
      <w:tr>
        <w:trPr>
          <w:cantSplit/>
          <w:tblHeader/>
        </w:trPr>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226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训练增量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T0修正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T1修正 ΔTP／ΔFP</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+211／-202</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+130／-126</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+90／-89</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+274／-250</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+248／-225</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+224／-208</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+203／-193</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+115／-110</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+93／-88</w:t>
            </w:r>
          </w:p>
        </w:tc>
      </w:tr>
      <w:tr>
        <w:trPr>
          <w:cantSplit/>
        </w:trPr>
        <w:tc>
          <w:tcPr>
            <w:tcW w:type="dxa" w:w="2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+201／-179</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+176／-156</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+187／-171</w:t>
            </w:r>
          </w:p>
        </w:tc>
      </w:tr>
    </w:tbl>
    <w:p>
      <w:pPr>
        <w:spacing w:after="0" w:line="240" w:lineRule="auto"/>
      </w:pPr>
    </w:p>
    <w:p>
      <w:r>
        <w:rPr>
          <w:rFonts w:ascii="Times New Roman" w:hAnsi="Times New Roman" w:eastAsia="Songti SC"/>
          <w:color w:val="000000"/>
        </w:rPr>
        <w:t>AAEC在T1下修正的关系净TP增加224，小于T0下的248；CDCP则为187与176。训练后剩余修正空间并非在两个语料上同幅度收缩。表4-7中BR-J的恢复与损失分别为289−65、233−46，恰好对应上述净增量；图4-3保留两类数量，第五章不重复绘制同一风险。</w:t>
      </w:r>
    </w:p>
    <w:p>
      <w:r>
        <w:rPr>
          <w:rFonts w:ascii="Times New Roman" w:hAnsi="Times New Roman" w:eastAsia="Songti SC"/>
          <w:color w:val="000000"/>
        </w:rPr>
        <w:t>同一净增量可以由不同的恢复和损失组成。当前TP、FP、FN未绑定完整预测对象，无法计算共同／独有修复比例，也不能把负交互解释为已证实的对象重叠。相关集合定义与同文档案例规则见附录H.4。</w:t>
      </w:r>
    </w:p>
    <w:p>
      <w:pPr>
        <w:pStyle w:val="Heading2"/>
      </w:pPr>
      <w:r>
        <w:t>5.3 训练条件变化的解释边界</w:t>
      </w:r>
      <w:bookmarkStart w:id="97" w:name="v11_97"/>
      <w:bookmarkEnd w:id="97"/>
    </w:p>
    <w:p>
      <w:r>
        <w:rPr>
          <w:rFonts w:ascii="Times New Roman" w:hAnsi="Times New Roman" w:eastAsia="Songti SC"/>
          <w:color w:val="000000"/>
        </w:rPr>
        <w:t>现有情景中，AAEC的修正增量由6.62降至5.99，CDCP由6.31增至6.71，相关交互区间均包含0。训练条件可以同时改变初始错误、候选覆盖与评分适配，四格不能分辨各路径；表4-4只有T1覆盖，也不能充当T0到T1的覆盖变化。因此，本稿只将这些差值解释为条件系统增量，不作机制归因，进一步分析设计见附录H.4。</w:t>
      </w:r>
    </w:p>
    <w:p>
      <w:pPr>
        <w:pStyle w:val="Heading2"/>
      </w:pPr>
      <w:r>
        <w:t>5.4 在线配置的质量与时间取舍</w:t>
      </w:r>
      <w:bookmarkStart w:id="98" w:name="v11_98"/>
      <w:bookmarkEnd w:id="98"/>
    </w:p>
    <w:p>
      <w:r>
        <w:rPr>
          <w:rFonts w:ascii="Times New Roman" w:hAnsi="Times New Roman" w:eastAsia="Songti SC"/>
          <w:color w:val="000000"/>
        </w:rPr>
        <w:t>配置选择应同时考虑在线质量、额外时延和错误变更。表5-4压缩重复F1，直接列出相对T0＋I0的关系增量与逐文档额外时间；AAEC和CDCP共同起点分别为17.00秒和22.00秒。</w:t>
      </w:r>
    </w:p>
    <w:p>
      <w:pPr>
        <w:pStyle w:val="TableCaption"/>
      </w:pPr>
      <w:r>
        <w:rPr>
          <w:rFonts w:ascii="Times New Roman" w:hAnsi="Times New Roman" w:eastAsia="Songti SC"/>
          <w:color w:val="000000"/>
          <w:sz w:val="21"/>
        </w:rPr>
        <w:t>表5-4 相对共同起点的关系增量与在线额外时间（人工情景）</w:t>
      </w:r>
      <w:bookmarkStart w:id="199" w:name="v11_199"/>
      <w:bookmarkEnd w:id="19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324"/>
        <w:gridCol w:w="1644"/>
        <w:gridCol w:w="1644"/>
        <w:gridCol w:w="1644"/>
        <w:gridCol w:w="1644"/>
      </w:tblGrid>
      <w:tr>
        <w:trPr>
          <w:cantSplit/>
          <w:tblHeader/>
        </w:trPr>
        <w:tc>
          <w:tcPr>
            <w:tcW w:type="dxa" w:w="232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AAEC增秒</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CDCP增秒</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22.16</w:t>
            </w:r>
          </w:p>
        </w:tc>
      </w:tr>
      <w:tr>
        <w:trPr>
          <w:cantSplit/>
        </w:trPr>
        <w:tc>
          <w:tcPr>
            <w:tcW w:type="dxa" w:w="232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+13.31</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15.00</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+13.92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23.16</w:t>
            </w:r>
          </w:p>
        </w:tc>
      </w:tr>
    </w:tbl>
    <w:p>
      <w:pPr>
        <w:spacing w:after="0" w:line="240" w:lineRule="auto"/>
      </w:pPr>
    </w:p>
    <w:p>
      <w:r>
        <w:rPr>
          <w:rFonts w:ascii="Times New Roman" w:hAnsi="Times New Roman" w:eastAsia="Songti SC"/>
          <w:color w:val="000000"/>
        </w:rPr>
        <w:t>若训练的一次性投入已经完成，仅比较本情景的关系F1与在线平均时间，T1＋I0同时优于T0＋I1：AAEC高0.70个百分点、少13.00秒，CDCP高0.90个百分点、少21.16秒。这说明不能仅因允许预测后修正就默认采用“只修正”配置。若无法重训、服务量很小或已有模型必须冻结，一次性训练投入会改变判断，上述在线比较不适用。</w:t>
      </w:r>
    </w:p>
    <w:p>
      <w:r>
        <w:rPr>
          <w:rFonts w:ascii="Times New Roman" w:hAnsi="Times New Roman" w:eastAsia="Songti SC"/>
          <w:color w:val="000000"/>
        </w:rPr>
        <w:t>在T1上启用BR-J需再增加14.00秒和22.16秒，关系F1增加5.99和6.71个百分点，同时仍发生误改。等求解预算全局ILP则在本情景中具有略高的关系F1与初始TP保留率，其端到端时间只多1.40秒和2.24秒。需要最高抽取质量且能容忍这部分时间时，全局方案应进入优先比较；需要限制每次变更或复核局部修改时，可进一步测量事务策略的实际价值，不能仅凭局部日志预判优劣。</w:t>
      </w:r>
    </w:p>
    <w:p>
      <w:r>
        <w:rPr>
          <w:rFonts w:ascii="Times New Roman" w:hAnsi="Times New Roman" w:eastAsia="Songti SC"/>
          <w:color w:val="000000"/>
        </w:rPr>
        <w:t>上述排序限于设定的平均时间。P95、超时、无可行解、缓存及批量吞吐可能改变实际选择；等端到端时限与真实图规模分组尚需附录H.3的运行记录。若相同资源下局部方法没有稳定质量或变更控制收益，简化它比继续增加规则更有意义。</w:t>
      </w:r>
    </w:p>
    <w:p>
      <w:pPr>
        <w:pStyle w:val="Heading2"/>
      </w:pPr>
      <w:r>
        <w:t>5.5 超边规模与恢复范围</w:t>
      </w:r>
      <w:bookmarkStart w:id="99" w:name="v11_99"/>
      <w:bookmarkEnd w:id="99"/>
    </w:p>
    <w:p>
      <w:r>
        <w:rPr>
          <w:rFonts w:ascii="Times New Roman" w:hAnsi="Times New Roman" w:eastAsia="Songti SC"/>
          <w:color w:val="000000"/>
        </w:rPr>
        <w:t>本节按人工源成员分组讨论恢复范围；缺失的逐对象阻断分布与同文档案例设计见附录H.4。</w:t>
      </w:r>
    </w:p>
    <w:p>
      <w:r>
        <w:rPr>
          <w:rFonts w:ascii="Times New Roman" w:hAnsi="Times New Roman" w:eastAsia="Songti SC"/>
          <w:color w:val="000000"/>
        </w:rPr>
        <w:t>表5-5按固定人工金标集分组，三个种子共享该集合；各组F1分别计算，整体仍从全部对象计数重算。</w:t>
      </w:r>
    </w:p>
    <w:p>
      <w:pPr>
        <w:pStyle w:val="TableCaption"/>
      </w:pPr>
      <w:r>
        <w:rPr>
          <w:rFonts w:ascii="Times New Roman" w:hAnsi="Times New Roman" w:eastAsia="Songti SC"/>
          <w:color w:val="000000"/>
          <w:sz w:val="21"/>
        </w:rPr>
        <w:t>表5-5 CDCP完整关系的源成员数分组（人工情景）</w:t>
      </w:r>
      <w:bookmarkStart w:id="200" w:name="v11_200"/>
      <w:bookmarkEnd w:id="20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814"/>
        <w:gridCol w:w="1772"/>
        <w:gridCol w:w="1772"/>
        <w:gridCol w:w="1772"/>
        <w:gridCol w:w="1772"/>
      </w:tblGrid>
      <w:tr>
        <w:trPr>
          <w:cantSplit/>
          <w:tblHeader/>
        </w:trPr>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源成员数／金标数</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T0＋I1</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T1＋I1</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1个／556</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53.15±1.15</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60.50±0.98</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59.28±1.11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66.32±0.58</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2个／252</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41.95±2.30</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49.73±2.69</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49.10±0.56</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56.92±1.07</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3个／121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34.15±5.61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38.99±5.35</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39.40±3.84</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49.95±3.86</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超过3个／0</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bl>
    <w:p>
      <w:pPr>
        <w:spacing w:after="0" w:line="240" w:lineRule="auto"/>
      </w:pPr>
    </w:p>
    <w:p>
      <w:r>
        <w:rPr>
          <w:rFonts w:ascii="Times New Roman" w:hAnsi="Times New Roman" w:eastAsia="Songti SC"/>
          <w:color w:val="000000"/>
        </w:rPr>
        <w:t>超过3成员组为0，故不报告F1，也不能据此判断长超边保护或恢复是否有效。保护以初始命中的长超边为分母，新建以初始遗漏的长超边为分母，分别记录其他候选图提供的保护槽位与新增枚举槽位。新增枚举上限为3；更长关系只能从保护池选回，不能创造池外任意长源组合。本章限于原生域内任务，附录E的粗粒度跨域记录保持历史身份。</w:t>
      </w:r>
    </w:p>
    <w:p>
      <w:pPr>
        <w:pStyle w:val="Heading2"/>
      </w:pPr>
      <w:r>
        <w:t>5.6 本章小结</w:t>
      </w:r>
      <w:bookmarkStart w:id="100" w:name="v11_100"/>
      <w:bookmarkEnd w:id="100"/>
    </w:p>
    <w:p>
      <w:r>
        <w:rPr>
          <w:rFonts w:ascii="Times New Roman" w:hAnsi="Times New Roman" w:eastAsia="Songti SC"/>
          <w:color w:val="000000"/>
        </w:rPr>
        <w:t>综合分析得到三点情景内认识：训练与推理均有条件增量，但关系交互尚未显示稳定超加；在线配置的选择受到训练能否摊销以及修正额外时延影响；BR-J面对等求解预算全局对照时，现有质量、时间与保留率不足以建立突出优势。对象重叠、训练对候选和评分的传递，以及真实失败构成仍需完整运行材料。由此，两阶段组合应作为可检验的配置选择，而非预设处处优于单阶段的方法结论。</w:t>
      </w:r>
    </w:p>
    <w:p>
      <w:pPr>
        <w:pStyle w:val="Heading1"/>
      </w:pPr>
      <w:r>
        <w:t>第六章 总结与展望</w:t>
      </w:r>
      <w:bookmarkStart w:id="101" w:name="v11_101"/>
      <w:bookmarkEnd w:id="101"/>
    </w:p>
    <w:p>
      <w:pPr>
        <w:pStyle w:val="Heading2"/>
      </w:pPr>
      <w:r>
        <w:t>6.1 研究总结</w:t>
      </w:r>
      <w:bookmarkStart w:id="102" w:name="v11_102"/>
      <w:bookmarkEnd w:id="102"/>
    </w:p>
    <w:p>
      <w:r>
        <w:rPr>
          <w:rFonts w:ascii="Times New Roman" w:hAnsi="Times New Roman" w:eastAsia="Songti SC"/>
          <w:color w:val="000000"/>
        </w:rPr>
        <w:t>本文以组件与关系之间的依赖为主线，分别研究训练时监督保持和推理时结构恢复。第一项工作按关系影响域检查局部改写，以标注对应连接原文、增强文及成对因素学习；第二项工作以组件集合替换及全部受影响关系重建作为共同决策单位，在固定候选与评分下比较局部事务和全局结构选择。两项工作共享原生任务和严格评价，承担不同阶段的问题。</w:t>
      </w:r>
    </w:p>
    <w:p>
      <w:r>
        <w:rPr>
          <w:rFonts w:ascii="Times New Roman" w:hAnsi="Times New Roman" w:eastAsia="Songti SC"/>
          <w:color w:val="000000"/>
        </w:rPr>
        <w:t>第一项工作把数据构造、头监督、成对项和中心策略分开比较，使不同差值对应不同变化条件。现有人工情景中，数据构造与成对项分别表现出条件增量，而中心差值区间包含0；因此贡献落在关系影响域及可靠对应的组织方式，结论优先保留为默认策略。</w:t>
      </w:r>
    </w:p>
    <w:p>
      <w:r>
        <w:rPr>
          <w:rFonts w:ascii="Times New Roman" w:hAnsi="Times New Roman" w:eastAsia="Songti SC"/>
          <w:color w:val="000000"/>
        </w:rPr>
        <w:t>第二项工作明确了集合动作如何联合处理相互依赖的修改，但动作表达能力不等于使用价值。在当前情景中，BR-J相对分步策略改善关系结果；同评分、等求解预算全局ILP又取得略高关系F1和保留率，BR-J只节省少量端到端时间。这组人工材料没有建立局部方法的采用优势，实际定位仍待真实比较决定。</w:t>
      </w:r>
    </w:p>
    <w:p>
      <w:r>
        <w:rPr>
          <w:rFonts w:ascii="Times New Roman" w:hAnsi="Times New Roman" w:eastAsia="Songti SC"/>
          <w:color w:val="000000"/>
        </w:rPr>
        <w:t>两阶段四格避免把组合总增量误写为相互独立或稳定超加。第五章进一步区分净计数与对象重叠，讨论离线训练投入、在线时延及完整超边范围。方法价值最终由现实问题规模、可复核输出和相应代价支撑；数学构造与文档复算负责检验定义和论述的内部一致性。</w:t>
      </w:r>
    </w:p>
    <w:p>
      <w:pPr>
        <w:pStyle w:val="Heading2"/>
      </w:pPr>
      <w:r>
        <w:t>6.2 研究局限</w:t>
      </w:r>
      <w:bookmarkStart w:id="103" w:name="v11_103"/>
      <w:bookmarkEnd w:id="103"/>
    </w:p>
    <w:p>
      <w:r>
        <w:rPr>
          <w:rFonts w:ascii="Times New Roman" w:hAnsi="Times New Roman" w:eastAsia="Songti SC"/>
          <w:color w:val="000000"/>
        </w:rPr>
        <w:t>本版采用人工计数情景，尚未完成真实语料上的训练、增强审阅与求解比较，情景数值不用于证明方法有效。原始改写文本、四格完整预测和求解状态等材料缺失，使表达变化、对象级互补和真实尾延迟尚不能定量判断；外部方法已完成定位与接入条件核查，尚无本版同协议复跑成绩。</w:t>
      </w:r>
    </w:p>
    <w:p>
      <w:r>
        <w:rPr>
          <w:rFonts w:ascii="Times New Roman" w:hAnsi="Times New Roman" w:eastAsia="Songti SC"/>
          <w:color w:val="000000"/>
        </w:rPr>
        <w:t>方法本身也有边界。影响域检查受语义判断与标注完备性影响，严格筛选可能改变源分布；成对项约束辅助因素，不能保证生成整图严格等变。推理只能访问冻结候选及声明动作，长超边新增能力受限；对象评分偏差会造成误改，分项门也可能拒绝真实有益方案。固定效用的性质限定决策过程，不提供真实F1或全局最优保证。</w:t>
      </w:r>
    </w:p>
    <w:p>
      <w:r>
        <w:rPr>
          <w:rFonts w:ascii="Times New Roman" w:hAnsi="Times New Roman" w:eastAsia="Songti SC"/>
          <w:color w:val="000000"/>
        </w:rPr>
        <w:t>统计结论限定于原生AAEC与CDCP及三个重复种子的协议。原生关系、二元投影与历史跨域Link-F1分别解释；平均时间也不能替代部署中的尾延迟、批量吞吐和一次性投入。结论中的取舍须随真实结果一起更新。</w:t>
      </w:r>
    </w:p>
    <w:p>
      <w:pPr>
        <w:pStyle w:val="Heading2"/>
      </w:pPr>
      <w:r>
        <w:t>6.3 后续研究方向</w:t>
      </w:r>
      <w:bookmarkStart w:id="104" w:name="v11_104"/>
      <w:bookmarkEnd w:id="104"/>
    </w:p>
    <w:p>
      <w:r>
        <w:rPr>
          <w:rFonts w:ascii="Times New Roman" w:hAnsi="Times New Roman" w:eastAsia="Songti SC"/>
          <w:color w:val="000000"/>
        </w:rPr>
        <w:t>当前核心比较和真实问题诊断尚未完成，属于本研究的验证缺口，集中列于附录H.5。以下方向以这些核心证据取得并据此确定方法取舍为前提，不计入本文已完成工作。</w:t>
      </w:r>
    </w:p>
    <w:p>
      <w:r>
        <w:rPr>
          <w:rFonts w:ascii="Times New Roman" w:hAnsi="Times New Roman" w:eastAsia="Songti SC"/>
          <w:color w:val="000000"/>
        </w:rPr>
        <w:t>一是研究标注不完备条件下的监督保持。本文把候选宇宙内未标注关系作为NONE；当标注本身不完整时，严格保持可能固化漏标。进一步研究可区分已确认无关系与缺乏标注，检验这种区分如何影响标签保持和源覆盖，而不将更多改写一概视为有效增量。</w:t>
      </w:r>
    </w:p>
    <w:p>
      <w:r>
        <w:rPr>
          <w:rFonts w:ascii="Times New Roman" w:hAnsi="Times New Roman" w:eastAsia="Songti SC"/>
          <w:color w:val="000000"/>
        </w:rPr>
        <w:t>二是研究更长多前提关系的候选组织。当前新增枚举限制源成员数，任意长组合既不能由保护池保证，也可能难以穷举。后续可在固定资源下比较候选覆盖与完整关系恢复，判断是否有必要扩展现有表示范围。上述方向服务于明确的失效条件，不预设增加机制必然更好。</w:t>
      </w:r>
    </w:p>
    <w:p>
      <w:pPr>
        <w:pStyle w:val="Heading1"/>
      </w:pPr>
      <w:r>
        <w:t>参考文献</w:t>
      </w:r>
      <w:bookmarkStart w:id="105" w:name="v11_105"/>
      <w:bookmarkEnd w:id="105"/>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hyperlink r:id="rId1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[48] BAO J, JING M, DONG K, et al. UniASA: A unified generative framework for argument structure analysis[J]. Computational Linguistics, 2025, 51(3): 739–784. DOI: 10.1162/coli_a_00553. </w:t>
      </w:r>
      <w:hyperlink r:id="rId1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[49] ZHANG Z, WANG Q, DING K, et al. Improving synthetic data generation for argument mining via adversarial reinforcement learning[EB/OL]. arXiv:2610.07699v1, 2026[2026-10-10]. DOI: 10.48550/arXiv.2610.07699. </w:t>
      </w:r>
      <w:hyperlink r:id="rId129">
        <w:r>
          <w:rPr>
            <w:color w:val="000000"/>
          </w:rPr>
          <w:t>来源</w:t>
        </w:r>
      </w:hyperlink>
    </w:p>
    <w:p>
      <w:pPr>
        <w:pStyle w:val="Heading1"/>
      </w:pPr>
      <w:r>
        <w:t>附录A 数据处理与复现协议</w:t>
      </w:r>
      <w:bookmarkStart w:id="106" w:name="v11_106"/>
      <w:bookmarkEnd w:id="106"/>
    </w:p>
    <w:p>
      <w:pPr>
        <w:pStyle w:val="Heading2"/>
      </w:pPr>
      <w:r>
        <w:t>A.1 坐标与结构数据</w:t>
      </w:r>
      <w:bookmarkStart w:id="107" w:name="v11_107"/>
      <w:bookmarkEnd w:id="107"/>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08" w:name="v11_108"/>
      <w:bookmarkEnd w:id="108"/>
    </w:p>
    <w:p>
      <w:pPr>
        <w:spacing w:line="380" w:lineRule="exact"/>
      </w:pPr>
      <w:r>
        <w:rPr>
          <w:rFonts w:ascii="Times New Roman" w:hAnsi="Times New Roman" w:eastAsia="Songti SC"/>
          <w:color w:val="000000"/>
          <w:sz w:val="22"/>
        </w:rPr>
        <w:t>表A-1给出数据、配置、候选和结果的关联字段。历史存档与当前结果采用独立身份；跨章复用相同语料、方法和种子下的记录，避免重复汇总或另选较高分数。</w:t>
      </w:r>
    </w:p>
    <w:p>
      <w:pPr>
        <w:pStyle w:val="TableCaption"/>
        <w:spacing w:line="380" w:lineRule="exact"/>
      </w:pPr>
      <w:r>
        <w:rPr>
          <w:rFonts w:ascii="Times New Roman" w:hAnsi="Times New Roman" w:eastAsia="Songti SC"/>
          <w:color w:val="000000"/>
          <w:sz w:val="21"/>
        </w:rPr>
        <w:t>表A-1 复现材料的关联字段</w:t>
      </w:r>
      <w:bookmarkStart w:id="201" w:name="v11_201"/>
      <w:bookmarkEnd w:id="20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09" w:name="v11_109"/>
      <w:bookmarkEnd w:id="109"/>
    </w:p>
    <w:p>
      <w:pPr>
        <w:spacing w:line="380" w:lineRule="exact"/>
      </w:pPr>
      <w:r>
        <w:rPr>
          <w:rFonts w:ascii="Times New Roman" w:hAnsi="Times New Roman" w:eastAsia="Songti SC"/>
          <w:color w:val="000000"/>
          <w:sz w:val="22"/>
        </w:rPr>
        <w:t>本文主比较范围为英文AAEC和CDCP。ORCHID面向中文辩论的目标无关立场检测和论辩对话摘要[28]，IAM整合多项论辩挖掘任务并使用英文资源[29]。二者可用于认识论辩任务的资源差异，但不直接替代从原文定位组件并预测关系的同协议测试，本文不据此外推中文或多语言结论。</w:t>
      </w:r>
    </w:p>
    <w:p>
      <w:pPr>
        <w:pStyle w:val="Heading2"/>
      </w:pPr>
      <w:r>
        <w:t>A.4 本版参考规约与配置身份</w:t>
      </w:r>
      <w:bookmarkStart w:id="110" w:name="v11_110"/>
      <w:bookmarkEnd w:id="110"/>
    </w:p>
    <w:p>
      <w:pPr>
        <w:spacing w:line="380" w:lineRule="exact"/>
      </w:pPr>
      <w:r>
        <w:rPr>
          <w:rFonts w:ascii="Times New Roman" w:hAnsi="Times New Roman" w:eastAsia="Songti SC"/>
          <w:color w:val="000000"/>
          <w:sz w:val="22"/>
        </w:rPr>
        <w:t>方法配置采用单中心、受保护候选、分步提交和松弛Oracle，并保留允许自匹配、条件反向与外层提议预算规则。方法配置身份沿用1010-v1-global-review；文稿版本为1010-v3，单独登记，不表示重新运行实验或更改方法配置。生成参数、对象评分、外层预算及实际成本字段分别登记，计算条件见表2-2，参考规则见表A-2。</w:t>
      </w:r>
    </w:p>
    <w:p>
      <w:pPr>
        <w:pStyle w:val="TableCaption"/>
        <w:spacing w:line="380" w:lineRule="exact"/>
      </w:pPr>
      <w:r>
        <w:rPr>
          <w:rFonts w:ascii="Times New Roman" w:hAnsi="Times New Roman" w:eastAsia="Songti SC"/>
          <w:color w:val="000000"/>
          <w:sz w:val="21"/>
        </w:rPr>
        <w:t>表A-2 本版参考配置</w:t>
      </w:r>
      <w:bookmarkStart w:id="202" w:name="v11_202"/>
      <w:bookmarkEnd w:id="20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中心与生成</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种子17；每文档1中心、4次尝试、最多2变体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全文哈希与组件键参与排序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中心匹配</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同组件数、入关系数；长度差／参考长度≤20%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允许自匹配；有效参考文档无unmatched</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补充跨度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头候选64；长度≤64评价token；最终补充64</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保护对象不受该上限裁剪</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规则扩展</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边界各±1；基础相邻合并；内部边界切分</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仅扩展一次，不递归</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补充关系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源成员≤3；补充完整槽位4096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双槽位保留且合法才反向；长超边受保护</w:t>
            </w:r>
          </w:p>
        </w:tc>
      </w:tr>
    </w:tbl>
    <w:p>
      <w:pPr>
        <w:pStyle w:val="ContinuationCaption"/>
        <w:pageBreakBefore/>
      </w:pPr>
      <w:r>
        <w:t>表A-2（续）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组件事务</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冲突闭合后总编辑≤3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允许五种声明形态，纯关系另列</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队列与额度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六类轮转；批长6；每轮外层尝试32、接受3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最多4轮，总128／12；同状态游标跨轮保留</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累计编辑</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分别累计，不使用最终净变化替代</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参考接受门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分项非降；总差&gt;0.01；数值容差10⁻⁹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容差仅处理数值误差，不放宽严格总门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固定效用配置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κC=κR=1，wC=wR=1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分项接受门与成本口径共同固定</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执行资源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上下文8192；补充槽位4096；局部总时限3／5秒</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尝试、接受、编辑、复核与提交资源分别检查</w:t>
            </w:r>
          </w:p>
        </w:tc>
      </w:tr>
    </w:tbl>
    <w:p>
      <w:pPr>
        <w:spacing w:after="0" w:line="240" w:lineRule="auto"/>
      </w:pPr>
    </w:p>
    <w:p>
      <w:pPr>
        <w:spacing w:line="380" w:lineRule="exact"/>
      </w:pPr>
      <w:r>
        <w:rPr>
          <w:rFonts w:ascii="Times New Roman" w:hAnsi="Times New Roman" w:eastAsia="Songti SC"/>
          <w:color w:val="000000"/>
          <w:sz w:val="22"/>
        </w:rPr>
        <w:t>组件与关系对象分应以至少双精度缓存进行确定排序；非有限分数返回评分失败，不按零分继续。规范键使用UTF-8规范JSON，集合先排序；软件版本与序列化版本写入配置身份。预枚举上限用于阻止资源失控，超限返回候选构造失败而不是生成金标有利子集。上述资源失败保留该文档并按公共失败规则评价。顺序方法的批内排序只看首个实际决策阶段，外层一次接受最多两次阶段提交；配套阶段可越过已达的外层接受上限，但不得突破实际资源或编辑上限。求解器的多目标破同分与超时身份依4.5.1节保存。</w:t>
      </w:r>
    </w:p>
    <w:p>
      <w:pPr>
        <w:pStyle w:val="Heading2"/>
      </w:pPr>
      <w:r>
        <w:t>A.5 结果登记与跨章复用</w:t>
      </w:r>
      <w:bookmarkStart w:id="111" w:name="v11_111"/>
      <w:bookmarkEnd w:id="111"/>
    </w:p>
    <w:p>
      <w:pPr>
        <w:spacing w:line="380" w:lineRule="exact"/>
      </w:pPr>
      <w:r>
        <w:rPr>
          <w:rFonts w:ascii="Times New Roman" w:hAnsi="Times New Roman" w:eastAsia="Songti SC"/>
          <w:color w:val="000000"/>
          <w:sz w:val="22"/>
        </w:rPr>
        <w:t>结果键由语料、方法、种子和对象层次组成。第三章T1、第四章I0和第五章T1＋I0引用同一键；第四章BR-J与第五章T1＋I1同样复用。document_counts.csv保存逐文档TP、FP、FN，scenario_results.json汇总均值、标准差、配对区间和交互差，scenario_manifest.json绑定生成程序与结果文件的SHA-256。表格先读取原始精度计算差值，最后统一保留两位小数。</w:t>
      </w:r>
    </w:p>
    <w:p>
      <w:pPr>
        <w:spacing w:line="380" w:lineRule="exact"/>
      </w:pPr>
      <w:r>
        <w:rPr>
          <w:rFonts w:ascii="Times New Roman" w:hAnsi="Times New Roman" w:eastAsia="Songti SC"/>
          <w:color w:val="000000"/>
          <w:sz w:val="22"/>
        </w:rPr>
        <w:t>审计判定、对象概率及标签各自保存，漂移、一致性、Brier和ECE均从对应记录汇总。成本字段按生成、评分、求解与重生成分项登记，不将GPU小时、CPU秒和token混为同一单位。附录E采用其原有历史身份，不回填当前结果键。</w:t>
      </w:r>
    </w:p>
    <w:p>
      <w:pPr>
        <w:pStyle w:val="Heading2"/>
      </w:pPr>
      <w:r>
        <w:t>A.6 序列化、坐标与候选构造细则</w:t>
      </w:r>
      <w:bookmarkStart w:id="112" w:name="v11_112"/>
      <w:bookmarkEnd w:id="112"/>
    </w:p>
    <w:p>
      <w:pPr>
        <w:spacing w:line="380" w:lineRule="exact"/>
      </w:pPr>
      <w:r>
        <w:rPr>
          <w:rFonts w:ascii="Times New Roman" w:hAnsi="Times New Roman" w:eastAsia="Songti SC"/>
          <w:color w:val="000000"/>
          <w:sz w:val="22"/>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pPr>
        <w:spacing w:line="380" w:lineRule="exact"/>
      </w:pPr>
      <w:r>
        <w:rPr>
          <w:rFonts w:ascii="Times New Roman" w:hAnsi="Times New Roman" w:eastAsia="Songti SC"/>
          <w:color w:val="000000"/>
          <w:sz w:val="22"/>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spacing w:line="380" w:lineRule="exact"/>
      </w:pPr>
      <w:r>
        <w:rPr>
          <w:rFonts w:ascii="Times New Roman" w:hAnsi="Times New Roman" w:eastAsia="Songti SC"/>
          <w:color w:val="000000"/>
          <w:sz w:val="22"/>
        </w:rPr>
        <w:t>独立跨度头使用全文编码器和两个线性层，分别预测评价token边界的起点与终点概率；监督来自训练集全部金标跨度。子词表示按offset mapping聚合到评价token，空映射报错，训练采用起止两项二元交叉熵均值。内部解码采用零基半开区间，枚举</w:t>
      </w:r>
      <m:oMath>
        <m:r>
          <m:t xml:space="preserve">0</m:t>
        </m:r>
        <m:r>
          <m:t xml:space="preserve">≤</m:t>
        </m:r>
        <m:r>
          <m:t xml:space="preserve">s</m:t>
        </m:r>
        <m:r>
          <m:t xml:space="preserve">&lt;</m:t>
        </m:r>
        <m:r>
          <m:t xml:space="preserve">e</m:t>
        </m:r>
        <m:r>
          <m:t xml:space="preserve">≤</m:t>
        </m:r>
        <m:r>
          <m:t xml:space="preserve">n</m:t>
        </m:r>
      </m:oMath>
      <w:r>
        <w:rPr>
          <w:rFonts w:ascii="Times New Roman" w:hAnsi="Times New Roman" w:eastAsia="Songti SC"/>
          <w:color w:val="000000"/>
          <w:sz w:val="22"/>
        </w:rPr>
        <w:t>且</w:t>
      </w:r>
      <m:oMath>
        <m:r>
          <m:t xml:space="preserve">e</m:t>
        </m:r>
        <m:r>
          <m:t xml:space="preserve">-</m:t>
        </m:r>
        <m:r>
          <m:t xml:space="preserve">s</m:t>
        </m:r>
        <m:r>
          <m:t xml:space="preserve">≤</m:t>
        </m:r>
        <m:sSub>
          <m:e>
            <m:r>
              <m:t xml:space="preserve">L</m:t>
            </m:r>
          </m:e>
          <m:sub>
            <m:r>
              <m:t xml:space="preserve">s</m:t>
            </m:r>
            <m:r>
              <m:t xml:space="preserve">p</m:t>
            </m:r>
            <m:r>
              <m:t xml:space="preserve">a</m:t>
            </m:r>
            <m:r>
              <m:t xml:space="preserve">n</m:t>
            </m:r>
          </m:sub>
        </m:sSub>
      </m:oMath>
      <w:r>
        <w:rPr>
          <w:rFonts w:ascii="Times New Roman" w:hAnsi="Times New Roman" w:eastAsia="Songti SC"/>
          <w:color w:val="000000"/>
          <w:sz w:val="22"/>
        </w:rPr>
        <w:t>，以两端对数概率之和排序，同分按</w:t>
      </w:r>
      <m:oMath>
        <m:r>
          <m:t xml:space="preserve">(</m:t>
        </m:r>
        <m:r>
          <m:t xml:space="preserve">s</m:t>
        </m:r>
        <m:r>
          <m:t xml:space="preserve">,</m:t>
        </m:r>
        <m:r>
          <m:t xml:space="preserve">e</m:t>
        </m:r>
        <m:r>
          <m:t xml:space="preserve">)</m:t>
        </m:r>
      </m:oMath>
      <w:r>
        <w:rPr>
          <w:rFonts w:ascii="Times New Roman" w:hAnsi="Times New Roman" w:eastAsia="Songti SC"/>
          <w:color w:val="000000"/>
          <w:sz w:val="22"/>
        </w:rPr>
        <w:t>升序；输出统一转换为2.1节从1开始的闭区间</w:t>
      </w:r>
      <m:oMath>
        <m:r>
          <m:t xml:space="preserve">[</m:t>
        </m:r>
        <m:r>
          <m:t xml:space="preserve">s</m:t>
        </m:r>
        <m:r>
          <m:t xml:space="preserve">+</m:t>
        </m:r>
        <m:r>
          <m:t xml:space="preserve">1</m:t>
        </m:r>
        <m:r>
          <m:t xml:space="preserve">,</m:t>
        </m:r>
        <m:r>
          <m:t xml:space="preserve">e</m:t>
        </m:r>
        <m:r>
          <m:t xml:space="preserve">]</m:t>
        </m:r>
      </m:oMath>
      <w:r>
        <w:rPr>
          <w:rFonts w:ascii="Times New Roman" w:hAnsi="Times New Roman" w:eastAsia="Songti SC"/>
          <w:color w:val="000000"/>
          <w:sz w:val="22"/>
        </w:rPr>
        <w:t>后才构造评价语义键。此分数仅用于候选召回与裁剪，不是完整对象正确率。跨度头不输入金标答案，在OOF时与生成器使用相同持出隔离。</w:t>
      </w:r>
    </w:p>
    <w:p>
      <w:pPr>
        <w:spacing w:line="380" w:lineRule="exact"/>
      </w:pPr>
      <w:r>
        <w:rPr>
          <w:rFonts w:ascii="Times New Roman" w:hAnsi="Times New Roman" w:eastAsia="Songti SC"/>
          <w:color w:val="000000"/>
          <w:sz w:val="22"/>
        </w:rPr>
        <w:t>参考有限扩展对受保护跨度及跨度头前</w:t>
      </w:r>
      <m:oMath>
        <m:sSub>
          <m:e>
            <m:r>
              <m:t xml:space="preserve">N</m:t>
            </m:r>
          </m:e>
          <m:sub>
            <m:r>
              <m:t xml:space="preserve">h</m:t>
            </m:r>
            <m:r>
              <m:t xml:space="preserve">e</m:t>
            </m:r>
            <m:r>
              <m:t xml:space="preserve">a</m:t>
            </m:r>
            <m:r>
              <m:t xml:space="preserve">d</m:t>
            </m:r>
          </m:sub>
        </m:sSub>
      </m:oMath>
      <w:r>
        <w:rPr>
          <w:rFonts w:ascii="Times New Roman" w:hAnsi="Times New Roman" w:eastAsia="Songti SC"/>
          <w:color w:val="000000"/>
          <w:sz w:val="22"/>
        </w:rPr>
        <w:t>个输出只执行一次：起止位置分别在</w:t>
      </w:r>
      <m:oMath>
        <m:r>
          <m:rPr>
            <m:sty m:val="p"/>
          </m:rPr>
          <m:t xml:space="preserve">{</m:t>
        </m:r>
        <m:r>
          <m:t xml:space="preserve">-</m:t>
        </m:r>
        <m:r>
          <m:t xml:space="preserve">1</m:t>
        </m:r>
        <m:r>
          <m:t xml:space="preserve">,</m:t>
        </m:r>
        <m:r>
          <m:t xml:space="preserve">0</m:t>
        </m:r>
        <m:r>
          <m:t xml:space="preserve">,</m:t>
        </m:r>
        <m:r>
          <m:t xml:space="preserve">1</m:t>
        </m:r>
        <m:r>
          <m:rPr>
            <m:sty m:val="p"/>
          </m:rPr>
          <m:t xml:space="preserve">}</m:t>
        </m:r>
      </m:oMath>
      <w:r>
        <w:rPr>
          <w:rFonts w:ascii="Times New Roman" w:hAnsi="Times New Roman" w:eastAsia="Songti SC"/>
          <w:color w:val="000000"/>
          <w:sz w:val="22"/>
        </w:rPr>
        <w:t>内扰动；按位置排序，对相邻且不重叠的基础跨度加入合并区间；对基础跨度每个内部评价token边界加入左右切分区间。所有新跨度均通过坐标和最大长度检查，不递归使用新跨度继续扩展。去重后的补充跨度重新由同一边界头评分，按分数降序、坐标升序保留前</w:t>
      </w:r>
      <m:oMath>
        <m:sSub>
          <m:e>
            <m:r>
              <m:t xml:space="preserve">N</m:t>
            </m:r>
          </m:e>
          <m:sub>
            <m:r>
              <m:t xml:space="preserve">s</m:t>
            </m:r>
            <m:r>
              <m:t xml:space="preserve">u</m:t>
            </m:r>
            <m:r>
              <m:t xml:space="preserve">p</m:t>
            </m:r>
            <m:r>
              <m:t xml:space="preserve">p</m:t>
            </m:r>
          </m:sub>
        </m:sSub>
      </m:oMath>
      <w:r>
        <w:rPr>
          <w:rFonts w:ascii="Times New Roman" w:hAnsi="Times New Roman" w:eastAsia="Songti SC"/>
          <w:color w:val="000000"/>
          <w:sz w:val="22"/>
        </w:rPr>
        <w:t>个；多来源并存，不只保留获胜来源。受保护长跨度不受补充长度上限裁掉。</w:t>
      </w:r>
    </w:p>
    <w:p>
      <w:pPr>
        <w:spacing w:line="380" w:lineRule="exact"/>
      </w:pPr>
      <w:r>
        <w:rPr>
          <w:rFonts w:ascii="Times New Roman" w:hAnsi="Times New Roman" w:eastAsia="Songti SC"/>
          <w:color w:val="000000"/>
          <w:sz w:val="22"/>
        </w:rPr>
        <w:t>对</w:t>
      </w:r>
      <m:oMath>
        <m:r>
          <m:t xml:space="preserve">u</m:t>
        </m:r>
        <m:r>
          <m:t xml:space="preserve">∈</m:t>
        </m:r>
        <m:r>
          <m:t xml:space="preserve">U</m:t>
        </m:r>
      </m:oMath>
      <w:r>
        <w:rPr>
          <w:rFonts w:ascii="Times New Roman" w:hAnsi="Times New Roman" w:eastAsia="Songti SC"/>
          <w:color w:val="000000"/>
          <w:sz w:val="22"/>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sz w:val="22"/>
        </w:rPr>
        <w:t>。NULL表示不选择该跨度。同一跨度至多一个类型，不允许重叠的语料按两两交叠判定冲突，不用传递连通块替代两两兼容。组件键由文档哈希、坐标版本、起止位置及类型组成；类型或边界变化生成新对象。原始字符、评价token与模型子词保持独立映射，显示ID不参与评分键。</w:t>
      </w:r>
    </w:p>
    <w:p>
      <w:pPr>
        <w:pStyle w:val="Heading1"/>
      </w:pPr>
      <w:r>
        <w:t>附录B 评分与事务执行记录</w:t>
      </w:r>
      <w:bookmarkStart w:id="113" w:name="v11_113"/>
      <w:bookmarkEnd w:id="113"/>
    </w:p>
    <w:p>
      <w:pPr>
        <w:pStyle w:val="Heading2"/>
      </w:pPr>
      <w:r>
        <w:t>B.1 数据与模型身份</w:t>
      </w:r>
      <w:bookmarkStart w:id="114" w:name="v11_114"/>
      <w:bookmarkEnd w:id="114"/>
    </w:p>
    <w:p>
      <w:pPr>
        <w:spacing w:line="380" w:lineRule="exact"/>
      </w:pPr>
      <w:r>
        <w:rPr>
          <w:rFonts w:ascii="Times New Roman" w:hAnsi="Times New Roman" w:eastAsia="Songti SC"/>
          <w:color w:val="000000"/>
          <w:sz w:val="22"/>
        </w:rPr>
        <w:t>运行级材料按表A-1关联至同一run ID，本附录只补充文档级评分与事务轨迹。每条轨迹通过源文档ID连接原文、坐标映射、候选缓存、评分缓存和评价配置；增强变体仍归属于唯一源文档，不重新划分数据。</w:t>
      </w:r>
    </w:p>
    <w:p>
      <w:pPr>
        <w:pStyle w:val="Heading2"/>
      </w:pPr>
      <w:r>
        <w:t>B.2 评分与接受轨迹</w:t>
      </w:r>
      <w:bookmarkStart w:id="115" w:name="v11_115"/>
      <w:bookmarkEnd w:id="115"/>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16" w:name="v11_116"/>
      <w:bookmarkEnd w:id="116"/>
    </w:p>
    <w:p>
      <w:pPr>
        <w:spacing w:line="380" w:lineRule="exact"/>
      </w:pPr>
      <w:r>
        <w:rPr>
          <w:rFonts w:ascii="Times New Roman" w:hAnsi="Times New Roman" w:eastAsia="Songti SC"/>
          <w:color w:val="000000"/>
          <w:sz w:val="22"/>
        </w:rPr>
        <w:t>BR-J执行语义遵循4.5.2节，顺序方法遵循4.6.1节。每条日志分别登记outer_attempts、outer_accepts、component_stage_attempts、relation_stage_attempts、solver_calls和各阶段commits；外层一次尝试不随配套阶段重复增加，第一阶段成功即占一个接受名额。按阶段记录完整合法图及组件、关系累计编辑账本，保留计算资源的期初余额、本次消耗与期末余额。阶段二失败或启动前资源耗尽时不撤销阶段一；删边后再次加入分别计费。拒绝尝试不消费图编辑量，但其实际求解、模型调用及token不退还。状态游标与拒绝缓存跨轮延续，未见状态重新枚举，已有状态恢复其游标和缓存。</w:t>
      </w:r>
    </w:p>
    <w:p>
      <w:pPr>
        <w:pStyle w:val="Heading2"/>
      </w:pPr>
      <w:r>
        <w:t>B.4 实现一致性测试</w:t>
      </w:r>
      <w:bookmarkStart w:id="117" w:name="v11_117"/>
      <w:bookmarkEnd w:id="117"/>
    </w:p>
    <w:p>
      <w:pPr>
        <w:pStyle w:val="Heading3"/>
      </w:pPr>
      <w:r>
        <w:t>B.4.1 已执行的构造检查</w:t>
      </w:r>
      <w:bookmarkStart w:id="118" w:name="v11_118"/>
      <w:bookmarkEnd w:id="118"/>
    </w:p>
    <w:p>
      <w:pPr>
        <w:spacing w:line="380" w:lineRule="exact"/>
      </w:pPr>
      <w:r>
        <w:rPr>
          <w:rFonts w:ascii="Times New Roman" w:hAnsi="Times New Roman" w:eastAsia="Songti SC"/>
          <w:color w:val="000000"/>
          <w:sz w:val="22"/>
        </w:rPr>
        <w:t>本版保留前版v1机制程序，以及中心匹配、条件反向、分阶段账本、带坐标拆合和状态队列接口程序的构造检查记录。输入、断言、结果及范围见附录D.4和D.6。接口程序中的阶段成败与资源单位由fixture预设；破同分检查使用有限候选排序，均不是实际ILP、模型或持久化事务测试。</w:t>
      </w:r>
    </w:p>
    <w:p>
      <w:pPr>
        <w:pStyle w:val="Heading3"/>
      </w:pPr>
      <w:r>
        <w:t>B.4.2 训练与求解接口</w:t>
      </w:r>
      <w:bookmarkStart w:id="119" w:name="v11_119"/>
      <w:bookmarkEnd w:id="119"/>
    </w:p>
    <w:p>
      <w:pPr>
        <w:spacing w:line="380" w:lineRule="exact"/>
      </w:pPr>
      <w:r>
        <w:rPr>
          <w:rFonts w:ascii="Times New Roman" w:hAnsi="Times New Roman" w:eastAsia="Songti SC"/>
          <w:color w:val="000000"/>
          <w:sz w:val="22"/>
        </w:rPr>
        <w:t>训练与求解接口包括十类：分词器三层坐标往返；回答前表示的输入隔离；共享LoRA、冻结基础权重及专项分支的梯度连接；连续提示和门控；空域、变体数与末批归一化；候选保护、扩展与完整槽位裁剪；队列跨轮和状态变更；ILP可行性、目标与预算；无解、两类超时、提交失败及中断恢复；严格组件和原生超边计数。每类保存输入、配置身份、输出和错误原因，使模块语义与方法定义对应。</w:t>
      </w:r>
    </w:p>
    <w:p>
      <w:pPr>
        <w:spacing w:line="380" w:lineRule="exact"/>
      </w:pPr>
      <w:r>
        <w:rPr>
          <w:rFonts w:ascii="Times New Roman" w:hAnsi="Times New Roman" w:eastAsia="Songti SC"/>
          <w:color w:val="000000"/>
          <w:sz w:val="22"/>
        </w:rPr>
        <w:t>求解器验收还须覆盖等效用解、非有限分数、比较容差和线程重复性。真实自动求导应采用产生非零损失的受控输入，同时检查计算图连接、参数允许更新状态和梯度范数；单个零梯度样例不足以判定断路。计算图连接、参数更新资格和数值梯度共同决定接口判定，求解可行性与最优性分别登记。</w:t>
      </w:r>
    </w:p>
    <w:p>
      <w:pPr>
        <w:pStyle w:val="Heading3"/>
      </w:pPr>
      <w:r>
        <w:t>B.4.3 外层预算与提交的边界判定</w:t>
      </w:r>
      <w:bookmarkStart w:id="120" w:name="v11_120"/>
      <w:bookmarkEnd w:id="120"/>
    </w:p>
    <w:p>
      <w:pPr>
        <w:spacing w:line="380" w:lineRule="exact"/>
      </w:pPr>
      <w:r>
        <w:rPr>
          <w:rFonts w:ascii="Times New Roman" w:hAnsi="Times New Roman" w:eastAsia="Songti SC"/>
          <w:color w:val="000000"/>
          <w:sz w:val="22"/>
        </w:rPr>
        <w:t>表B-1规定调度器的验收语义，与算法4-1、4-2及顺序方法的阶段账本保持一致。它是实现与测试应共同满足的判定表；独立参考函数通过不表示生产调度器已经完成这些分支的验收。</w:t>
      </w:r>
    </w:p>
    <w:p>
      <w:pPr>
        <w:pStyle w:val="TableCaption"/>
        <w:spacing w:line="380" w:lineRule="exact"/>
      </w:pPr>
      <w:r>
        <w:rPr>
          <w:rFonts w:ascii="Times New Roman" w:hAnsi="Times New Roman" w:eastAsia="Songti SC"/>
          <w:color w:val="000000"/>
          <w:sz w:val="21"/>
        </w:rPr>
        <w:t>表B-1 提议评估与提交的预算判定</w:t>
      </w:r>
      <w:bookmarkStart w:id="203" w:name="v11_203"/>
      <w:bookmarkEnd w:id="20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边界情形</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允许动作</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账本与返回状态</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最后一次允许尝试得到合格候选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接受、编辑和安全提交资源足够时仍可提交</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尝试已计费，不再要求新的尝试名额</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尝试额度为0，尚未启动新提议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不得评估新提议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保留当前图；已评估候选另按提交条件处理</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接受额度为0，拟启动新的外层接受</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不得提交新的外层提议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已产生的计算消耗不退还</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累计编辑或安全验证、提交资源不足</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不得开始不能完成安全提交的动作</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保留最近完整合法图，已耗计算不退还</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顺序阶段一刚占满接受额度</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允许同一外层提议的配套阶段二，仍检查编辑和实际资源</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不增加外层接受数；阶段二失败保留阶段一</w:t>
            </w:r>
          </w:p>
        </w:tc>
      </w:tr>
    </w:tbl>
    <w:p>
      <w:pPr>
        <w:spacing w:after="0" w:line="240" w:lineRule="auto"/>
      </w:pPr>
    </w:p>
    <w:p>
      <w:pPr>
        <w:spacing w:line="380" w:lineRule="exact"/>
      </w:pPr>
      <w:r>
        <w:rPr>
          <w:rFonts w:ascii="Times New Roman" w:hAnsi="Times New Roman" w:eastAsia="Songti SC"/>
          <w:color w:val="000000"/>
          <w:sz w:val="22"/>
        </w:rPr>
        <w:t>验证日志分别给出评估前余额、评估消耗、提交前余额和提交结果，使“不能继续评估”与“不能提交已评估结果”可独立核对。阶段二属于已有外层接受；该例外不能被用于启动另一个提议。</w:t>
      </w:r>
    </w:p>
    <w:p>
      <w:pPr>
        <w:pStyle w:val="Heading2"/>
      </w:pPr>
      <w:r>
        <w:t>B.5 案例的统一记录格式</w:t>
      </w:r>
      <w:bookmarkStart w:id="121" w:name="v11_121"/>
      <w:bookmarkEnd w:id="121"/>
    </w:p>
    <w:p>
      <w:pPr>
        <w:spacing w:line="380" w:lineRule="exact"/>
      </w:pPr>
      <w:r>
        <w:rPr>
          <w:rFonts w:ascii="Times New Roman" w:hAnsi="Times New Roman" w:eastAsia="Songti SC"/>
          <w:color w:val="000000"/>
          <w:sz w:val="22"/>
        </w:rPr>
        <w:t>成功恢复、错误接受、错误拒绝、候选不可达和预算耗尽使用相同字段，保留原文、完整对象、初始图、候选及决策轨迹。案例解释与总体计数相互补充，不以单个案例的可解释性估计错误频率。第四章按这一格式组织案例。</w:t>
      </w:r>
    </w:p>
    <w:p>
      <w:pPr>
        <w:spacing w:line="380" w:lineRule="exact"/>
      </w:pPr>
      <w:r>
        <w:rPr>
          <w:rFonts w:ascii="Times New Roman" w:hAnsi="Times New Roman" w:eastAsia="Songti SC"/>
          <w:color w:val="000000"/>
          <w:sz w:val="22"/>
        </w:rPr>
        <w:t>（1）原文与金标准。给出数据集、固定划分、真实文档ID、相关原文及上下文，列出金标组件的跨度、类型和完整关系；CDCP逐项列出超边源集合。金标准仅用于事后评价，不进入测试时的提议、评分和接受过程。</w:t>
      </w:r>
    </w:p>
    <w:p>
      <w:pPr>
        <w:spacing w:line="380" w:lineRule="exact"/>
      </w:pPr>
      <w:r>
        <w:rPr>
          <w:rFonts w:ascii="Times New Roman" w:hAnsi="Times New Roman" w:eastAsia="Songti SC"/>
          <w:color w:val="000000"/>
          <w:sz w:val="22"/>
        </w:rPr>
        <w:t>（2）初始状态与候选。展示同一合法初始图、每个候选的来源与完整语义键，并注明遗漏对象是否在固定宇宙中、所需对象能否兼容共存。无法构造所需完整关系时，应将候选缺失与局部邻域不可达分别标出。</w:t>
      </w:r>
    </w:p>
    <w:p>
      <w:pPr>
        <w:spacing w:line="380" w:lineRule="exact"/>
      </w:pPr>
      <w:r>
        <w:rPr>
          <w:rFonts w:ascii="Times New Roman" w:hAnsi="Times New Roman" w:eastAsia="Songti SC"/>
          <w:color w:val="000000"/>
          <w:sz w:val="22"/>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pPr>
        <w:spacing w:line="380" w:lineRule="exact"/>
      </w:pPr>
      <w:r>
        <w:rPr>
          <w:rFonts w:ascii="Times New Roman" w:hAnsi="Times New Roman" w:eastAsia="Songti SC"/>
          <w:color w:val="000000"/>
          <w:sz w:val="22"/>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pPr>
        <w:spacing w:line="380" w:lineRule="exact"/>
      </w:pPr>
      <w:r>
        <w:rPr>
          <w:rFonts w:ascii="Times New Roman" w:hAnsi="Times New Roman" w:eastAsia="Songti SC"/>
          <w:color w:val="000000"/>
          <w:sz w:val="22"/>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pPr>
        <w:spacing w:line="380" w:lineRule="exact"/>
      </w:pPr>
      <w:r>
        <w:rPr>
          <w:rFonts w:ascii="Times New Roman" w:hAnsi="Times New Roman" w:eastAsia="Songti SC"/>
          <w:color w:val="000000"/>
          <w:sz w:val="22"/>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pPr>
        <w:pStyle w:val="Heading2"/>
      </w:pPr>
      <w:r>
        <w:t>B.6 固定评分性质的证明与构造</w:t>
      </w:r>
      <w:bookmarkStart w:id="122" w:name="v11_122"/>
      <w:bookmarkEnd w:id="122"/>
    </w:p>
    <w:p>
      <w:pPr>
        <w:spacing w:line="380" w:lineRule="exact"/>
      </w:pPr>
      <w:r>
        <w:rPr>
          <w:rFonts w:ascii="Times New Roman" w:hAnsi="Times New Roman" w:eastAsia="Songti SC"/>
          <w:color w:val="000000"/>
          <w:sz w:val="22"/>
        </w:rPr>
        <w:t>本节对应4.5.3至4.5.5节，分别说明精确差值、集合动作的表达边界与有限终止。</w:t>
      </w:r>
    </w:p>
    <w:p>
      <w:pPr>
        <w:spacing w:line="380" w:lineRule="exact"/>
      </w:pPr>
      <w:r>
        <w:rPr>
          <w:rFonts w:ascii="Times New Roman" w:hAnsi="Times New Roman" w:eastAsia="Songti SC"/>
          <w:color w:val="000000"/>
          <w:sz w:val="22"/>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spacing w:line="380" w:lineRule="exact"/>
      </w:pPr>
      <w:r>
        <w:rPr>
          <w:rFonts w:ascii="Times New Roman" w:hAnsi="Times New Roman" w:eastAsia="Songti SC"/>
          <w:color w:val="000000"/>
          <w:sz w:val="22"/>
        </w:rPr>
        <w:t xml:space="preserve">构造两个互不重叠的旧组件 </w:t>
      </w:r>
      <m:oMath>
        <m:r>
          <m:t xml:space="preserve">a</m:t>
        </m:r>
        <m:r>
          <m:t xml:space="preserve">=</m:t>
        </m:r>
        <m:r>
          <m:t xml:space="preserve">[</m:t>
        </m:r>
        <m:r>
          <m:t xml:space="preserve">0</m:t>
        </m:r>
        <m:r>
          <m:t xml:space="preserve">,</m:t>
        </m:r>
        <m:r>
          <m:t xml:space="preserve">4</m:t>
        </m:r>
        <m:r>
          <m:t xml:space="preserve">)</m:t>
        </m:r>
      </m:oMath>
      <w:r>
        <w:rPr>
          <w:rFonts w:ascii="Times New Roman" w:hAnsi="Times New Roman" w:eastAsia="Songti SC"/>
          <w:color w:val="000000"/>
          <w:sz w:val="22"/>
        </w:rPr>
        <w:t>、</w:t>
      </w:r>
      <m:oMath>
        <m:r>
          <m:t xml:space="preserve">b</m:t>
        </m:r>
        <m:r>
          <m:t xml:space="preserve">=</m:t>
        </m:r>
        <m:r>
          <m:t xml:space="preserve">[</m:t>
        </m:r>
        <m:r>
          <m:t xml:space="preserve">5</m:t>
        </m:r>
        <m:r>
          <m:t xml:space="preserve">,</m:t>
        </m:r>
        <m:r>
          <m:t xml:space="preserve">1</m:t>
        </m:r>
        <m:r>
          <m:t xml:space="preserve">0</m:t>
        </m:r>
        <m:r>
          <m:t xml:space="preserve">)</m:t>
        </m:r>
      </m:oMath>
      <w:r>
        <w:rPr>
          <w:rFonts w:ascii="Times New Roman" w:hAnsi="Times New Roman" w:eastAsia="Songti SC"/>
          <w:color w:val="000000"/>
          <w:sz w:val="22"/>
        </w:rPr>
        <w:t xml:space="preserve">，新跨度 </w:t>
      </w:r>
      <m:oMath>
        <m:r>
          <m:t xml:space="preserve">c</m:t>
        </m:r>
        <m:r>
          <m:t xml:space="preserve">=</m:t>
        </m:r>
        <m:r>
          <m:t xml:space="preserve">[</m:t>
        </m:r>
        <m:r>
          <m:t xml:space="preserve">0</m:t>
        </m:r>
        <m:r>
          <m:t xml:space="preserve">,</m:t>
        </m:r>
        <m:r>
          <m:t xml:space="preserve">1</m:t>
        </m:r>
        <m:r>
          <m:t xml:space="preserve">0</m:t>
        </m:r>
        <m:r>
          <m:t xml:space="preserve">)</m:t>
        </m:r>
      </m:oMath>
      <w:r>
        <w:rPr>
          <w:rFonts w:ascii="Times New Roman" w:hAnsi="Times New Roman" w:eastAsia="Songti SC"/>
          <w:color w:val="000000"/>
          <w:sz w:val="22"/>
        </w:rPr>
        <w:t xml:space="preserve"> 恰为二者包络，满足合并的坐标条件。取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sz w:val="22"/>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sz w:val="22"/>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sz w:val="22"/>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sz w:val="22"/>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sz w:val="22"/>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sz w:val="22"/>
        </w:rPr>
        <w:t xml:space="preserve"> 的效用为 </w:t>
      </w:r>
      <m:oMath>
        <m:r>
          <m:t xml:space="preserve">0</m:t>
        </m:r>
        <m:r>
          <m:t xml:space="preserve">.</m:t>
        </m:r>
        <m:r>
          <m:t xml:space="preserve">4</m:t>
        </m:r>
      </m:oMath>
      <w:r>
        <w:rPr>
          <w:rFonts w:ascii="Times New Roman" w:hAnsi="Times New Roman" w:eastAsia="Songti SC"/>
          <w:color w:val="000000"/>
          <w:sz w:val="22"/>
        </w:rPr>
        <w:t xml:space="preserve">：单独删除任一组件降分，直接插入 </w:t>
      </w:r>
      <m:oMath>
        <m:r>
          <m:t xml:space="preserve">c</m:t>
        </m:r>
      </m:oMath>
      <w:r>
        <w:rPr>
          <w:rFonts w:ascii="Times New Roman" w:hAnsi="Times New Roman" w:eastAsia="Songti SC"/>
          <w:color w:val="000000"/>
          <w:sz w:val="22"/>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sz w:val="22"/>
        </w:rPr>
        <w:t xml:space="preserve"> 则合法且增分 </w:t>
      </w:r>
      <m:oMath>
        <m:r>
          <m:t xml:space="preserve">0</m:t>
        </m:r>
        <m:r>
          <m:t xml:space="preserve">.</m:t>
        </m:r>
        <m:r>
          <m:t xml:space="preserve">4</m:t>
        </m:r>
      </m:oMath>
      <w:r>
        <w:rPr>
          <w:rFonts w:ascii="Times New Roman" w:hAnsi="Times New Roman" w:eastAsia="Songti SC"/>
          <w:color w:val="000000"/>
          <w:sz w:val="22"/>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sz w:val="22"/>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sz w:val="22"/>
        </w:rPr>
        <w:t xml:space="preserve"> 并保持关系不变，即满足全部效用门。若一对一提议通过冲突闭合同时删除两个旧组件，它事实上已扩展为上述集合事务，不再属于受限的单对象动作。</w:t>
      </w:r>
    </w:p>
    <w:p>
      <w:pPr>
        <w:spacing w:line="380" w:lineRule="exact"/>
      </w:pPr>
      <w:r>
        <w:rPr>
          <w:rFonts w:ascii="Times New Roman" w:hAnsi="Times New Roman" w:eastAsia="Songti SC"/>
          <w:color w:val="000000"/>
          <w:sz w:val="22"/>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pStyle w:val="Heading1"/>
      </w:pPr>
      <w:r>
        <w:t>附录C 成果归属与研究声明</w:t>
      </w:r>
      <w:bookmarkStart w:id="123" w:name="v11_123"/>
      <w:bookmarkEnd w:id="123"/>
    </w:p>
    <w:p>
      <w:pPr>
        <w:pStyle w:val="Heading2"/>
      </w:pPr>
      <w:r>
        <w:t>C.1 前期共同成果</w:t>
      </w:r>
      <w:bookmarkStart w:id="124" w:name="v11_124"/>
      <w:bookmarkEnd w:id="124"/>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w:t>
      </w:r>
    </w:p>
    <w:p>
      <w:pPr>
        <w:pStyle w:val="Heading2"/>
      </w:pPr>
      <w:r>
        <w:t>C.2 数据与材料可得性</w:t>
      </w:r>
      <w:bookmarkStart w:id="125" w:name="v11_125"/>
      <w:bookmarkEnd w:id="125"/>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本地材料包含结果生成程序、统一配置、逐文档计数、审计判定、评分记录、图表数据与修订索引，入口见附录A.5。数学构造材料保留在附录D，用于复算性质和边界。材料的公开范围与存放入口由作者根据语料许可及成果归属确定。</w:t>
      </w:r>
    </w:p>
    <w:p>
      <w:pPr>
        <w:pStyle w:val="Heading2"/>
      </w:pPr>
      <w:r>
        <w:t>C.3 研究辅助与伦理说明</w:t>
      </w:r>
      <w:bookmarkStart w:id="126" w:name="v11_126"/>
      <w:bookmarkEnd w:id="126"/>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模型实验记录。</w:t>
      </w:r>
    </w:p>
    <w:p>
      <w:pPr>
        <w:spacing w:line="380" w:lineRule="exact"/>
      </w:pPr>
      <w:r>
        <w:rPr>
          <w:rFonts w:ascii="Times New Roman" w:hAnsi="Times New Roman" w:eastAsia="Songti SC"/>
          <w:color w:val="000000"/>
          <w:sz w:val="22"/>
        </w:rPr>
        <w:t>涉及人员参与、语料再使用及可能的敏感信息时，应按研究内容履行适用的机构程序。判定规则、分歧与裁决共同构成审计记录；一致性系数不能代替对语义标签的独立判断，本文不据此作机构审批或豁免声明。</w:t>
      </w:r>
    </w:p>
    <w:p>
      <w:pPr>
        <w:pStyle w:val="Heading2"/>
      </w:pPr>
      <w:r>
        <w:t>C.4 成果记录与署名责任</w:t>
      </w:r>
      <w:bookmarkStart w:id="127" w:name="v11_127"/>
      <w:bookmarkEnd w:id="127"/>
    </w:p>
    <w:p>
      <w:pPr>
        <w:spacing w:line="380" w:lineRule="exact"/>
      </w:pPr>
      <w:r>
        <w:rPr>
          <w:rFonts w:ascii="Times New Roman" w:hAnsi="Times New Roman" w:eastAsia="Songti SC"/>
          <w:color w:val="000000"/>
          <w:sz w:val="22"/>
        </w:rPr>
        <w:t>方法、程序、数据记录和论文文字采用版本关联，引用前期共同成果时保留原作者及成果身份。学位论文原创性声明、使用授权、署名与签字使用学校适用表单，由相应责任人确认；研究辅助不代替作者对事实、引用和结论的责任。</w:t>
      </w:r>
    </w:p>
    <w:p>
      <w:pPr>
        <w:pStyle w:val="Heading1"/>
      </w:pPr>
      <w:r>
        <w:t>附录D 前期实验基础与轻量诊断</w:t>
      </w:r>
      <w:bookmarkStart w:id="128" w:name="v11_128"/>
      <w:bookmarkEnd w:id="128"/>
    </w:p>
    <w:p>
      <w:pPr>
        <w:pStyle w:val="Heading2"/>
      </w:pPr>
      <w:r>
        <w:t>D.1 前期结果的使用范围</w:t>
      </w:r>
      <w:bookmarkStart w:id="129" w:name="v11_129"/>
      <w:bookmarkEnd w:id="129"/>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30" w:name="v11_130"/>
      <w:bookmarkEnd w:id="130"/>
    </w:p>
    <w:p>
      <w:pPr>
        <w:spacing w:line="380" w:lineRule="exact"/>
      </w:pPr>
      <w:r>
        <w:rPr>
          <w:rFonts w:ascii="Times New Roman" w:hAnsi="Times New Roman" w:eastAsia="Songti SC"/>
          <w:color w:val="000000"/>
          <w:sz w:val="22"/>
        </w:rPr>
        <w:t>前期CPU诊断纳入AAEC 322篇，拟合、校准、审计部分分别为191、65、66篇；CDCP在记录排除文档00411后纳入580篇，对应348、116、116篇。划分按完整文本哈希分组，测试文件不参与解析、拟合、选择或评分。该诊断使用固定版本镜像和划分文件，数据异常与坐标映射问题保留在独立日志中。这些数量描述前期轻量诊断，和表2-2的比较配置分开，不用于两项新增方法的效果归因。</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31" w:name="v11_131"/>
      <w:bookmarkEnd w:id="131"/>
    </w:p>
    <w:p>
      <w:pPr>
        <w:spacing w:line="380" w:lineRule="exact"/>
      </w:pPr>
      <w:r>
        <w:rPr>
          <w:rFonts w:ascii="Times New Roman" w:hAnsi="Times New Roman" w:eastAsia="Songti SC"/>
          <w:color w:val="000000"/>
          <w:sz w:val="22"/>
        </w:rPr>
        <w:t>轻量诊断用于检查候选恢复与弱评分路线可能出现的信号和失败模式。其结果提示，正式研究需在真实LLM自然错误上重新检验候选可达性和接受可靠性，特别关注弱基线中明显、强基线中可能缩小的恢复空间。它不能替代强对照，也不能直接给出新方法的预期增量。</w:t>
      </w:r>
    </w:p>
    <w:p>
      <w:pPr>
        <w:spacing w:line="380" w:lineRule="exact"/>
      </w:pPr>
      <w:r>
        <w:rPr>
          <w:rFonts w:ascii="Times New Roman" w:hAnsi="Times New Roman" w:eastAsia="Songti SC"/>
          <w:color w:val="000000"/>
          <w:sz w:val="22"/>
        </w:rPr>
        <w:t>参考工程可用于实现和测试，但软件可运行、形式性质成立、实验有效是不同判断。诊断记录只能支持其实际覆盖的流程与对象，方法效果仍需由相应任务上的独立实验确定。</w:t>
      </w:r>
    </w:p>
    <w:p>
      <w:pPr>
        <w:pStyle w:val="Heading2"/>
      </w:pPr>
      <w:r>
        <w:t>D.4 本版构造验证及复算入口</w:t>
      </w:r>
      <w:bookmarkStart w:id="132" w:name="v11_132"/>
      <w:bookmarkEnd w:id="132"/>
    </w:p>
    <w:p>
      <w:pPr>
        <w:spacing w:line="380" w:lineRule="exact"/>
      </w:pPr>
      <w:r>
        <w:rPr>
          <w:rFonts w:ascii="Times New Roman" w:hAnsi="Times New Roman" w:eastAsia="Songti SC"/>
          <w:color w:val="000000"/>
          <w:sz w:val="22"/>
        </w:rPr>
        <w:t>机制材料包含19项构造断言，接口材料包含40项有限断言，分别对应validate_mechanisms.py与validate_interfaces.py及其结果文件。这些数量是给定输入下的断言记录数，不是覆盖率或研究贡献数量。材料使用组件、超边、字符区间、固定分数和阶段状态检查接口语义；输入、程序及配置哈希保存在_revision_1009_v2中。</w:t>
      </w:r>
    </w:p>
    <w:p>
      <w:pPr>
        <w:spacing w:line="380" w:lineRule="exact"/>
      </w:pPr>
      <w:r>
        <w:rPr>
          <w:rFonts w:ascii="Times New Roman" w:hAnsi="Times New Roman" w:eastAsia="Songti SC"/>
          <w:color w:val="000000"/>
          <w:sz w:val="22"/>
        </w:rPr>
        <w:t>检查包括中心确定性、空集与回退、长金标超边、区域预算、字符输运、四类因素、逐源权重、候选保护、类别轮转、两两冲突、非接触新合法槽位、失效旧超边扩域、顺序与联合决策、第二阶段失败、Oracle包含关系、精确最优值、累计与净成本、重复与空预测评价及micro目标反例。通过表示这些有限输入满足断言，不表示覆盖完整系统，也不等于单元测试覆盖率100%。</w:t>
      </w:r>
    </w:p>
    <w:p>
      <w:pPr>
        <w:spacing w:line="380" w:lineRule="exact"/>
      </w:pPr>
      <w:r>
        <w:rPr>
          <w:rFonts w:ascii="Times New Roman" w:hAnsi="Times New Roman" w:eastAsia="Songti SC"/>
          <w:color w:val="000000"/>
          <w:sz w:val="22"/>
        </w:rPr>
        <w:t>参考程序使用半开字符区间；小图的三个关系对象和全部组件子集完整枚举得到30个合法图。编辑预算排除其中一个图，净预算集合为29；最多三事务也达到29，一事务仅7。初始及一步的最佳关系计数为TP=1、FP=0、FN=1；多步与全局为TP=2、FP=0、FN=0。相应66.67及100.00由原始计数重算，金标和评分均为公开构造输入。该小图只含组件顺序及抽象删增形态，7／29／29对应这一声明邻域。带坐标的拆合另用D.6的区间输入说明，二者不混合计算状态空间。</w:t>
      </w:r>
    </w:p>
    <w:p>
      <w:pPr>
        <w:pStyle w:val="Heading2"/>
      </w:pPr>
      <w:r>
        <w:t>D.5 micro优化的计数反例</w:t>
      </w:r>
      <w:bookmarkStart w:id="133" w:name="v11_133"/>
      <w:bookmarkEnd w:id="133"/>
    </w:p>
    <w:p>
      <w:pPr>
        <w:spacing w:line="380" w:lineRule="exact"/>
      </w:pPr>
      <w:r>
        <w:rPr>
          <w:rFonts w:ascii="Times New Roman" w:hAnsi="Times New Roman" w:eastAsia="Songti SC"/>
          <w:color w:val="000000"/>
          <w:sz w:val="22"/>
        </w:rPr>
        <w:t>两个构造文档的金标关系数分别为1000和10。文档A的可行计数为(1,0,999)或(0,0,1000)，文档B为(1,0,9)或(9,81,1)，括号依次为TP、FP、FN。A的逐文档最优选第一项，B亦选第一项，因为18.1818高于18.0000；两者汇总后micro-F1为0.3953。若对整个计数集合优化，A仍选第一项而B选第二项，汇总micro-F1为1.8165。参考程序穷举四种组合核实该差别。</w:t>
      </w:r>
    </w:p>
    <w:p>
      <w:pPr>
        <w:spacing w:line="380" w:lineRule="exact"/>
      </w:pPr>
      <w:r>
        <w:rPr>
          <w:rFonts w:ascii="Times New Roman" w:hAnsi="Times New Roman" w:eastAsia="Songti SC"/>
          <w:color w:val="000000"/>
          <w:sz w:val="22"/>
        </w:rPr>
        <w:t>该反例证明逐文档最优不是语料micro最优的充分条件，不证明上述错误分布存在于目标语料，也不说明应在实际输出中使用金标。它仅用于确定Oracle实现必须优化共同计数目标。</w:t>
      </w:r>
    </w:p>
    <w:p>
      <w:pPr>
        <w:pStyle w:val="Heading2"/>
      </w:pPr>
      <w:r>
        <w:t>D.6 既有接口构造材料</w:t>
      </w:r>
      <w:bookmarkStart w:id="134" w:name="v11_134"/>
      <w:bookmarkEnd w:id="134"/>
    </w:p>
    <w:p>
      <w:pPr>
        <w:spacing w:line="380" w:lineRule="exact"/>
      </w:pPr>
      <w:r>
        <w:rPr>
          <w:rFonts w:ascii="Times New Roman" w:hAnsi="Times New Roman" w:eastAsia="Songti SC"/>
          <w:color w:val="000000"/>
          <w:sz w:val="22"/>
        </w:rPr>
        <w:t>中心匹配fixture覆盖全为结论角色、仅一个中心、存在合格非结论中心、区域超限与空组件；允许自匹配时有效参考区域均有匹配项。二十个固定文档键的构造记录用于检验自匹配统计分母，不估计真实语料比例。反向fixture分别记录双向保留、仅正向受保护、逆向裁剪、方向非法、端点类型替换和多源范围限制，不能把未入池或未入队归为评分拒绝。</w:t>
      </w:r>
    </w:p>
    <w:p>
      <w:pPr>
        <w:spacing w:line="380" w:lineRule="exact"/>
      </w:pPr>
      <w:r>
        <w:rPr>
          <w:rFonts w:ascii="Times New Roman" w:hAnsi="Times New Roman" w:eastAsia="Songti SC"/>
          <w:color w:val="000000"/>
          <w:sz w:val="22"/>
        </w:rPr>
        <w:t>顺序账本fixture将两阶段成功、阶段一拒绝、阶段二无解、无incumbent超时、阶段二前资源耗尽、关系编辑耗尽、纯关系操作与达到外层接受上限后的配套阶段分开。两阶段成功时外层尝试／接受各1，组件／关系提交各1，实际组件／关系编辑各2；阶段二失败时保留新组件和空关系，关系删除成本1不退回。纯关系成功只有一次关系提交。人工资源单位仅验证余额约束，不换算成时延或token。删后加回同一关系的累计编辑为2、净编辑为0。</w:t>
      </w:r>
    </w:p>
    <w:p>
      <w:pPr>
        <w:spacing w:line="380" w:lineRule="exact"/>
      </w:pPr>
      <w:r>
        <w:rPr>
          <w:rFonts w:ascii="Times New Roman" w:hAnsi="Times New Roman" w:eastAsia="Songti SC"/>
          <w:color w:val="000000"/>
          <w:sz w:val="22"/>
        </w:rPr>
        <w:t>跨度fixture采用半开字符坐标和完整类型键。旧组件[0,10)可拆为[0,4)与[5,10)，两段兼容且包络一致；越界、重叠或包络缩小分别拒绝，合法逆向合并通过形态检查。新增跨度若同时碰到窗口外旧组件，先补入删除集合再核查形态；名义插入覆盖两个旧组件时按2→1处理，单对象对照拒绝。预算不足不提交。入边、出边及超边的三个旧完整对象随旧端点删除，三个合法新关系重新计费，关系编辑总计6。另检验插入不接触端点却使已选超边源连续性失效的最小扩域。</w:t>
      </w:r>
    </w:p>
    <w:p>
      <w:pPr>
        <w:spacing w:line="380" w:lineRule="exact"/>
      </w:pPr>
      <w:r>
        <w:rPr>
          <w:rFonts w:ascii="Times New Roman" w:hAnsi="Times New Roman" w:eastAsia="Songti SC"/>
          <w:color w:val="000000"/>
          <w:sz w:val="22"/>
        </w:rPr>
        <w:t>队列fixture证明其参考调度器首批全拒后可检查后批、同状态跨轮继续游标、未见状态重新枚举且去重，返回已有状态续用缓存。有限排序fixture验证效用、编辑数、规范键的顺序及非有限值拒绝。这些构造对应独立参考函数的输入输出，训练、求解和持久化接口按附录B.4.2分别组织。</w:t>
      </w:r>
    </w:p>
    <w:p>
      <w:pPr>
        <w:pStyle w:val="Heading1"/>
      </w:pPr>
      <w:r>
        <w:t>附录E 前期数值与协议存档</w:t>
      </w:r>
      <w:bookmarkStart w:id="135" w:name="v11_135"/>
      <w:bookmarkEnd w:id="135"/>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36" w:name="v11_136"/>
      <w:bookmarkEnd w:id="136"/>
    </w:p>
    <w:p>
      <w:pPr>
        <w:pStyle w:val="TableCaption"/>
        <w:spacing w:line="380" w:lineRule="exact"/>
      </w:pPr>
      <w:r>
        <w:rPr>
          <w:rFonts w:ascii="Times New Roman" w:hAnsi="Times New Roman" w:eastAsia="Songti SC"/>
          <w:color w:val="000000"/>
          <w:sz w:val="21"/>
        </w:rPr>
        <w:t>表E-1 AAEC组件分类别旧稿记录</w:t>
      </w:r>
      <w:bookmarkStart w:id="204" w:name="v11_204"/>
      <w:bookmarkEnd w:id="20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37" w:name="v11_137"/>
      <w:bookmarkEnd w:id="137"/>
    </w:p>
    <w:p>
      <w:pPr>
        <w:pStyle w:val="TableCaption"/>
        <w:spacing w:line="380" w:lineRule="exact"/>
      </w:pPr>
      <w:r>
        <w:rPr>
          <w:rFonts w:ascii="Times New Roman" w:hAnsi="Times New Roman" w:eastAsia="Songti SC"/>
          <w:color w:val="000000"/>
          <w:sz w:val="21"/>
        </w:rPr>
        <w:t>表E-2 ICIC原版AAEC域内结果记录</w:t>
      </w:r>
      <w:bookmarkStart w:id="205" w:name="v11_205"/>
      <w:bookmarkEnd w:id="20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38" w:name="v11_138"/>
      <w:bookmarkEnd w:id="138"/>
    </w:p>
    <w:p>
      <w:pPr>
        <w:pStyle w:val="TableCaption"/>
        <w:spacing w:line="380" w:lineRule="exact"/>
      </w:pPr>
      <w:r>
        <w:rPr>
          <w:rFonts w:ascii="Times New Roman" w:hAnsi="Times New Roman" w:eastAsia="Songti SC"/>
          <w:color w:val="000000"/>
          <w:sz w:val="21"/>
        </w:rPr>
        <w:t>表E-3 ICIC原版CDCP域内结果记录</w:t>
      </w:r>
      <w:bookmarkStart w:id="206" w:name="v11_206"/>
      <w:bookmarkEnd w:id="20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39" w:name="v11_139"/>
      <w:bookmarkEnd w:id="139"/>
    </w:p>
    <w:p>
      <w:pPr>
        <w:pStyle w:val="TableCaption"/>
        <w:spacing w:line="380" w:lineRule="exact"/>
      </w:pPr>
      <w:r>
        <w:rPr>
          <w:rFonts w:ascii="Times New Roman" w:hAnsi="Times New Roman" w:eastAsia="Songti SC"/>
          <w:color w:val="000000"/>
          <w:sz w:val="21"/>
        </w:rPr>
        <w:t>表E-4 ICIC原版模块消融记录</w:t>
      </w:r>
      <w:bookmarkStart w:id="207" w:name="v11_207"/>
      <w:bookmarkEnd w:id="20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40" w:name="v11_140"/>
      <w:bookmarkEnd w:id="140"/>
    </w:p>
    <w:p>
      <w:pPr>
        <w:pStyle w:val="TableCaption"/>
        <w:spacing w:line="380" w:lineRule="exact"/>
      </w:pPr>
      <w:r>
        <w:rPr>
          <w:rFonts w:ascii="Times New Roman" w:hAnsi="Times New Roman" w:eastAsia="Songti SC"/>
          <w:color w:val="000000"/>
          <w:sz w:val="21"/>
        </w:rPr>
        <w:t>表E-5 ICIC原版验证器替换记录</w:t>
      </w:r>
      <w:bookmarkStart w:id="208" w:name="v11_208"/>
      <w:bookmarkEnd w:id="20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41" w:name="v11_141"/>
      <w:bookmarkEnd w:id="141"/>
    </w:p>
    <w:p>
      <w:pPr>
        <w:pStyle w:val="TableCaption"/>
        <w:spacing w:line="380" w:lineRule="exact"/>
      </w:pPr>
      <w:r>
        <w:rPr>
          <w:rFonts w:ascii="Times New Roman" w:hAnsi="Times New Roman" w:eastAsia="Songti SC"/>
          <w:color w:val="000000"/>
          <w:sz w:val="21"/>
        </w:rPr>
        <w:t>表E-6 ICIC原版Oracle记录</w:t>
      </w:r>
      <w:bookmarkStart w:id="209" w:name="v11_209"/>
      <w:bookmarkEnd w:id="20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42" w:name="v11_142"/>
      <w:bookmarkEnd w:id="142"/>
    </w:p>
    <w:p>
      <w:pPr>
        <w:pStyle w:val="TableCaption"/>
        <w:spacing w:line="380" w:lineRule="exact"/>
      </w:pPr>
      <w:r>
        <w:rPr>
          <w:rFonts w:ascii="Times New Roman" w:hAnsi="Times New Roman" w:eastAsia="Songti SC"/>
          <w:color w:val="000000"/>
          <w:sz w:val="21"/>
        </w:rPr>
        <w:t>表E-7 ICIC原版修正行为记录</w:t>
      </w:r>
      <w:bookmarkStart w:id="210" w:name="v11_210"/>
      <w:bookmarkEnd w:id="21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43" w:name="v11_143"/>
      <w:bookmarkEnd w:id="143"/>
    </w:p>
    <w:p>
      <w:pPr>
        <w:pStyle w:val="TableCaption"/>
        <w:spacing w:line="380" w:lineRule="exact"/>
      </w:pPr>
      <w:r>
        <w:rPr>
          <w:rFonts w:ascii="Times New Roman" w:hAnsi="Times New Roman" w:eastAsia="Songti SC"/>
          <w:color w:val="000000"/>
          <w:sz w:val="21"/>
        </w:rPr>
        <w:t>表E-8 前期粗粒度组件映射</w:t>
      </w:r>
      <w:bookmarkStart w:id="211" w:name="v11_211"/>
      <w:bookmarkEnd w:id="21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44" w:name="v11_144"/>
      <w:bookmarkEnd w:id="144"/>
    </w:p>
    <w:p>
      <w:pPr>
        <w:pStyle w:val="TableCaption"/>
        <w:spacing w:line="380" w:lineRule="exact"/>
      </w:pPr>
      <w:r>
        <w:rPr>
          <w:rFonts w:ascii="Times New Roman" w:hAnsi="Times New Roman" w:eastAsia="Songti SC"/>
          <w:color w:val="000000"/>
          <w:sz w:val="21"/>
        </w:rPr>
        <w:t>表E-9 ICIC原版AAEC到CDCP迁移记录</w:t>
      </w:r>
      <w:bookmarkStart w:id="212" w:name="v11_212"/>
      <w:bookmarkEnd w:id="21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45" w:name="v11_145"/>
      <w:bookmarkEnd w:id="145"/>
    </w:p>
    <w:p>
      <w:pPr>
        <w:pStyle w:val="Heading2"/>
      </w:pPr>
      <w:r>
        <w:t>F.1 核心术语与符号</w:t>
      </w:r>
      <w:bookmarkStart w:id="146" w:name="v11_146"/>
      <w:bookmarkEnd w:id="146"/>
    </w:p>
    <w:p>
      <w:pPr>
        <w:spacing w:line="380" w:lineRule="exact"/>
      </w:pPr>
      <w:r>
        <w:rPr>
          <w:rFonts w:ascii="Times New Roman" w:hAnsi="Times New Roman" w:eastAsia="Songti SC"/>
          <w:color w:val="000000"/>
          <w:sz w:val="22"/>
        </w:rPr>
        <w:t>表F-1汇总方法中的对象及其局部作用域。本文保留各章公式的既有符号，但在首次定义和跨章节叙述中使用“输入文档”“改写集合”“变化对象集合”和“关系候选池”等完整名称。评价量使用Precision和Recall，与图对象集合分开命名。完整对象计数、概率评分、累计编辑与终态净变化分别使用对应符号，避免跨层混用。</w:t>
      </w:r>
    </w:p>
    <w:p>
      <w:pPr>
        <w:pStyle w:val="TableCaption"/>
        <w:spacing w:line="380" w:lineRule="exact"/>
      </w:pPr>
      <w:r>
        <w:rPr>
          <w:rFonts w:ascii="Times New Roman" w:hAnsi="Times New Roman" w:eastAsia="Songti SC"/>
          <w:color w:val="000000"/>
          <w:sz w:val="21"/>
        </w:rPr>
        <w:t>表F-1 核心符号及其语义</w:t>
      </w:r>
      <w:bookmarkStart w:id="213" w:name="v11_213"/>
      <w:bookmarkEnd w:id="21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P</m:t>
              </m:r>
              <m:r>
                <m:t xml:space="preserve">,</m:t>
              </m:r>
              <m:r>
                <m:t xml:space="preserve">R</m:t>
              </m:r>
              <m:r>
                <m:t xml:space="preserve">,</m:t>
              </m:r>
              <m:sSub>
                <m:e>
                  <m:r>
                    <m:t xml:space="preserve">F</m:t>
                  </m:r>
                </m:e>
                <m:sub>
                  <m:r>
                    <m:t xml:space="preserve">1</m:t>
                  </m:r>
                </m:sub>
              </m:sSub>
            </m:oMath>
            <w:r>
              <w:rPr>
                <w:rFonts w:ascii="Times New Roman" w:hAnsi="Times New Roman" w:eastAsia="Songti SC"/>
                <w:color w:val="000000"/>
                <w:sz w:val="21"/>
              </w:rPr>
              <w:t xml:space="preserve"> 评价指标</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精确率、召回率和F1</w:t>
            </w:r>
          </w:p>
        </w:tc>
        <w:tc>
          <w:tcPr>
            <w:tcW w:type="dxa" w:w="391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只在评价公式中作指标解释；正文优先使用Precision和Recall</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构造验证</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人工定义对象与分数上的真实程序执行</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只验证规约，不是语料实验、模型预测或人工审计</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不同于给定金标跨度的训练标签概率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47" w:name="v11_147"/>
      <w:bookmarkEnd w:id="147"/>
    </w:p>
    <w:p>
      <w:pPr>
        <w:spacing w:line="380" w:lineRule="exact"/>
      </w:pPr>
      <w:r>
        <w:rPr>
          <w:rFonts w:ascii="Times New Roman" w:hAnsi="Times New Roman" w:eastAsia="Songti SC"/>
          <w:color w:val="000000"/>
          <w:sz w:val="22"/>
        </w:rPr>
        <w:t xml:space="preserve">标注输运按原字符区间替换指定槽位，回填全文后重新分词并更新全部组件位置。字符坐标、评价token和模型子词分别保存映射。构造第三章的组件子词集合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sz w:val="22"/>
        </w:rPr>
        <w:t xml:space="preserve"> 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spacing w:line="380" w:lineRule="exact"/>
      </w:pPr>
      <w:r>
        <w:rPr>
          <w:rFonts w:ascii="Times New Roman" w:hAnsi="Times New Roman" w:eastAsia="Songti SC"/>
          <w:color w:val="000000"/>
          <w:sz w:val="22"/>
        </w:rPr>
        <w:t>训练辅助头只读取回答开始前的输入表示，</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sz w:val="22"/>
        </w:rPr>
        <w:t xml:space="preserve"> 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spacing w:line="380" w:lineRule="exact"/>
      </w:pPr>
      <w:r>
        <w:rPr>
          <w:rFonts w:ascii="Times New Roman" w:hAnsi="Times New Roman" w:eastAsia="Songti SC"/>
          <w:color w:val="000000"/>
          <w:sz w:val="22"/>
        </w:rPr>
        <w:t>推理侧的冲突闭合与关系依赖域遵循4.3节，队列采用状态键、六类轮转及独立批长，预算、提交及回退遵循4.5.2节；顺序对照按4.6.1定义两个提交阶段，并按附录B.3区分外层计数和阶段账本。Oracle遵循4.6.3的松弛集合，不能调用预测效用ILP替代金标目标优化。模块接口分别为SelectRegion、BuildCandidates、EnumerateQueue、ScoreObject、EvaluateTransaction、Commit和EvaluateCounts；输入输出及错误身份由附录A、B约束。</w:t>
      </w:r>
    </w:p>
    <w:p>
      <w:pPr>
        <w:pStyle w:val="Heading2"/>
      </w:pPr>
      <w:r>
        <w:t>F.3 研究问题阅读索引</w:t>
      </w:r>
      <w:bookmarkStart w:id="148" w:name="v11_148"/>
      <w:bookmarkEnd w:id="148"/>
    </w:p>
    <w:p>
      <w:pPr>
        <w:spacing w:line="380" w:lineRule="exact"/>
      </w:pPr>
      <w:r>
        <w:rPr>
          <w:rFonts w:ascii="Times New Roman" w:hAnsi="Times New Roman" w:eastAsia="Songti SC"/>
          <w:color w:val="000000"/>
          <w:sz w:val="22"/>
        </w:rPr>
        <w:t>表F-2将概念、方法和验证位置对应起来，便于连续阅读和交叉回查。索引同时关联方法入口、实验结果和接口说明。</w:t>
      </w:r>
    </w:p>
    <w:p>
      <w:pPr>
        <w:pStyle w:val="TableCaption"/>
        <w:spacing w:line="380" w:lineRule="exact"/>
      </w:pPr>
      <w:r>
        <w:rPr>
          <w:rFonts w:ascii="Times New Roman" w:hAnsi="Times New Roman" w:eastAsia="Songti SC"/>
          <w:color w:val="000000"/>
          <w:sz w:val="21"/>
        </w:rPr>
        <w:t>表F-2 方法与实验的阅读索引</w:t>
      </w:r>
      <w:bookmarkStart w:id="214" w:name="v11_214"/>
      <w:bookmarkEnd w:id="21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3.6.1同数据条件；3.6.3学习目标消融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4.3、4.4.5及图4-1</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4.6同候选同评分比较；附录B案例记录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5.1至5.5条件增量、净计数、配置与超边范围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5.5及附录E.8至E.9</w:t>
            </w:r>
          </w:p>
        </w:tc>
      </w:tr>
    </w:tbl>
    <w:p>
      <w:pPr>
        <w:spacing w:after="0" w:line="240" w:lineRule="auto"/>
      </w:pPr>
    </w:p>
    <w:p>
      <w:pPr>
        <w:pStyle w:val="Heading1"/>
      </w:pPr>
      <w:r>
        <w:t>附录G 外部方法定位与比较协议</w:t>
      </w:r>
      <w:bookmarkStart w:id="149" w:name="v11_149"/>
      <w:bookmarkEnd w:id="149"/>
    </w:p>
    <w:p>
      <w:pPr>
        <w:pStyle w:val="Heading2"/>
      </w:pPr>
      <w:r>
        <w:t>G.1 检索范围与方法选择</w:t>
      </w:r>
      <w:bookmarkStart w:id="150" w:name="v11_150"/>
      <w:bookmarkEnd w:id="150"/>
    </w:p>
    <w:p>
      <w:pPr>
        <w:spacing w:line="380" w:lineRule="exact"/>
      </w:pPr>
      <w:r>
        <w:rPr>
          <w:rFonts w:ascii="Times New Roman" w:hAnsi="Times New Roman" w:eastAsia="Songti SC"/>
          <w:color w:val="000000"/>
          <w:sz w:val="22"/>
        </w:rPr>
        <w:t>外部资料检索截至2026年10月10日，优先使用ACL Anthology、论文原文、arXiv作者版本与论文所指向的公开仓库。表G-1记录纳入考虑的方法类别，检索目的为建立可执行的比较范围，未据此作穷尽性新颖性或“首次”判断。原论文成绩不并入本版人工情景主表。</w:t>
      </w:r>
    </w:p>
    <w:p>
      <w:pPr>
        <w:pStyle w:val="TableCaption"/>
        <w:spacing w:line="380" w:lineRule="exact"/>
      </w:pPr>
      <w:r>
        <w:rPr>
          <w:rFonts w:ascii="Times New Roman" w:hAnsi="Times New Roman" w:eastAsia="Songti SC"/>
          <w:color w:val="000000"/>
          <w:sz w:val="21"/>
        </w:rPr>
        <w:t>表G-1 外部研究候选与本稿比较用途</w:t>
      </w:r>
      <w:bookmarkStart w:id="215" w:name="v11_215"/>
      <w:bookmarkEnd w:id="21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438"/>
        <w:gridCol w:w="1757"/>
        <w:gridCol w:w="3118"/>
      </w:tblGrid>
      <w:tr>
        <w:trPr>
          <w:cantSplit/>
          <w:tblHeader/>
        </w:trPr>
        <w:tc>
          <w:tcPr>
            <w:tcW w:type="dxa" w:w="158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输入与机制</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比较用途</w:t>
            </w:r>
          </w:p>
        </w:tc>
        <w:tc>
          <w:tcPr>
            <w:tcW w:type="dxa" w:w="31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接入时重点核对</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结构SVM／RNN[46]</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联合组件与关系的结构化预测</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历史结构对照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CDCP预处理与完整源集合</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MT-AM[25]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辅助语料与多任务训练</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训练来源参照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额外监督不得混入单语料主轨</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GMAM[47]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序列生成、约束指针与位置编码</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结构生成补充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输出跨度、标签及候选表达</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Kawarada等[7]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标注文本的端到端生成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stance、CDCP转换</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DENIM[12]</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篇章结构感知前缀</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生成条件补充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篇章分析成本、AAEC口径</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UniASA[48]</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统一生成与多视图学习</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标签映射、原生超边、辅助目标</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AASP[9]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自回归结构动作</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机制参照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动作表示与完整对象导出</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ARGUS[10]</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分割、分类与关系系统</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系统接口参照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分割输入、求解目标与评价</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AMELIA[26]</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跨数据集分类及多任务接口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任务边界参照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不能替代原文跨度抽取成绩</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QOS／DOS[35]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质量／多样性导向合成</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数据构造近邻</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生成目标、样本量与训练日程</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对抗强化学习合成[49]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文本与结构标注对联合生成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近期合成参照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生成器训练成本、数据目标</w:t>
            </w:r>
          </w:p>
        </w:tc>
      </w:tr>
    </w:tbl>
    <w:p>
      <w:pPr>
        <w:spacing w:after="0" w:line="240" w:lineRule="auto"/>
      </w:pPr>
    </w:p>
    <w:p>
      <w:pPr>
        <w:spacing w:line="380" w:lineRule="exact"/>
      </w:pPr>
      <w:r>
        <w:rPr>
          <w:rFonts w:ascii="Times New Roman" w:hAnsi="Times New Roman" w:eastAsia="Songti SC"/>
          <w:color w:val="000000"/>
          <w:sz w:val="22"/>
        </w:rPr>
        <w:t>FOL-AM[14]与Cabessa等[8]还提供关系推理和生成分类的思路，但给定组件的输入条件与本稿端到端定位不同，放在相关机制比较中。纳入更多方法有助于定位，但不意味着所有方法都必须同等规模复跑。</w:t>
      </w:r>
    </w:p>
    <w:p>
      <w:pPr>
        <w:pStyle w:val="Heading2"/>
      </w:pPr>
      <w:r>
        <w:t>G.2 代码入口与可复现性核查</w:t>
      </w:r>
      <w:bookmarkStart w:id="151" w:name="v11_151"/>
      <w:bookmarkEnd w:id="151"/>
    </w:p>
    <w:p>
      <w:pPr>
        <w:spacing w:line="380" w:lineRule="exact"/>
      </w:pPr>
      <w:r>
        <w:rPr>
          <w:rFonts w:ascii="Times New Roman" w:hAnsi="Times New Roman" w:eastAsia="Songti SC"/>
          <w:color w:val="000000"/>
          <w:sz w:val="22"/>
        </w:rPr>
        <w:t>Kawarada方法的公开入口为</w:t>
      </w:r>
      <w:hyperlink r:id="rId130">
        <w:r>
          <w:rPr>
            <w:color w:val="000000"/>
          </w:rPr>
          <w:t>am-as-text2text</w:t>
        </w:r>
      </w:hyperlink>
      <w:r>
        <w:rPr>
          <w:rFonts w:ascii="Times New Roman" w:hAnsi="Times New Roman" w:eastAsia="Songti SC"/>
          <w:color w:val="000000"/>
          <w:sz w:val="22"/>
        </w:rPr>
        <w:t>。当前说明使用T5／FLAN-T5及TANL接口，支持LoRA等配置，并明确CDCP转换模块不在仓库中。它提供实现入口，但当前代码配置不能自动等同于2024论文原始设置；正式运行需固定提交、补全数据转换并核对差异。</w:t>
      </w:r>
    </w:p>
    <w:p>
      <w:pPr>
        <w:spacing w:line="380" w:lineRule="exact"/>
      </w:pPr>
      <w:r>
        <w:rPr>
          <w:rFonts w:ascii="Times New Roman" w:hAnsi="Times New Roman" w:eastAsia="Songti SC"/>
          <w:color w:val="000000"/>
          <w:sz w:val="22"/>
        </w:rPr>
        <w:t>UniASA的</w:t>
      </w:r>
      <w:hyperlink r:id="rId131">
        <w:r>
          <w:rPr>
            <w:color w:val="000000"/>
          </w:rPr>
          <w:t>公开仓库</w:t>
        </w:r>
      </w:hyperlink>
      <w:r>
        <w:rPr>
          <w:rFonts w:ascii="Times New Roman" w:hAnsi="Times New Roman" w:eastAsia="Songti SC"/>
          <w:color w:val="000000"/>
          <w:sz w:val="22"/>
        </w:rPr>
        <w:t>提供AAEC、CDCP等数据处理及训练脚本；AAEC说明含标注修正，CDCP依赖graph_parser预处理。这使其具备较明确的起点，也要求保留本稿原生金标并记录转换损失，不能直接采用处理后分数代替完整超边评价。</w:t>
      </w:r>
      <w:hyperlink r:id="rId132">
        <w:r>
          <w:rPr>
            <w:color w:val="000000"/>
          </w:rPr>
          <w:t>GMAM仓库</w:t>
        </w:r>
      </w:hyperlink>
      <w:r>
        <w:rPr>
          <w:rFonts w:ascii="Times New Roman" w:hAnsi="Times New Roman" w:eastAsia="Songti SC"/>
          <w:color w:val="000000"/>
          <w:sz w:val="22"/>
        </w:rPr>
        <w:t>提供另一结构生成入口。</w:t>
      </w:r>
    </w:p>
    <w:p>
      <w:pPr>
        <w:spacing w:line="380" w:lineRule="exact"/>
      </w:pPr>
      <w:r>
        <w:rPr>
          <w:rFonts w:ascii="Times New Roman" w:hAnsi="Times New Roman" w:eastAsia="Songti SC"/>
          <w:color w:val="000000"/>
          <w:sz w:val="22"/>
        </w:rPr>
        <w:t>DENIM原文给出的代码地址为</w:t>
      </w:r>
      <w:hyperlink r:id="rId133">
        <w:r>
          <w:rPr>
            <w:color w:val="000000"/>
          </w:rPr>
          <w:t>syiswell/DENIM</w:t>
        </w:r>
      </w:hyperlink>
      <w:r>
        <w:rPr>
          <w:rFonts w:ascii="Times New Roman" w:hAnsi="Times New Roman" w:eastAsia="Songti SC"/>
          <w:color w:val="000000"/>
          <w:sz w:val="22"/>
        </w:rPr>
        <w:t>，近期合成论文给出</w:t>
      </w:r>
      <w:hyperlink r:id="rId134">
        <w:r>
          <w:rPr>
            <w:color w:val="000000"/>
          </w:rPr>
          <w:t>Synthetic-Data-for-Argument-Mining</w:t>
        </w:r>
      </w:hyperlink>
      <w:r>
        <w:rPr>
          <w:rFonts w:ascii="Times New Roman" w:hAnsi="Times New Roman" w:eastAsia="Songti SC"/>
          <w:color w:val="000000"/>
          <w:sz w:val="22"/>
        </w:rPr>
        <w:t>；本轮访问未取得可检查的仓库内容，因此仅确认论文所载地址，不标记环境可运行。QOS／DOS的</w:t>
      </w:r>
      <w:hyperlink r:id="rId135">
        <w:r>
          <w:rPr>
            <w:color w:val="000000"/>
          </w:rPr>
          <w:t>作者仓库</w:t>
        </w:r>
      </w:hyperlink>
      <w:r>
        <w:rPr>
          <w:rFonts w:ascii="Times New Roman" w:hAnsi="Times New Roman" w:eastAsia="Songti SC"/>
          <w:color w:val="000000"/>
          <w:sz w:val="22"/>
        </w:rPr>
        <w:t>用于核对两类合成入口；</w:t>
      </w:r>
      <w:hyperlink r:id="rId136">
        <w:r>
          <w:rPr>
            <w:color w:val="000000"/>
          </w:rPr>
          <w:t>AMELIA仓库</w:t>
        </w:r>
      </w:hyperlink>
      <w:r>
        <w:rPr>
          <w:rFonts w:ascii="Times New Roman" w:hAnsi="Times New Roman" w:eastAsia="Songti SC"/>
          <w:color w:val="000000"/>
          <w:sz w:val="22"/>
        </w:rPr>
        <w:t>所列分类任务用于说明输入边界。AASP、ARGUS的本轮记录以原文方法为限，不将未检查的代码写成已复现。</w:t>
      </w:r>
    </w:p>
    <w:p>
      <w:pPr>
        <w:spacing w:line="380" w:lineRule="exact"/>
      </w:pPr>
      <w:r>
        <w:rPr>
          <w:rFonts w:ascii="Times New Roman" w:hAnsi="Times New Roman" w:eastAsia="Songti SC"/>
          <w:color w:val="000000"/>
          <w:sz w:val="22"/>
        </w:rPr>
        <w:t>本稿未给出这些外部模型的同协议运行结果。Kawarada与UniASA作为优先表示审计入口；至少一种方法通过原生任务兼容性核查后，才能形成外部系统比较。GMAM、DENIM和动作模型仅作必要补充，QOS式适配不替代端到端外部对照。</w:t>
      </w:r>
    </w:p>
    <w:p>
      <w:pPr>
        <w:pStyle w:val="Heading2"/>
      </w:pPr>
      <w:r>
        <w:t>G.3 QOS式适配与本方法的差异</w:t>
      </w:r>
      <w:bookmarkStart w:id="152" w:name="v11_152"/>
      <w:bookmarkEnd w:id="152"/>
    </w:p>
    <w:p>
      <w:pPr>
        <w:pStyle w:val="TableCaption"/>
        <w:spacing w:line="380" w:lineRule="exact"/>
      </w:pPr>
      <w:r>
        <w:rPr>
          <w:rFonts w:ascii="Times New Roman" w:hAnsi="Times New Roman" w:eastAsia="Songti SC"/>
          <w:color w:val="000000"/>
          <w:sz w:val="21"/>
        </w:rPr>
        <w:t>表G-2 当前数据构造对照的适配范围</w:t>
      </w:r>
      <w:bookmarkStart w:id="216" w:name="v11_216"/>
      <w:bookmarkEnd w:id="21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458"/>
        <w:gridCol w:w="3969"/>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维度</w:t>
            </w:r>
          </w:p>
        </w:tc>
        <w:tc>
          <w:tcPr>
            <w:tcW w:type="dxa" w:w="34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QOS式适配</w:t>
            </w:r>
          </w:p>
        </w:tc>
        <w:tc>
          <w:tcPr>
            <w:tcW w:type="dxa" w:w="396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完整增强＋基础损失</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输入</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共同标注文档与槽位接口</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相同文档及关系影响域条件</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改写范围</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本稿固定槽位范围</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相同范围，检查内部与跨界因素</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标签检查</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槽位恢复及共同基础检查</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增加正关系／NONE影响域审核</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训练规模</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500、CDCP 900变体</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相同规模及增强token预算</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学习目标</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继承基础损失</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相同基础损失；不含新增头／成对项</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原文严格组件与完整关系</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相同原生评价器与独立文档</w:t>
            </w:r>
          </w:p>
        </w:tc>
      </w:tr>
    </w:tbl>
    <w:p>
      <w:pPr>
        <w:spacing w:after="0" w:line="240" w:lineRule="auto"/>
      </w:pPr>
    </w:p>
    <w:p>
      <w:pPr>
        <w:spacing w:line="380" w:lineRule="exact"/>
      </w:pPr>
      <w:r>
        <w:rPr>
          <w:rFonts w:ascii="Times New Roman" w:hAnsi="Times New Roman" w:eastAsia="Songti SC"/>
          <w:color w:val="000000"/>
          <w:sz w:val="22"/>
        </w:rPr>
        <w:t>这一定义控制T-B的数据构造比较，不声称复现原论文全部QOS、DOS及联合日程。完整T1另包含头监督与成对项；表3-6的同数据比较承担其学习增量。若追加原始QOS／DOS复现，原方法和本稿适配版本分别命名，生成器调用、合成样本与下游训练全部计费。</w:t>
      </w:r>
    </w:p>
    <w:p>
      <w:pPr>
        <w:pStyle w:val="Heading2"/>
      </w:pPr>
      <w:r>
        <w:t>G.4 外部系统接入与结果登记</w:t>
      </w:r>
      <w:bookmarkStart w:id="153" w:name="v11_153"/>
      <w:bookmarkEnd w:id="153"/>
    </w:p>
    <w:p>
      <w:pPr>
        <w:spacing w:line="380" w:lineRule="exact"/>
      </w:pPr>
      <w:r>
        <w:rPr>
          <w:rFonts w:ascii="Times New Roman" w:hAnsi="Times New Roman" w:eastAsia="Songti SC"/>
          <w:color w:val="000000"/>
          <w:sz w:val="22"/>
        </w:rPr>
        <w:t>先冻结原始文档ID、划分、评价分词器、类型和完整超边，再审计外部转换的每一步。AAEC原方法若将Claim stance并入组件标签，需同时保留其原任务结果与本稿映射结果；CDCP若拆分或收缩源集合，必须保留可逆来源，否则只进入兼容任务补充。不能借助测试金标为外部预测补回遗漏端点或合并出正确超边。</w:t>
      </w:r>
    </w:p>
    <w:p>
      <w:pPr>
        <w:spacing w:line="380" w:lineRule="exact"/>
      </w:pPr>
      <w:r>
        <w:rPr>
          <w:rFonts w:ascii="Times New Roman" w:hAnsi="Times New Roman" w:eastAsia="Songti SC"/>
          <w:color w:val="000000"/>
          <w:sz w:val="22"/>
        </w:rPr>
        <w:t>每个系统分别运行原配置核对轨与共同任务比较轨，记录代码提交、模型身份、额外数据、选择规则及全部失败文档。共同评价只比较可直接导出的原生完整对象；统一骨干可控时另做方法适配，不可控时解释为系统比较。若无法无损表达本稿任务，不把该方法放入严格主榜，也不以转换失败暗示其原任务能力较差。</w:t>
      </w:r>
    </w:p>
    <w:p>
      <w:pPr>
        <w:pStyle w:val="Heading1"/>
      </w:pPr>
      <w:r>
        <w:t>附录H 关键诊断与综合证据记录</w:t>
      </w:r>
      <w:bookmarkStart w:id="154" w:name="v11_154"/>
      <w:bookmarkEnd w:id="154"/>
    </w:p>
    <w:p>
      <w:pPr>
        <w:pStyle w:val="Heading2"/>
      </w:pPr>
      <w:r>
        <w:t>H.1 训练侧问题规模与初始错误的诊断设计</w:t>
      </w:r>
      <w:bookmarkStart w:id="155" w:name="v11_155"/>
      <w:bookmarkEnd w:id="155"/>
    </w:p>
    <w:p>
      <w:pPr>
        <w:spacing w:line="380" w:lineRule="exact"/>
      </w:pPr>
      <w:r>
        <w:rPr>
          <w:rFonts w:ascii="Times New Roman" w:hAnsi="Times New Roman" w:eastAsia="Songti SC"/>
          <w:color w:val="000000"/>
          <w:sz w:val="22"/>
        </w:rPr>
        <w:t>增强诊断按语料在训练侧持出组固定抽取40篇源文档，按文档长度与金标关系数的中位数交叉分层，层内随机抽取；不足的层取全量并记录实际文档数。先固定普通改写生成池，每篇最多4次尝试。内部正、跨界正、内部NONE、跨界NONE分别抽至200个可审因素，若不足则全取，报告实际分母；同一变体允许多个因素，但保留源文档与变体ID，按文档而非因素独立重采样。</w:t>
      </w:r>
    </w:p>
    <w:p>
      <w:pPr>
        <w:spacing w:line="380" w:lineRule="exact"/>
      </w:pPr>
      <w:r>
        <w:rPr>
          <w:rFonts w:ascii="Times New Roman" w:hAnsi="Times New Roman" w:eastAsia="Songti SC"/>
          <w:color w:val="000000"/>
          <w:sz w:val="22"/>
        </w:rPr>
        <w:t>原文与改写文并排审阅，审阅者不看方法名及接受标志；两人独立判断并保留分歧，经裁决形成因素标签。接受／拒绝分层用于筛选诊断，不能替代未筛生成池的问题发生率。方法选择使用训练侧材料，独立评价仅验证冻结结论。开发诊断完成后按2.6节重新生成正式OOF记录，保持拟合、校准及策略角色隔离。审计至少记录四层的文档数、变体数、因素数和漂移数，等层均值与按原池构成加权值分别报告。</w:t>
      </w:r>
    </w:p>
    <w:p>
      <w:pPr>
        <w:spacing w:line="380" w:lineRule="exact"/>
      </w:pPr>
      <w:r>
        <w:rPr>
          <w:rFonts w:ascii="Times New Roman" w:hAnsi="Times New Roman" w:eastAsia="Songti SC"/>
          <w:color w:val="000000"/>
          <w:sz w:val="22"/>
        </w:rPr>
        <w:t>初始预测诊断复用训练侧OOF记录。组件先按严格键命中，再配对同跨度异类型对象；剩余对象按token交并比降序、坐标顺序破同分进行一对一配对，交并比阈值在训练侧预定为0.5，仅用于描述边界误差，完全不改主评价。未配对金标记遗漏，未配对预测记多检。关系同时记录“全部端点正确”“至少一个端点错误”及关系标签／方向状态；候选覆盖另作交叉维度，不能把各维度相加为因果比例。</w:t>
      </w:r>
    </w:p>
    <w:p>
      <w:pPr>
        <w:pStyle w:val="Heading2"/>
      </w:pPr>
      <w:r>
        <w:t>H.2 表达变化、源覆盖与资源轨道</w:t>
      </w:r>
      <w:bookmarkStart w:id="156" w:name="v11_156"/>
      <w:bookmarkEnd w:id="156"/>
    </w:p>
    <w:p>
      <w:pPr>
        <w:spacing w:line="380" w:lineRule="exact"/>
      </w:pPr>
      <w:r>
        <w:rPr>
          <w:rFonts w:ascii="Times New Roman" w:hAnsi="Times New Roman" w:eastAsia="Songti SC"/>
          <w:color w:val="000000"/>
          <w:sz w:val="22"/>
        </w:rPr>
        <w:t>非复制在仅作Unicode NFC及换行规范化后比较允许改写的组件文本，保留大小写、否定和标点。所有可解析变体为分母，只要一个允许槽位与原文不同即为非复制；生成池与接受池分别报告，解析失败数以全部尝试为分母另列。跨变体重复和完全复制另存标志，避免把反复生成同一个新句子视为高多样性。</w:t>
      </w:r>
    </w:p>
    <w:p>
      <w:pPr>
        <w:spacing w:line="380" w:lineRule="exact"/>
      </w:pPr>
      <w:r>
        <w:rPr>
          <w:rFonts w:ascii="Times New Roman" w:hAnsi="Times New Roman" w:eastAsia="Songti SC"/>
          <w:color w:val="000000"/>
          <w:sz w:val="22"/>
        </w:rPr>
        <w:t>规范化编辑距离采用固定评价分词器。对同一变体的各改写槽位，分别计算Levenshtein距离，再将距离之和除以各槽位原、新token长度较大值之和；不拼接跨槽边界，不纳入未允许改写的全文区域。分母为0时记0并单列空槽异常。报告中位数、四分位区间和零值比例，源文档为重采样单位。两项指标度量字面变化，不等于语义多样性或标签正确性。</w:t>
      </w:r>
    </w:p>
    <w:p>
      <w:pPr>
        <w:spacing w:line="380" w:lineRule="exact"/>
      </w:pPr>
      <w:r>
        <w:rPr>
          <w:rFonts w:ascii="Times New Roman" w:hAnsi="Times New Roman" w:eastAsia="Songti SC"/>
          <w:color w:val="000000"/>
          <w:sz w:val="22"/>
        </w:rPr>
        <w:t>接受覆盖按源文档统计，复用H.1的长度与关系复杂度分层，同时保留每个变体实际受检因素数。沿用文档、变体和因素三个分母，并列观察接受覆盖、字面变化与漂移，不另造综合评分。任何因素失败即拒绝的规则可能使受检因素多的文档更难通过；需要看同层内是否仍有这种趋势，不能从低漂移率直接排除，也不能从聚合相关性认定审核是唯一原因。显式／隐式关系只在标注依据可复核时作为附加描述，不为增加切片而填造标签。任务收益仍由既有两组比较判断：同基础损失比较增强构造，同增强集合比较头监督与成对项；编辑距离本身不证明任务有用的多样性。</w:t>
      </w:r>
    </w:p>
    <w:p>
      <w:pPr>
        <w:spacing w:line="380" w:lineRule="exact"/>
      </w:pPr>
      <w:r>
        <w:rPr>
          <w:rFonts w:ascii="Times New Roman" w:hAnsi="Times New Roman" w:eastAsia="Songti SC"/>
          <w:color w:val="000000"/>
          <w:sz w:val="22"/>
        </w:rPr>
        <w:t>表H-1保留旧情景的固定尝试轨训练成本。它不进入匹配训练规模主结果的成本比较；正式训练需为两轨各自登记变体清单、增强token、实际更新数、设备小时和峰值显存。</w:t>
      </w:r>
    </w:p>
    <w:p>
      <w:pPr>
        <w:pStyle w:val="TableCaption"/>
        <w:spacing w:line="380" w:lineRule="exact"/>
      </w:pPr>
      <w:r>
        <w:rPr>
          <w:rFonts w:ascii="Times New Roman" w:hAnsi="Times New Roman" w:eastAsia="Songti SC"/>
          <w:color w:val="000000"/>
          <w:sz w:val="21"/>
        </w:rPr>
        <w:t>表H-1 固定尝试轨训练成本存档（人工情景）</w:t>
      </w:r>
      <w:bookmarkStart w:id="217" w:name="v11_217"/>
      <w:bookmarkEnd w:id="21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4649"/>
        <w:gridCol w:w="4252"/>
      </w:tblGrid>
      <w:tr>
        <w:trPr>
          <w:cantSplit/>
          <w:tblHeader/>
        </w:trPr>
        <w:tc>
          <w:tcPr>
            <w:tcW w:type="dxa" w:w="464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425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训练GPU小时</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1.46</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1.79</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2.32</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pStyle w:val="Heading2"/>
      </w:pPr>
      <w:r>
        <w:t>H.3 候选规模、共同预算与求解状态</w:t>
      </w:r>
      <w:bookmarkStart w:id="157" w:name="v11_157"/>
      <w:bookmarkEnd w:id="157"/>
    </w:p>
    <w:p>
      <w:pPr>
        <w:spacing w:line="380" w:lineRule="exact"/>
      </w:pPr>
      <w:r>
        <w:rPr>
          <w:rFonts w:ascii="Times New Roman" w:hAnsi="Times New Roman" w:eastAsia="Songti SC"/>
          <w:color w:val="000000"/>
          <w:sz w:val="22"/>
        </w:rPr>
        <w:t>资源探测逐文档保存保护跨度数、补充跨度数、去重后跨度数、带类型组件数、裁剪前槽位数、正标签评分对象数、批次数、裁剪后槽位数，以及各阶段时间和峰值内存。槽位与标签对象分别计数，受保护与补充部分记录交集，不能重复相加。资源阈值依据训练侧探测及设备容量设定，连同探测文档ID冻结；预检失败、评分失败、无可行解和超时分别编码，所有独立评价文档保留在分母内。</w:t>
      </w:r>
    </w:p>
    <w:p>
      <w:pPr>
        <w:spacing w:line="380" w:lineRule="exact"/>
      </w:pPr>
      <w:r>
        <w:rPr>
          <w:rFonts w:ascii="Times New Roman" w:hAnsi="Times New Roman" w:eastAsia="Songti SC"/>
          <w:color w:val="000000"/>
          <w:sz w:val="22"/>
        </w:rPr>
        <w:t>等求解预算轨以表2-2的3秒／5秒为基准，预定0.5、1、2倍三个逐文档总额度，大预算全局行另作补充。图规模按训练侧带类型组件数和裁剪前槽位数分别确定三分位切点，测试只应用固定切点。等端到端轨另按共同准备时间的训练侧P95加基准求解额度确定基准时限，并比较相同倍数；计时自读取文档后开始，包含生成、枚举、评分、提议构造、全部拒绝、求解和提交。输入无法在时限内完成准备也计失败，不把它从速度表排除。</w:t>
      </w:r>
    </w:p>
    <w:p>
      <w:pPr>
        <w:spacing w:line="380" w:lineRule="exact"/>
      </w:pPr>
      <w:r>
        <w:rPr>
          <w:rFonts w:ascii="Times New Roman" w:hAnsi="Times New Roman" w:eastAsia="Songti SC"/>
          <w:color w:val="000000"/>
          <w:sz w:val="22"/>
        </w:rPr>
        <w:t>共同候选与评分缓存可以复用，但单文档比较须向双方计入相同冷缓存准备成本；热缓存吞吐另报，不能只向一方计费。分别报告平均、P95、超时率、返回完整可行图的比例、无incumbent率、F1、初始TP损失与新FP。局部和全局都提供从初始图出发的可行回退，求解器无incumbent与系统能返回回退图是不同事件。</w:t>
      </w:r>
    </w:p>
    <w:p>
      <w:pPr>
        <w:spacing w:line="380" w:lineRule="exact"/>
      </w:pPr>
      <w:r>
        <w:rPr>
          <w:rFonts w:ascii="Times New Roman" w:hAnsi="Times New Roman" w:eastAsia="Songti SC"/>
          <w:color w:val="000000"/>
          <w:sz w:val="22"/>
        </w:rPr>
        <w:t>每次最大化求解保存status、incumbent效用、有效上界、绝对gap和求解器定义的相对gap，缺失值保持缺失并注明原因；最优性只采用求解器证书或已证明状态，不由时限长短推断。局部子问题的界不拼成整图全局界。只有已验证包含关系的同目标全局上界，才能用于限制局部终态效用，仍不构成真实F1上界。</w:t>
      </w:r>
    </w:p>
    <w:p>
      <w:pPr>
        <w:spacing w:line="380" w:lineRule="exact"/>
      </w:pPr>
      <w:r>
        <w:rPr>
          <w:rFonts w:ascii="Times New Roman" w:hAnsi="Times New Roman" w:eastAsia="Songti SC"/>
          <w:color w:val="000000"/>
          <w:sz w:val="22"/>
        </w:rPr>
        <w:t>为区分资源失败与搜索效果，预检失败同时报告其文档比例及对应金标数量；若对象尚未完成枚举，潜在可恢复覆盖保持未知，不能填成0或从成功文档外推。局部累计预算与全局净预算的差别沿用4.6.1的可行域说明，共同候选、评分和时限不等于相同可达域。</w:t>
      </w:r>
    </w:p>
    <w:p>
      <w:pPr>
        <w:spacing w:line="380" w:lineRule="exact"/>
      </w:pPr>
      <w:r>
        <w:rPr>
          <w:rFonts w:ascii="Times New Roman" w:hAnsi="Times New Roman" w:eastAsia="Songti SC"/>
          <w:color w:val="000000"/>
          <w:sz w:val="22"/>
        </w:rPr>
        <w:t>现有人工情景的平均与P95耗时是设定输入，不是从真实逐文档延迟计算的尾分位，也没有真实求解证书。新预算轨和规模分组在取得日志前只作为协议，不补填超时率、gap或可行解覆盖。</w:t>
      </w:r>
    </w:p>
    <w:p>
      <w:pPr>
        <w:pStyle w:val="Heading2"/>
      </w:pPr>
      <w:r>
        <w:t>H.4 四格对象、恢复阻断与案例</w:t>
      </w:r>
      <w:bookmarkStart w:id="158" w:name="v11_158"/>
      <w:bookmarkEnd w:id="158"/>
    </w:p>
    <w:p>
      <w:pPr>
        <w:spacing w:line="380" w:lineRule="exact"/>
      </w:pPr>
      <w:r>
        <w:rPr>
          <w:rFonts w:ascii="Times New Roman" w:hAnsi="Times New Roman" w:eastAsia="Songti SC"/>
          <w:color w:val="000000"/>
          <w:sz w:val="22"/>
        </w:rPr>
        <w:t>对象重叠以相同原文上的完整语义键对齐。记</w:t>
      </w:r>
      <m:oMath>
        <m:sSub>
          <m:e>
            <m:r>
              <m:t xml:space="preserve">P</m:t>
            </m:r>
          </m:e>
          <m:sub>
            <m:r>
              <m:t xml:space="preserve">t</m:t>
            </m:r>
            <m:r>
              <m:t xml:space="preserve">i</m:t>
            </m:r>
          </m:sub>
        </m:sSub>
      </m:oMath>
      <w:r>
        <w:rPr>
          <w:rFonts w:ascii="Times New Roman" w:hAnsi="Times New Roman" w:eastAsia="Songti SC"/>
          <w:color w:val="000000"/>
          <w:sz w:val="22"/>
        </w:rPr>
        <w:t>为四格中的预测对象集合，</w:t>
      </w:r>
      <m:oMath>
        <m:r>
          <m:t xml:space="preserve">Ω</m:t>
        </m:r>
      </m:oMath>
      <w:r>
        <w:rPr>
          <w:rFonts w:ascii="Times New Roman" w:hAnsi="Times New Roman" w:eastAsia="Songti SC"/>
          <w:color w:val="000000"/>
          <w:sz w:val="22"/>
        </w:rPr>
        <w:t>为金标，训练新命中集合为</w:t>
      </w:r>
      <m:oMath>
        <m:sSub>
          <m:e>
            <m:r>
              <m:t xml:space="preserve">R</m:t>
            </m:r>
          </m:e>
          <m:sub>
            <m:r>
              <m:t xml:space="preserve">T</m:t>
            </m:r>
          </m:sub>
        </m:sSub>
        <m:r>
          <m:t xml:space="preserve">=</m:t>
        </m:r>
        <m:r>
          <m:t xml:space="preserve">(</m:t>
        </m:r>
        <m:sSub>
          <m:e>
            <m:r>
              <m:t xml:space="preserve">P</m:t>
            </m:r>
          </m:e>
          <m:sub>
            <m:r>
              <m:t xml:space="preserve">1</m:t>
            </m:r>
            <m:r>
              <m:t xml:space="preserve">0</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，仅修正新命中为</w:t>
      </w:r>
      <m:oMath>
        <m:sSub>
          <m:e>
            <m:r>
              <m:t xml:space="preserve">R</m:t>
            </m:r>
          </m:e>
          <m:sub>
            <m:r>
              <m:t xml:space="preserve">I</m:t>
            </m:r>
          </m:sub>
        </m:sSub>
        <m:r>
          <m:t xml:space="preserve">=</m:t>
        </m:r>
        <m:r>
          <m:t xml:space="preserve">(</m:t>
        </m:r>
        <m:sSub>
          <m:e>
            <m:r>
              <m:t xml:space="preserve">P</m:t>
            </m:r>
          </m:e>
          <m:sub>
            <m:r>
              <m:t xml:space="preserve">0</m:t>
            </m:r>
            <m:r>
              <m:t xml:space="preserve">1</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。二者交集表示共同修复，差集分别表示独有修复；再检查完整组合新增命中中未被两种单阶段覆盖的对象，以及</w:t>
      </w:r>
      <m:oMath>
        <m:r>
          <m:t xml:space="preserve">Ω</m:t>
        </m:r>
        <m:r>
          <m:t xml:space="preserve">∖</m:t>
        </m:r>
        <m:sSub>
          <m:e>
            <m:r>
              <m:t xml:space="preserve">P</m:t>
            </m:r>
          </m:e>
          <m:sub>
            <m:r>
              <m:t xml:space="preserve">1</m:t>
            </m:r>
            <m:r>
              <m:t xml:space="preserve">1</m:t>
            </m:r>
          </m:sub>
        </m:sSub>
      </m:oMath>
      <w:r>
        <w:rPr>
          <w:rFonts w:ascii="Times New Roman" w:hAnsi="Times New Roman" w:eastAsia="Songti SC"/>
          <w:color w:val="000000"/>
          <w:sz w:val="22"/>
        </w:rPr>
        <w:t>中的剩余遗漏。原有正确对象被组合破坏、T1正确对象被I1破坏也分别登记，新增错误关系与移除错误关系单列。</w:t>
      </w:r>
    </w:p>
    <w:p>
      <w:pPr>
        <w:spacing w:line="380" w:lineRule="exact"/>
      </w:pPr>
      <w:r>
        <w:rPr>
          <w:rFonts w:ascii="Times New Roman" w:hAnsi="Times New Roman" w:eastAsia="Songti SC"/>
          <w:color w:val="000000"/>
          <w:sz w:val="22"/>
        </w:rPr>
        <w:t>优先复用同一批四格输出完成一项对象级分析，不要求共同修复少、独有修复多或交互显著为正。训练影响初始错误、候选与评分的深层分解作为进一步分析：先在同一文档上连接初始错误、覆盖与最终对象，再在共同提案集合上检查评分。缺少受控比较时不作单路径归因，也不必为每条可能路径新增一个正文小节。</w:t>
      </w:r>
    </w:p>
    <w:p>
      <w:pPr>
        <w:spacing w:line="380" w:lineRule="exact"/>
      </w:pPr>
      <w:r>
        <w:rPr>
          <w:rFonts w:ascii="Times New Roman" w:hAnsi="Times New Roman" w:eastAsia="Songti SC"/>
          <w:color w:val="000000"/>
          <w:sz w:val="22"/>
        </w:rPr>
        <w:t>四格每个预测对象保存语料、文档ID、种子、配置、原文规范坐标、组件类型及关系完整端点与标签。金标与预测都按共同语义键形成集合，先验证四格文档集合及评价身份完全一致，再生成共同修复、各自独有修复、组合新增、仍遗漏与新破坏的清单。关系新FP、已移除FP独立记录，不把TP增加解释为所有错误减少。每个清单保留对象键及源运行身份，以供原文核查。</w:t>
      </w:r>
    </w:p>
    <w:p>
      <w:pPr>
        <w:spacing w:line="380" w:lineRule="exact"/>
      </w:pPr>
      <w:r>
        <w:rPr>
          <w:rFonts w:ascii="Times New Roman" w:hAnsi="Times New Roman" w:eastAsia="Songti SC"/>
          <w:color w:val="000000"/>
          <w:sz w:val="22"/>
        </w:rPr>
        <w:t>恢复失败按组件候选、完整槽位、动作、队列、执行资源、接受门的顺序取首个阻断；动作不可表达需要穷尽声明邻域或给出规则证据，未搜索到不能直接判定不可达。附加标志保留评分异常、超时等并发原因。保护长超边与新建长超边分别以初始命中／遗漏金标为分母，并报告其他候选图提供的长槽位来源；0样本组不计算F1或成功率。</w:t>
      </w:r>
    </w:p>
    <w:p>
      <w:pPr>
        <w:spacing w:line="380" w:lineRule="exact"/>
      </w:pPr>
      <w:r>
        <w:rPr>
          <w:rFonts w:ascii="Times New Roman" w:hAnsi="Times New Roman" w:eastAsia="Songti SC"/>
          <w:color w:val="000000"/>
          <w:sz w:val="22"/>
        </w:rPr>
        <w:t>完整案例采用附录B.5的原文、金标、初始与最终对象和事务轨迹。选择规则在看结论前固定：覆盖成功恢复、错误接受、错误拒绝及最常见阻断类型，每类按预定文档排序取例，并与总体频数并列。教学例只解释机制，人工片段不能更名为实际运行案例。</w:t>
      </w:r>
    </w:p>
    <w:p>
      <w:pPr>
        <w:pStyle w:val="Heading2"/>
      </w:pPr>
      <w:r>
        <w:t>H.5 核心验证缺口与推进顺序</w:t>
      </w:r>
      <w:bookmarkStart w:id="159" w:name="v11_159"/>
      <w:bookmarkEnd w:id="159"/>
    </w:p>
    <w:p>
      <w:pPr>
        <w:spacing w:line="380" w:lineRule="exact"/>
      </w:pPr>
      <w:r>
        <w:rPr>
          <w:rFonts w:ascii="Times New Roman" w:hAnsi="Times New Roman" w:eastAsia="Songti SC"/>
          <w:color w:val="000000"/>
          <w:sz w:val="22"/>
        </w:rPr>
        <w:t>以下为尚未完成的核心验证，不能仅靠润色关闭。第一阶段使用有限固定真实文档，取得关系漂移、实际表达变化与源覆盖，并测量裁剪前枚举、完整评分和局部／全局求解的资源，失败文档保留。若漂移少、严格审核主要排斥复杂文档，或局部收益不足以抵偿复杂度，先收缩主张、简化设计。</w:t>
      </w:r>
    </w:p>
    <w:p>
      <w:pPr>
        <w:spacing w:line="380" w:lineRule="exact"/>
      </w:pPr>
      <w:r>
        <w:rPr>
          <w:rFonts w:ascii="Times New Roman" w:hAnsi="Times New Roman" w:eastAsia="Songti SC"/>
          <w:color w:val="000000"/>
          <w:sz w:val="22"/>
        </w:rPr>
        <w:t>局部方案的定位依据真实结果三选一：在尾延迟、资源限制或明确逐步变更要求下稳定获益时保留为主方案；只对特定子集有用时作为条件选项；若全局更适合目标场景，则以依赖闭合结构恢复为框架比较两种求解选择，或简化局部设计。当前没有证据选择其中一种；日志可追溯并非局部独占优势，声称变更可控时须给出具体约束和实际表现。</w:t>
      </w:r>
    </w:p>
    <w:p>
      <w:pPr>
        <w:spacing w:line="380" w:lineRule="exact"/>
      </w:pPr>
      <w:r>
        <w:rPr>
          <w:rFonts w:ascii="Times New Roman" w:hAnsi="Times New Roman" w:eastAsia="Songti SC"/>
          <w:color w:val="000000"/>
          <w:sz w:val="22"/>
        </w:rPr>
        <w:t>第二阶段只完成支撑主要主张的比较：固定学习目标比较增强构造，固定增强集合比较学习项，完成至少一个可解释的原生外部系统对照，以及共同条件下的推理和四格运行。每项核心贡献有直接比较与机制解释后停止横向扩张，保留不利结果，不为追求显著性追加切片。</w:t>
      </w:r>
    </w:p>
    <w:p>
      <w:pPr>
        <w:spacing w:line="380" w:lineRule="exact"/>
      </w:pPr>
      <w:r>
        <w:rPr>
          <w:rFonts w:ascii="Times New Roman" w:hAnsi="Times New Roman" w:eastAsia="Songti SC"/>
          <w:color w:val="000000"/>
          <w:sz w:val="22"/>
        </w:rPr>
        <w:t>第三阶段复用同一批输出，形成至少一项对象级综合认识及少量同文档真实前后案例，再以结果替换诊断方案。若第五章仍缺独立内容，压缩相应小节；不以更多集合定义代替发现。</w:t>
      </w:r>
    </w:p>
    <w:p>
      <w:pPr>
        <w:spacing w:line="380" w:lineRule="exact"/>
      </w:pPr>
      <w:r>
        <w:rPr>
          <w:rFonts w:ascii="Times New Roman" w:hAnsi="Times New Roman" w:eastAsia="Songti SC"/>
          <w:color w:val="000000"/>
          <w:sz w:val="22"/>
        </w:rPr>
        <w:t>正式替换同时更新表、图、区间、摘要、结论及模拟标识。文档排版、公式一致和人工计数复算仍作为质量检查保存；它们不计入真实训练或求解次数。历史附录E及本模拟版本继续存档。</w:t>
      </w:r>
    </w:p>
    <w:sectPr>
      <w:headerReference w:type="default" r:id="rId143"/>
      <w:footerReference w:type="default" r:id="rId144"/>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60" w:line="320" w:lineRule="exact" w:before="120"/>
      <w:ind w:left="0" w:right="510" w:firstLine="0"/>
    </w:pPr>
    <w:rPr>
      <w:b/>
      <w:color w:val="000000"/>
      <w:sz w:val="22"/>
    </w:rPr>
  </w:style>
  <w:style w:type="paragraph" w:customStyle="1" w:styleId="TOC2">
    <w:name w:val="TOC 2"/>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20" w:line="320" w:lineRule="exact"/>
      <w:ind w:left="283" w:right="510" w:firstLine="0"/>
    </w:pPr>
    <w:rPr>
      <w:b w:val="0"/>
      <w:color w:val="000000"/>
      <w:sz w:val="22"/>
    </w:rPr>
  </w:style>
  <w:style w:type="paragraph" w:customStyle="1" w:styleId="TOC3">
    <w:name w:val="TOC 3"/>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20" w:line="320" w:lineRule="exact"/>
      <w:ind w:left="567" w:right="510" w:firstLine="0"/>
    </w:pPr>
    <w:rPr>
      <w:b w:val="0"/>
      <w:color w:val="000000"/>
      <w:sz w:val="22"/>
    </w:rPr>
  </w:style>
  <w:style w:type="paragraph" w:customStyle="1" w:styleId="FigureList">
    <w:name w:val="Figure List"/>
    <w:basedOn w:val="TOC1"/>
    <w:pPr>
      <w:keepNext w:val="0"/>
      <w:spacing w:before="0"/>
    </w:pPr>
  </w:style>
  <w:style w:type="paragraph" w:customStyle="1" w:styleId="TableList">
    <w:name w:val="Table List"/>
    <w:basedOn w:val="TOC1"/>
    <w:pPr>
      <w:keepNext w:val="0"/>
      <w:spacing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header" Target="header9.xml"/><Relationship Id="rId82" Type="http://schemas.openxmlformats.org/officeDocument/2006/relationships/footer" Target="footer9.xml"/><Relationship Id="rId83" Type="http://schemas.openxmlformats.org/officeDocument/2006/relationships/header" Target="header10.xml"/><Relationship Id="rId84" Type="http://schemas.openxmlformats.org/officeDocument/2006/relationships/footer" Target="footer10.xml"/><Relationship Id="rId85" Type="http://schemas.openxmlformats.org/officeDocument/2006/relationships/header" Target="header11.xml"/><Relationship Id="rId86" Type="http://schemas.openxmlformats.org/officeDocument/2006/relationships/footer" Target="footer11.xml"/><Relationship Id="rId87" Type="http://schemas.openxmlformats.org/officeDocument/2006/relationships/header" Target="header12.xml"/><Relationship Id="rId88" Type="http://schemas.openxmlformats.org/officeDocument/2006/relationships/footer" Target="footer12.xml"/><Relationship Id="rId89" Type="http://schemas.openxmlformats.org/officeDocument/2006/relationships/header" Target="header13.xml"/><Relationship Id="rId90" Type="http://schemas.openxmlformats.org/officeDocument/2006/relationships/footer" Target="footer13.xml"/><Relationship Id="rId91" Type="http://schemas.openxmlformats.org/officeDocument/2006/relationships/header" Target="header14.xml"/><Relationship Id="rId92" Type="http://schemas.openxmlformats.org/officeDocument/2006/relationships/footer" Target="footer14.xml"/><Relationship Id="rId93" Type="http://schemas.openxmlformats.org/officeDocument/2006/relationships/image" Target="media/image11.png"/><Relationship Id="rId94" Type="http://schemas.openxmlformats.org/officeDocument/2006/relationships/image" Target="media/image12.png"/><Relationship Id="rId95" Type="http://schemas.openxmlformats.org/officeDocument/2006/relationships/header" Target="header15.xml"/><Relationship Id="rId96" Type="http://schemas.openxmlformats.org/officeDocument/2006/relationships/footer" Target="footer15.xml"/><Relationship Id="rId97" Type="http://schemas.openxmlformats.org/officeDocument/2006/relationships/header" Target="header16.xml"/><Relationship Id="rId98" Type="http://schemas.openxmlformats.org/officeDocument/2006/relationships/footer" Target="footer16.xml"/><Relationship Id="rId99" Type="http://schemas.openxmlformats.org/officeDocument/2006/relationships/image" Target="media/image13.png"/><Relationship Id="rId100" Type="http://schemas.openxmlformats.org/officeDocument/2006/relationships/header" Target="header17.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footer" Target="footer18.xml"/><Relationship Id="rId104" Type="http://schemas.openxmlformats.org/officeDocument/2006/relationships/image" Target="media/image14.png"/><Relationship Id="rId105" Type="http://schemas.openxmlformats.org/officeDocument/2006/relationships/image" Target="media/image15.png"/><Relationship Id="rId106" Type="http://schemas.openxmlformats.org/officeDocument/2006/relationships/image" Target="media/image16.png"/><Relationship Id="rId107" Type="http://schemas.openxmlformats.org/officeDocument/2006/relationships/image" Target="media/image17.png"/><Relationship Id="rId108" Type="http://schemas.openxmlformats.org/officeDocument/2006/relationships/image" Target="media/image18.png"/><Relationship Id="rId109" Type="http://schemas.openxmlformats.org/officeDocument/2006/relationships/image" Target="media/image19.png"/><Relationship Id="rId110" Type="http://schemas.openxmlformats.org/officeDocument/2006/relationships/image" Target="media/image20.png"/><Relationship Id="rId111" Type="http://schemas.openxmlformats.org/officeDocument/2006/relationships/image" Target="media/image21.png"/><Relationship Id="rId112" Type="http://schemas.openxmlformats.org/officeDocument/2006/relationships/image" Target="media/image22.png"/><Relationship Id="rId113" Type="http://schemas.openxmlformats.org/officeDocument/2006/relationships/image" Target="media/image23.png"/><Relationship Id="rId114" Type="http://schemas.openxmlformats.org/officeDocument/2006/relationships/image" Target="media/image24.png"/><Relationship Id="rId115" Type="http://schemas.openxmlformats.org/officeDocument/2006/relationships/header" Target="header19.xml"/><Relationship Id="rId116" Type="http://schemas.openxmlformats.org/officeDocument/2006/relationships/footer" Target="footer19.xml"/><Relationship Id="rId117" Type="http://schemas.openxmlformats.org/officeDocument/2006/relationships/header" Target="header20.xml"/><Relationship Id="rId118" Type="http://schemas.openxmlformats.org/officeDocument/2006/relationships/footer" Target="footer20.xml"/><Relationship Id="rId119" Type="http://schemas.openxmlformats.org/officeDocument/2006/relationships/header" Target="header21.xml"/><Relationship Id="rId120" Type="http://schemas.openxmlformats.org/officeDocument/2006/relationships/footer" Target="footer21.xml"/><Relationship Id="rId121" Type="http://schemas.openxmlformats.org/officeDocument/2006/relationships/header" Target="header22.xml"/><Relationship Id="rId122" Type="http://schemas.openxmlformats.org/officeDocument/2006/relationships/footer" Target="footer22.xml"/><Relationship Id="rId123" Type="http://schemas.openxmlformats.org/officeDocument/2006/relationships/image" Target="media/image25.png"/><Relationship Id="rId124" Type="http://schemas.openxmlformats.org/officeDocument/2006/relationships/image" Target="media/image26.png"/><Relationship Id="rId125" Type="http://schemas.openxmlformats.org/officeDocument/2006/relationships/image" Target="media/image27.png"/><Relationship Id="rId126" Type="http://schemas.openxmlformats.org/officeDocument/2006/relationships/image" Target="media/image28.png"/><Relationship Id="rId127" Type="http://schemas.openxmlformats.org/officeDocument/2006/relationships/hyperlink" Target="https://aclanthology.org/2022.emnlp-main.713/" TargetMode="External"/><Relationship Id="rId128" Type="http://schemas.openxmlformats.org/officeDocument/2006/relationships/hyperlink" Target="https://aclanthology.org/2025.cl-3.2/" TargetMode="External"/><Relationship Id="rId129" Type="http://schemas.openxmlformats.org/officeDocument/2006/relationships/hyperlink" Target="https://arxiv.org/abs/2610.07699v1" TargetMode="External"/><Relationship Id="rId130" Type="http://schemas.openxmlformats.org/officeDocument/2006/relationships/hyperlink" Target="https://github.com/masayouk/am-as-text2text" TargetMode="External"/><Relationship Id="rId131" Type="http://schemas.openxmlformats.org/officeDocument/2006/relationships/hyperlink" Target="https://github.com/HITSZ-HLT/UniASA" TargetMode="External"/><Relationship Id="rId132" Type="http://schemas.openxmlformats.org/officeDocument/2006/relationships/hyperlink" Target="https://github.com/HITSZ-HLT/GMAM" TargetMode="External"/><Relationship Id="rId133" Type="http://schemas.openxmlformats.org/officeDocument/2006/relationships/hyperlink" Target="https://github.com/syiswell/DENIM" TargetMode="External"/><Relationship Id="rId134" Type="http://schemas.openxmlformats.org/officeDocument/2006/relationships/hyperlink" Target="https://github.com/ZhangZJ-GH/Synthetic-Data-for-Argument-Mining" TargetMode="External"/><Relationship Id="rId135" Type="http://schemas.openxmlformats.org/officeDocument/2006/relationships/hyperlink" Target="https://github.com/YuqiHuang2003/QOS_DOS" TargetMode="External"/><Relationship Id="rId136" Type="http://schemas.openxmlformats.org/officeDocument/2006/relationships/hyperlink" Target="https://github.com/brunoyun/amelia" TargetMode="External"/><Relationship Id="rId137" Type="http://schemas.openxmlformats.org/officeDocument/2006/relationships/header" Target="header23.xml"/><Relationship Id="rId138" Type="http://schemas.openxmlformats.org/officeDocument/2006/relationships/footer" Target="footer23.xml"/><Relationship Id="rId139" Type="http://schemas.openxmlformats.org/officeDocument/2006/relationships/header" Target="header24.xml"/><Relationship Id="rId140" Type="http://schemas.openxmlformats.org/officeDocument/2006/relationships/footer" Target="footer24.xml"/><Relationship Id="rId141" Type="http://schemas.openxmlformats.org/officeDocument/2006/relationships/header" Target="header25.xml"/><Relationship Id="rId142" Type="http://schemas.openxmlformats.org/officeDocument/2006/relationships/footer" Target="footer25.xml"/><Relationship Id="rId143" Type="http://schemas.openxmlformats.org/officeDocument/2006/relationships/header" Target="header26.xml"/><Relationship Id="rId144" Type="http://schemas.openxmlformats.org/officeDocument/2006/relationships/footer" Target="footer26.xml"/><Relationship Id="rId145" Type="http://schemas.openxmlformats.org/officeDocument/2006/relationships/image" Target="media/image29.png"/><Relationship Id="rId146" Type="http://schemas.openxmlformats.org/officeDocument/2006/relationships/image" Target="media/image30.png"/><Relationship Id="rId147" Type="http://schemas.openxmlformats.org/officeDocument/2006/relationships/image" Target="media/image31.png"/><Relationship Id="rId148" Type="http://schemas.openxmlformats.org/officeDocument/2006/relationships/image" Target="media/image32.png"/><Relationship Id="rId149" Type="http://schemas.openxmlformats.org/officeDocument/2006/relationships/image" Target="media/image33.png"/><Relationship Id="rId150" Type="http://schemas.openxmlformats.org/officeDocument/2006/relationships/image" Target="media/image34.png"/><Relationship Id="rId15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1010-v3 模拟数据演示稿；模拟身份见封面、摘要与实验表图</dc:subject>
  <dc:creator>Chen Tang</dc:creator>
  <cp:keywords>模拟数据演示稿 关系感知学习 依赖闭合修正</cp:keywords>
  <dc:description>generated by python-docx</dc:description>
  <cp:lastModifiedBy/>
  <cp:revision>1</cp:revision>
  <dcterms:created xsi:type="dcterms:W3CDTF">2013-12-23T23:15:00Z</dcterms:created>
  <dcterms:modified xsi:type="dcterms:W3CDTF">2013-12-23T23:15:00Z</dcterms:modified>
  <cp:category/>
</cp:coreProperties>
</file>