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1010-v4 模拟数据演示稿</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模拟数据演示稿。除附录E历史存档和明示的数学构造外，实验表图、审计判定、运行配置、成本及案例均为程序构造的模拟情景，不代表真实实验记录或效果预测。本版新增模板改写、预算状态、外部方法占位成绩和关系对象清单；外部占位值不是原论文成绩或真实复现。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2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版以AAEC与CDCP规模的模拟情景组织评价，数值不代表真实模型实验。同基础损失下，数据构造差值为1.79／1.83个关系F1百分点；同增强集合上的成对项差值为1.92／1.88个百分点。共同生成池的模板改写保留了字面变化，严格筛选同时损失复杂文档覆盖。新增预算情景中，CDCP大规模组在36秒时限内呈现局部优势，放宽时限后该优势消失；外部方法占位对照保留更强系统，关系对象补全同时出现共同修复、组合新增和误改。这些模拟结果将局部事务定位为条件选项，并展示两阶段部分重叠的收益结构，不支持普遍优越性或真实效果结论。</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2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Simulated scenarios at AAEC and CDCP scales illustrate evaluation; they are not empirical model results. They separate data-construction differences of 1.79/1.83 relation F1 points under the same base loss from paired-learning differences of 1.92/1.88 points on the same augmented data. Shared-pool templated rewrites retain lexical variation, while stricter screening reduces coverage of complex documents. In the added resource scenario, local repair benefits the large CDCP group under a 36-second deadline, but loses this advantage when the deadline is relaxed. External-method placeholders include a stronger comparator, and constructed relation memberships show shared recovery, combination-specific recovery and damage. These scenarios position local transactions as a conditional option and illustrate partially overlapping gains across stages, without establishing universal superiority or empirical effectiveness.</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2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2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2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2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2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2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2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2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2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2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2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12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2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12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12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12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12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12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12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12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12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12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12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12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12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12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12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12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12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12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12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17</w:t>
        </w:r>
      </w:hyperlink>
    </w:p>
    <w:p>
      <w:pPr>
        <w:pStyle w:val="TOC2"/>
      </w:pPr>
      <w:hyperlink w:anchor="v12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12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12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12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12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12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12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12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12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12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12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12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12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12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12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12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12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12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12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31</w:t>
        </w:r>
      </w:hyperlink>
    </w:p>
    <w:p>
      <w:pPr>
        <w:pStyle w:val="TOC3"/>
      </w:pPr>
      <w:hyperlink w:anchor="v12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12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3"/>
      </w:pPr>
      <w:hyperlink w:anchor="v12_62" w:history="1">
        <w:r>
          <w:rPr>
            <w:rFonts w:ascii="Times New Roman" w:hAnsi="Times New Roman" w:eastAsia="Songti SC"/>
            <w:color w:val="000000"/>
            <w:sz w:val="22"/>
          </w:rPr>
          <w:t>3.6.6 共同生成池的表达变化与覆盖</w:t>
        </w:r>
        <w:r>
          <w:rPr>
            <w:rFonts w:ascii="Times New Roman" w:hAnsi="Times New Roman" w:eastAsia="Songti SC"/>
            <w:color w:val="000000"/>
            <w:sz w:val="22"/>
          </w:rPr>
          <w:tab/>
          <w:t>33</w:t>
        </w:r>
      </w:hyperlink>
    </w:p>
    <w:p>
      <w:pPr>
        <w:pStyle w:val="TOC2"/>
      </w:pPr>
      <w:hyperlink w:anchor="v12_63" w:history="1">
        <w:r>
          <w:rPr>
            <w:rFonts w:ascii="Times New Roman" w:hAnsi="Times New Roman" w:eastAsia="Songti SC"/>
            <w:color w:val="000000"/>
            <w:sz w:val="22"/>
          </w:rPr>
          <w:t>3.7 本章小结</w:t>
        </w:r>
        <w:r>
          <w:rPr>
            <w:rFonts w:ascii="Times New Roman" w:hAnsi="Times New Roman" w:eastAsia="Songti SC"/>
            <w:color w:val="000000"/>
            <w:sz w:val="22"/>
          </w:rPr>
          <w:tab/>
          <w:t>34</w:t>
        </w:r>
      </w:hyperlink>
    </w:p>
    <w:p>
      <w:pPr>
        <w:pStyle w:val="TOC1"/>
        <w:keepNext/>
        <w:spacing w:before="120"/>
      </w:pPr>
      <w:hyperlink w:anchor="v12_64"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35</w:t>
        </w:r>
      </w:hyperlink>
    </w:p>
    <w:p>
      <w:pPr>
        <w:pStyle w:val="TOC2"/>
      </w:pPr>
      <w:hyperlink w:anchor="v12_65" w:history="1">
        <w:r>
          <w:rPr>
            <w:rFonts w:ascii="Times New Roman" w:hAnsi="Times New Roman" w:eastAsia="Songti SC"/>
            <w:color w:val="000000"/>
            <w:sz w:val="22"/>
          </w:rPr>
          <w:t>4.1 引言</w:t>
        </w:r>
        <w:r>
          <w:rPr>
            <w:rFonts w:ascii="Times New Roman" w:hAnsi="Times New Roman" w:eastAsia="Songti SC"/>
            <w:color w:val="000000"/>
            <w:sz w:val="22"/>
          </w:rPr>
          <w:tab/>
          <w:t>35</w:t>
        </w:r>
      </w:hyperlink>
    </w:p>
    <w:p>
      <w:pPr>
        <w:pStyle w:val="TOC2"/>
      </w:pPr>
      <w:hyperlink w:anchor="v12_66"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37</w:t>
        </w:r>
      </w:hyperlink>
    </w:p>
    <w:p>
      <w:pPr>
        <w:pStyle w:val="TOC3"/>
      </w:pPr>
      <w:hyperlink w:anchor="v12_67"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37</w:t>
        </w:r>
      </w:hyperlink>
    </w:p>
    <w:p>
      <w:pPr>
        <w:pStyle w:val="TOC3"/>
      </w:pPr>
      <w:hyperlink w:anchor="v12_68"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37</w:t>
        </w:r>
      </w:hyperlink>
    </w:p>
    <w:p>
      <w:pPr>
        <w:pStyle w:val="TOC3"/>
      </w:pPr>
      <w:hyperlink w:anchor="v12_69"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38</w:t>
        </w:r>
      </w:hyperlink>
    </w:p>
    <w:p>
      <w:pPr>
        <w:pStyle w:val="TOC3"/>
      </w:pPr>
      <w:hyperlink w:anchor="v12_70"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38</w:t>
        </w:r>
      </w:hyperlink>
    </w:p>
    <w:p>
      <w:pPr>
        <w:pStyle w:val="TOC3"/>
      </w:pPr>
      <w:hyperlink w:anchor="v12_71"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39</w:t>
        </w:r>
      </w:hyperlink>
    </w:p>
    <w:p>
      <w:pPr>
        <w:pStyle w:val="TOC2"/>
      </w:pPr>
      <w:hyperlink w:anchor="v12_72"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39</w:t>
        </w:r>
      </w:hyperlink>
    </w:p>
    <w:p>
      <w:pPr>
        <w:pStyle w:val="TOC3"/>
      </w:pPr>
      <w:hyperlink w:anchor="v12_73"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40</w:t>
        </w:r>
      </w:hyperlink>
    </w:p>
    <w:p>
      <w:pPr>
        <w:pStyle w:val="TOC3"/>
      </w:pPr>
      <w:hyperlink w:anchor="v12_74"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40</w:t>
        </w:r>
      </w:hyperlink>
    </w:p>
    <w:p>
      <w:pPr>
        <w:pStyle w:val="TOC2"/>
      </w:pPr>
      <w:hyperlink w:anchor="v12_75"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41</w:t>
        </w:r>
      </w:hyperlink>
    </w:p>
    <w:p>
      <w:pPr>
        <w:pStyle w:val="TOC3"/>
      </w:pPr>
      <w:hyperlink w:anchor="v12_76"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42</w:t>
        </w:r>
      </w:hyperlink>
    </w:p>
    <w:p>
      <w:pPr>
        <w:pStyle w:val="TOC3"/>
      </w:pPr>
      <w:hyperlink w:anchor="v12_77"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42</w:t>
        </w:r>
      </w:hyperlink>
    </w:p>
    <w:p>
      <w:pPr>
        <w:pStyle w:val="TOC3"/>
      </w:pPr>
      <w:hyperlink w:anchor="v12_78" w:history="1">
        <w:r>
          <w:rPr>
            <w:rFonts w:ascii="Times New Roman" w:hAnsi="Times New Roman" w:eastAsia="Songti SC"/>
            <w:color w:val="000000"/>
            <w:sz w:val="22"/>
          </w:rPr>
          <w:t>4.4.3 固定计数效用</w:t>
        </w:r>
        <w:r>
          <w:rPr>
            <w:rFonts w:ascii="Times New Roman" w:hAnsi="Times New Roman" w:eastAsia="Songti SC"/>
            <w:color w:val="000000"/>
            <w:sz w:val="22"/>
          </w:rPr>
          <w:tab/>
          <w:t>43</w:t>
        </w:r>
      </w:hyperlink>
    </w:p>
    <w:p>
      <w:pPr>
        <w:pStyle w:val="TOC3"/>
      </w:pPr>
      <w:hyperlink w:anchor="v12_79"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43</w:t>
        </w:r>
      </w:hyperlink>
    </w:p>
    <w:p>
      <w:pPr>
        <w:pStyle w:val="TOC3"/>
      </w:pPr>
      <w:hyperlink w:anchor="v12_80"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44</w:t>
        </w:r>
      </w:hyperlink>
    </w:p>
    <w:p>
      <w:pPr>
        <w:pStyle w:val="TOC2"/>
      </w:pPr>
      <w:hyperlink w:anchor="v12_81" w:history="1">
        <w:r>
          <w:rPr>
            <w:rFonts w:ascii="Times New Roman" w:hAnsi="Times New Roman" w:eastAsia="Songti SC"/>
            <w:color w:val="000000"/>
            <w:sz w:val="22"/>
          </w:rPr>
          <w:t>4.5 求解算法及性质</w:t>
        </w:r>
        <w:r>
          <w:rPr>
            <w:rFonts w:ascii="Times New Roman" w:hAnsi="Times New Roman" w:eastAsia="Songti SC"/>
            <w:color w:val="000000"/>
            <w:sz w:val="22"/>
          </w:rPr>
          <w:tab/>
          <w:t>45</w:t>
        </w:r>
      </w:hyperlink>
    </w:p>
    <w:p>
      <w:pPr>
        <w:pStyle w:val="TOC3"/>
      </w:pPr>
      <w:hyperlink w:anchor="v12_82"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45</w:t>
        </w:r>
      </w:hyperlink>
    </w:p>
    <w:p>
      <w:pPr>
        <w:pStyle w:val="TOC3"/>
      </w:pPr>
      <w:hyperlink w:anchor="v12_83"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46</w:t>
        </w:r>
      </w:hyperlink>
    </w:p>
    <w:p>
      <w:pPr>
        <w:pStyle w:val="TOC3"/>
      </w:pPr>
      <w:hyperlink w:anchor="v12_84"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49</w:t>
        </w:r>
      </w:hyperlink>
    </w:p>
    <w:p>
      <w:pPr>
        <w:pStyle w:val="TOC3"/>
      </w:pPr>
      <w:hyperlink w:anchor="v12_85"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49</w:t>
        </w:r>
      </w:hyperlink>
    </w:p>
    <w:p>
      <w:pPr>
        <w:pStyle w:val="TOC3"/>
      </w:pPr>
      <w:hyperlink w:anchor="v12_86"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49</w:t>
        </w:r>
      </w:hyperlink>
    </w:p>
    <w:p>
      <w:pPr>
        <w:pStyle w:val="TOC2"/>
      </w:pPr>
      <w:hyperlink w:anchor="v12_87" w:history="1">
        <w:r>
          <w:rPr>
            <w:rFonts w:ascii="Times New Roman" w:hAnsi="Times New Roman" w:eastAsia="Songti SC"/>
            <w:color w:val="000000"/>
            <w:sz w:val="22"/>
          </w:rPr>
          <w:t>4.6 实验与分析</w:t>
        </w:r>
        <w:r>
          <w:rPr>
            <w:rFonts w:ascii="Times New Roman" w:hAnsi="Times New Roman" w:eastAsia="Songti SC"/>
            <w:color w:val="000000"/>
            <w:sz w:val="22"/>
          </w:rPr>
          <w:tab/>
          <w:t>50</w:t>
        </w:r>
      </w:hyperlink>
    </w:p>
    <w:p>
      <w:pPr>
        <w:pStyle w:val="TOC3"/>
      </w:pPr>
      <w:hyperlink w:anchor="v12_88"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50</w:t>
        </w:r>
      </w:hyperlink>
    </w:p>
    <w:p>
      <w:pPr>
        <w:pStyle w:val="TOC3"/>
      </w:pPr>
      <w:hyperlink w:anchor="v12_89"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53</w:t>
        </w:r>
      </w:hyperlink>
    </w:p>
    <w:p>
      <w:pPr>
        <w:pStyle w:val="TOC3"/>
      </w:pPr>
      <w:hyperlink w:anchor="v12_90"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54</w:t>
        </w:r>
      </w:hyperlink>
    </w:p>
    <w:p>
      <w:pPr>
        <w:pStyle w:val="TOC3"/>
      </w:pPr>
      <w:hyperlink w:anchor="v12_91"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56</w:t>
        </w:r>
      </w:hyperlink>
    </w:p>
    <w:p>
      <w:pPr>
        <w:pStyle w:val="TOC3"/>
      </w:pPr>
      <w:hyperlink w:anchor="v12_92"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57</w:t>
        </w:r>
      </w:hyperlink>
    </w:p>
    <w:p>
      <w:pPr>
        <w:pStyle w:val="TOC3"/>
      </w:pPr>
      <w:hyperlink w:anchor="v12_93" w:history="1">
        <w:r>
          <w:rPr>
            <w:rFonts w:ascii="Times New Roman" w:hAnsi="Times New Roman" w:eastAsia="Songti SC"/>
            <w:color w:val="000000"/>
            <w:sz w:val="22"/>
          </w:rPr>
          <w:t>4.6.6 案例分析</w:t>
        </w:r>
        <w:r>
          <w:rPr>
            <w:rFonts w:ascii="Times New Roman" w:hAnsi="Times New Roman" w:eastAsia="Songti SC"/>
            <w:color w:val="000000"/>
            <w:sz w:val="22"/>
          </w:rPr>
          <w:tab/>
          <w:t>59</w:t>
        </w:r>
      </w:hyperlink>
    </w:p>
    <w:p>
      <w:pPr>
        <w:pStyle w:val="TOC3"/>
      </w:pPr>
      <w:hyperlink w:anchor="v12_94" w:history="1">
        <w:r>
          <w:rPr>
            <w:rFonts w:ascii="Times New Roman" w:hAnsi="Times New Roman" w:eastAsia="Songti SC"/>
            <w:color w:val="000000"/>
            <w:sz w:val="22"/>
          </w:rPr>
          <w:t>4.6.7 外部系统的占位比较</w:t>
        </w:r>
        <w:r>
          <w:rPr>
            <w:rFonts w:ascii="Times New Roman" w:hAnsi="Times New Roman" w:eastAsia="Songti SC"/>
            <w:color w:val="000000"/>
            <w:sz w:val="22"/>
          </w:rPr>
          <w:tab/>
          <w:t>60</w:t>
        </w:r>
      </w:hyperlink>
    </w:p>
    <w:p>
      <w:pPr>
        <w:pStyle w:val="TOC3"/>
      </w:pPr>
      <w:hyperlink w:anchor="v12_95" w:history="1">
        <w:r>
          <w:rPr>
            <w:rFonts w:ascii="Times New Roman" w:hAnsi="Times New Roman" w:eastAsia="Songti SC"/>
            <w:color w:val="000000"/>
            <w:sz w:val="22"/>
          </w:rPr>
          <w:t>4.6.8 裁剪前成本与局部采用条件</w:t>
        </w:r>
        <w:r>
          <w:rPr>
            <w:rFonts w:ascii="Times New Roman" w:hAnsi="Times New Roman" w:eastAsia="Songti SC"/>
            <w:color w:val="000000"/>
            <w:sz w:val="22"/>
          </w:rPr>
          <w:tab/>
          <w:t>61</w:t>
        </w:r>
      </w:hyperlink>
    </w:p>
    <w:p>
      <w:pPr>
        <w:pStyle w:val="TOC2"/>
      </w:pPr>
      <w:hyperlink w:anchor="v12_96" w:history="1">
        <w:r>
          <w:rPr>
            <w:rFonts w:ascii="Times New Roman" w:hAnsi="Times New Roman" w:eastAsia="Songti SC"/>
            <w:color w:val="000000"/>
            <w:sz w:val="22"/>
          </w:rPr>
          <w:t>4.7 本章小结</w:t>
        </w:r>
        <w:r>
          <w:rPr>
            <w:rFonts w:ascii="Times New Roman" w:hAnsi="Times New Roman" w:eastAsia="Songti SC"/>
            <w:color w:val="000000"/>
            <w:sz w:val="22"/>
          </w:rPr>
          <w:tab/>
          <w:t>63</w:t>
        </w:r>
      </w:hyperlink>
    </w:p>
    <w:p>
      <w:pPr>
        <w:pStyle w:val="TOC1"/>
        <w:keepNext/>
        <w:spacing w:before="120"/>
      </w:pPr>
      <w:hyperlink w:anchor="v12_97"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64</w:t>
        </w:r>
      </w:hyperlink>
    </w:p>
    <w:p>
      <w:pPr>
        <w:pStyle w:val="TOC2"/>
      </w:pPr>
      <w:hyperlink w:anchor="v12_98"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64</w:t>
        </w:r>
      </w:hyperlink>
    </w:p>
    <w:p>
      <w:pPr>
        <w:pStyle w:val="TOC2"/>
      </w:pPr>
      <w:hyperlink w:anchor="v12_99" w:history="1">
        <w:r>
          <w:rPr>
            <w:rFonts w:ascii="Times New Roman" w:hAnsi="Times New Roman" w:eastAsia="Songti SC"/>
            <w:color w:val="000000"/>
            <w:sz w:val="22"/>
          </w:rPr>
          <w:t>5.2 净错误变化与对象修复重叠</w:t>
        </w:r>
        <w:r>
          <w:rPr>
            <w:rFonts w:ascii="Times New Roman" w:hAnsi="Times New Roman" w:eastAsia="Songti SC"/>
            <w:color w:val="000000"/>
            <w:sz w:val="22"/>
          </w:rPr>
          <w:tab/>
          <w:t>65</w:t>
        </w:r>
      </w:hyperlink>
    </w:p>
    <w:p>
      <w:pPr>
        <w:pStyle w:val="TOC2"/>
      </w:pPr>
      <w:hyperlink w:anchor="v12_100" w:history="1">
        <w:r>
          <w:rPr>
            <w:rFonts w:ascii="Times New Roman" w:hAnsi="Times New Roman" w:eastAsia="Songti SC"/>
            <w:color w:val="000000"/>
            <w:sz w:val="22"/>
          </w:rPr>
          <w:t>5.3 训练条件变化的解释边界</w:t>
        </w:r>
        <w:r>
          <w:rPr>
            <w:rFonts w:ascii="Times New Roman" w:hAnsi="Times New Roman" w:eastAsia="Songti SC"/>
            <w:color w:val="000000"/>
            <w:sz w:val="22"/>
          </w:rPr>
          <w:tab/>
          <w:t>67</w:t>
        </w:r>
      </w:hyperlink>
    </w:p>
    <w:p>
      <w:pPr>
        <w:pStyle w:val="TOC2"/>
      </w:pPr>
      <w:hyperlink w:anchor="v12_101" w:history="1">
        <w:r>
          <w:rPr>
            <w:rFonts w:ascii="Times New Roman" w:hAnsi="Times New Roman" w:eastAsia="Songti SC"/>
            <w:color w:val="000000"/>
            <w:sz w:val="22"/>
          </w:rPr>
          <w:t>5.4 在线配置的质量与时间取舍</w:t>
        </w:r>
        <w:r>
          <w:rPr>
            <w:rFonts w:ascii="Times New Roman" w:hAnsi="Times New Roman" w:eastAsia="Songti SC"/>
            <w:color w:val="000000"/>
            <w:sz w:val="22"/>
          </w:rPr>
          <w:tab/>
          <w:t>67</w:t>
        </w:r>
      </w:hyperlink>
    </w:p>
    <w:p>
      <w:pPr>
        <w:pStyle w:val="TOC2"/>
      </w:pPr>
      <w:hyperlink w:anchor="v12_102" w:history="1">
        <w:r>
          <w:rPr>
            <w:rFonts w:ascii="Times New Roman" w:hAnsi="Times New Roman" w:eastAsia="Songti SC"/>
            <w:color w:val="000000"/>
            <w:sz w:val="22"/>
          </w:rPr>
          <w:t>5.5 超边规模与恢复范围</w:t>
        </w:r>
        <w:r>
          <w:rPr>
            <w:rFonts w:ascii="Times New Roman" w:hAnsi="Times New Roman" w:eastAsia="Songti SC"/>
            <w:color w:val="000000"/>
            <w:sz w:val="22"/>
          </w:rPr>
          <w:tab/>
          <w:t>68</w:t>
        </w:r>
      </w:hyperlink>
    </w:p>
    <w:p>
      <w:pPr>
        <w:pStyle w:val="TOC2"/>
      </w:pPr>
      <w:hyperlink w:anchor="v12_103" w:history="1">
        <w:r>
          <w:rPr>
            <w:rFonts w:ascii="Times New Roman" w:hAnsi="Times New Roman" w:eastAsia="Songti SC"/>
            <w:color w:val="000000"/>
            <w:sz w:val="22"/>
          </w:rPr>
          <w:t>5.6 本章小结</w:t>
        </w:r>
        <w:r>
          <w:rPr>
            <w:rFonts w:ascii="Times New Roman" w:hAnsi="Times New Roman" w:eastAsia="Songti SC"/>
            <w:color w:val="000000"/>
            <w:sz w:val="22"/>
          </w:rPr>
          <w:tab/>
          <w:t>68</w:t>
        </w:r>
      </w:hyperlink>
    </w:p>
    <w:p>
      <w:pPr>
        <w:pStyle w:val="TOC1"/>
        <w:keepNext/>
        <w:spacing w:before="120"/>
      </w:pPr>
      <w:hyperlink w:anchor="v12_104" w:history="1">
        <w:r>
          <w:rPr>
            <w:rFonts w:ascii="Times New Roman" w:hAnsi="Times New Roman" w:eastAsia="Songti SC"/>
            <w:color w:val="000000"/>
            <w:sz w:val="22"/>
          </w:rPr>
          <w:t>第六章 总结与展望</w:t>
        </w:r>
        <w:r>
          <w:rPr>
            <w:rFonts w:ascii="Times New Roman" w:hAnsi="Times New Roman" w:eastAsia="Songti SC"/>
            <w:color w:val="000000"/>
            <w:sz w:val="22"/>
          </w:rPr>
          <w:tab/>
          <w:t>69</w:t>
        </w:r>
      </w:hyperlink>
    </w:p>
    <w:p>
      <w:pPr>
        <w:pStyle w:val="TOC2"/>
      </w:pPr>
      <w:hyperlink w:anchor="v12_105" w:history="1">
        <w:r>
          <w:rPr>
            <w:rFonts w:ascii="Times New Roman" w:hAnsi="Times New Roman" w:eastAsia="Songti SC"/>
            <w:color w:val="000000"/>
            <w:sz w:val="22"/>
          </w:rPr>
          <w:t>6.1 研究总结</w:t>
        </w:r>
        <w:r>
          <w:rPr>
            <w:rFonts w:ascii="Times New Roman" w:hAnsi="Times New Roman" w:eastAsia="Songti SC"/>
            <w:color w:val="000000"/>
            <w:sz w:val="22"/>
          </w:rPr>
          <w:tab/>
          <w:t>69</w:t>
        </w:r>
      </w:hyperlink>
    </w:p>
    <w:p>
      <w:pPr>
        <w:pStyle w:val="TOC2"/>
      </w:pPr>
      <w:hyperlink w:anchor="v12_106" w:history="1">
        <w:r>
          <w:rPr>
            <w:rFonts w:ascii="Times New Roman" w:hAnsi="Times New Roman" w:eastAsia="Songti SC"/>
            <w:color w:val="000000"/>
            <w:sz w:val="22"/>
          </w:rPr>
          <w:t>6.2 研究局限</w:t>
        </w:r>
        <w:r>
          <w:rPr>
            <w:rFonts w:ascii="Times New Roman" w:hAnsi="Times New Roman" w:eastAsia="Songti SC"/>
            <w:color w:val="000000"/>
            <w:sz w:val="22"/>
          </w:rPr>
          <w:tab/>
          <w:t>69</w:t>
        </w:r>
      </w:hyperlink>
    </w:p>
    <w:p>
      <w:pPr>
        <w:pStyle w:val="TOC2"/>
      </w:pPr>
      <w:hyperlink w:anchor="v12_107" w:history="1">
        <w:r>
          <w:rPr>
            <w:rFonts w:ascii="Times New Roman" w:hAnsi="Times New Roman" w:eastAsia="Songti SC"/>
            <w:color w:val="000000"/>
            <w:sz w:val="22"/>
          </w:rPr>
          <w:t>6.3 后续研究方向</w:t>
        </w:r>
        <w:r>
          <w:rPr>
            <w:rFonts w:ascii="Times New Roman" w:hAnsi="Times New Roman" w:eastAsia="Songti SC"/>
            <w:color w:val="000000"/>
            <w:sz w:val="22"/>
          </w:rPr>
          <w:tab/>
          <w:t>70</w:t>
        </w:r>
      </w:hyperlink>
    </w:p>
    <w:p>
      <w:pPr>
        <w:pStyle w:val="TOC1"/>
        <w:keepNext/>
        <w:spacing w:before="120"/>
      </w:pPr>
      <w:hyperlink w:anchor="v12_108" w:history="1">
        <w:r>
          <w:rPr>
            <w:rFonts w:ascii="Times New Roman" w:hAnsi="Times New Roman" w:eastAsia="Songti SC"/>
            <w:color w:val="000000"/>
            <w:sz w:val="22"/>
          </w:rPr>
          <w:t>参考文献</w:t>
        </w:r>
        <w:r>
          <w:rPr>
            <w:rFonts w:ascii="Times New Roman" w:hAnsi="Times New Roman" w:eastAsia="Songti SC"/>
            <w:color w:val="000000"/>
            <w:sz w:val="22"/>
          </w:rPr>
          <w:tab/>
          <w:t>71</w:t>
        </w:r>
      </w:hyperlink>
    </w:p>
    <w:p>
      <w:pPr>
        <w:pStyle w:val="TOC1"/>
        <w:keepNext/>
        <w:spacing w:before="120"/>
      </w:pPr>
      <w:hyperlink w:anchor="v12_109"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75</w:t>
        </w:r>
      </w:hyperlink>
    </w:p>
    <w:p>
      <w:pPr>
        <w:pStyle w:val="TOC2"/>
      </w:pPr>
      <w:hyperlink w:anchor="v12_110" w:history="1">
        <w:r>
          <w:rPr>
            <w:rFonts w:ascii="Times New Roman" w:hAnsi="Times New Roman" w:eastAsia="Songti SC"/>
            <w:color w:val="000000"/>
            <w:sz w:val="22"/>
          </w:rPr>
          <w:t>A.1 坐标与结构数据</w:t>
        </w:r>
        <w:r>
          <w:rPr>
            <w:rFonts w:ascii="Times New Roman" w:hAnsi="Times New Roman" w:eastAsia="Songti SC"/>
            <w:color w:val="000000"/>
            <w:sz w:val="22"/>
          </w:rPr>
          <w:tab/>
          <w:t>75</w:t>
        </w:r>
      </w:hyperlink>
    </w:p>
    <w:p>
      <w:pPr>
        <w:pStyle w:val="TOC2"/>
      </w:pPr>
      <w:hyperlink w:anchor="v12_111"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75</w:t>
        </w:r>
      </w:hyperlink>
    </w:p>
    <w:p>
      <w:pPr>
        <w:pStyle w:val="TOC2"/>
      </w:pPr>
      <w:hyperlink w:anchor="v12_112"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76</w:t>
        </w:r>
      </w:hyperlink>
    </w:p>
    <w:p>
      <w:pPr>
        <w:pStyle w:val="TOC2"/>
      </w:pPr>
      <w:hyperlink w:anchor="v12_113"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76</w:t>
        </w:r>
      </w:hyperlink>
    </w:p>
    <w:p>
      <w:pPr>
        <w:pStyle w:val="TOC2"/>
      </w:pPr>
      <w:hyperlink w:anchor="v12_114"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77</w:t>
        </w:r>
      </w:hyperlink>
    </w:p>
    <w:p>
      <w:pPr>
        <w:pStyle w:val="TOC2"/>
      </w:pPr>
      <w:hyperlink w:anchor="v12_115"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78</w:t>
        </w:r>
      </w:hyperlink>
    </w:p>
    <w:p>
      <w:pPr>
        <w:pStyle w:val="TOC1"/>
        <w:keepNext/>
        <w:spacing w:before="120"/>
      </w:pPr>
      <w:hyperlink w:anchor="v12_116"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79</w:t>
        </w:r>
      </w:hyperlink>
    </w:p>
    <w:p>
      <w:pPr>
        <w:pStyle w:val="TOC2"/>
      </w:pPr>
      <w:hyperlink w:anchor="v12_117" w:history="1">
        <w:r>
          <w:rPr>
            <w:rFonts w:ascii="Times New Roman" w:hAnsi="Times New Roman" w:eastAsia="Songti SC"/>
            <w:color w:val="000000"/>
            <w:sz w:val="22"/>
          </w:rPr>
          <w:t>B.1 数据与模型身份</w:t>
        </w:r>
        <w:r>
          <w:rPr>
            <w:rFonts w:ascii="Times New Roman" w:hAnsi="Times New Roman" w:eastAsia="Songti SC"/>
            <w:color w:val="000000"/>
            <w:sz w:val="22"/>
          </w:rPr>
          <w:tab/>
          <w:t>79</w:t>
        </w:r>
      </w:hyperlink>
    </w:p>
    <w:p>
      <w:pPr>
        <w:pStyle w:val="TOC2"/>
      </w:pPr>
      <w:hyperlink w:anchor="v12_118" w:history="1">
        <w:r>
          <w:rPr>
            <w:rFonts w:ascii="Times New Roman" w:hAnsi="Times New Roman" w:eastAsia="Songti SC"/>
            <w:color w:val="000000"/>
            <w:sz w:val="22"/>
          </w:rPr>
          <w:t>B.2 评分与接受轨迹</w:t>
        </w:r>
        <w:r>
          <w:rPr>
            <w:rFonts w:ascii="Times New Roman" w:hAnsi="Times New Roman" w:eastAsia="Songti SC"/>
            <w:color w:val="000000"/>
            <w:sz w:val="22"/>
          </w:rPr>
          <w:tab/>
          <w:t>79</w:t>
        </w:r>
      </w:hyperlink>
    </w:p>
    <w:p>
      <w:pPr>
        <w:pStyle w:val="TOC2"/>
      </w:pPr>
      <w:hyperlink w:anchor="v12_119" w:history="1">
        <w:r>
          <w:rPr>
            <w:rFonts w:ascii="Times New Roman" w:hAnsi="Times New Roman" w:eastAsia="Songti SC"/>
            <w:color w:val="000000"/>
            <w:sz w:val="22"/>
          </w:rPr>
          <w:t>B.3 回退与预算</w:t>
        </w:r>
        <w:r>
          <w:rPr>
            <w:rFonts w:ascii="Times New Roman" w:hAnsi="Times New Roman" w:eastAsia="Songti SC"/>
            <w:color w:val="000000"/>
            <w:sz w:val="22"/>
          </w:rPr>
          <w:tab/>
          <w:t>79</w:t>
        </w:r>
      </w:hyperlink>
    </w:p>
    <w:p>
      <w:pPr>
        <w:pStyle w:val="TOC2"/>
      </w:pPr>
      <w:hyperlink w:anchor="v12_120" w:history="1">
        <w:r>
          <w:rPr>
            <w:rFonts w:ascii="Times New Roman" w:hAnsi="Times New Roman" w:eastAsia="Songti SC"/>
            <w:color w:val="000000"/>
            <w:sz w:val="22"/>
          </w:rPr>
          <w:t>B.4 实现一致性测试</w:t>
        </w:r>
        <w:r>
          <w:rPr>
            <w:rFonts w:ascii="Times New Roman" w:hAnsi="Times New Roman" w:eastAsia="Songti SC"/>
            <w:color w:val="000000"/>
            <w:sz w:val="22"/>
          </w:rPr>
          <w:tab/>
          <w:t>79</w:t>
        </w:r>
      </w:hyperlink>
    </w:p>
    <w:p>
      <w:pPr>
        <w:pStyle w:val="TOC3"/>
      </w:pPr>
      <w:hyperlink w:anchor="v12_121"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79</w:t>
        </w:r>
      </w:hyperlink>
    </w:p>
    <w:p>
      <w:pPr>
        <w:pStyle w:val="TOC3"/>
      </w:pPr>
      <w:hyperlink w:anchor="v12_122" w:history="1">
        <w:r>
          <w:rPr>
            <w:rFonts w:ascii="Times New Roman" w:hAnsi="Times New Roman" w:eastAsia="Songti SC"/>
            <w:color w:val="000000"/>
            <w:sz w:val="22"/>
          </w:rPr>
          <w:t>B.4.2 训练与求解接口</w:t>
        </w:r>
        <w:r>
          <w:rPr>
            <w:rFonts w:ascii="Times New Roman" w:hAnsi="Times New Roman" w:eastAsia="Songti SC"/>
            <w:color w:val="000000"/>
            <w:sz w:val="22"/>
          </w:rPr>
          <w:tab/>
          <w:t>80</w:t>
        </w:r>
      </w:hyperlink>
    </w:p>
    <w:p>
      <w:pPr>
        <w:pStyle w:val="TOC3"/>
      </w:pPr>
      <w:hyperlink w:anchor="v12_123"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80</w:t>
        </w:r>
      </w:hyperlink>
    </w:p>
    <w:p>
      <w:pPr>
        <w:pStyle w:val="TOC2"/>
      </w:pPr>
      <w:hyperlink w:anchor="v12_124"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81</w:t>
        </w:r>
      </w:hyperlink>
    </w:p>
    <w:p>
      <w:pPr>
        <w:pStyle w:val="TOC2"/>
      </w:pPr>
      <w:hyperlink w:anchor="v12_125"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81</w:t>
        </w:r>
      </w:hyperlink>
    </w:p>
    <w:p>
      <w:pPr>
        <w:pStyle w:val="TOC1"/>
        <w:keepNext/>
        <w:spacing w:before="120"/>
      </w:pPr>
      <w:hyperlink w:anchor="v12_126"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83</w:t>
        </w:r>
      </w:hyperlink>
    </w:p>
    <w:p>
      <w:pPr>
        <w:pStyle w:val="TOC2"/>
      </w:pPr>
      <w:hyperlink w:anchor="v12_127" w:history="1">
        <w:r>
          <w:rPr>
            <w:rFonts w:ascii="Times New Roman" w:hAnsi="Times New Roman" w:eastAsia="Songti SC"/>
            <w:color w:val="000000"/>
            <w:sz w:val="22"/>
          </w:rPr>
          <w:t>C.1 前期共同成果</w:t>
        </w:r>
        <w:r>
          <w:rPr>
            <w:rFonts w:ascii="Times New Roman" w:hAnsi="Times New Roman" w:eastAsia="Songti SC"/>
            <w:color w:val="000000"/>
            <w:sz w:val="22"/>
          </w:rPr>
          <w:tab/>
          <w:t>83</w:t>
        </w:r>
      </w:hyperlink>
    </w:p>
    <w:p>
      <w:pPr>
        <w:pStyle w:val="TOC2"/>
      </w:pPr>
      <w:hyperlink w:anchor="v12_128" w:history="1">
        <w:r>
          <w:rPr>
            <w:rFonts w:ascii="Times New Roman" w:hAnsi="Times New Roman" w:eastAsia="Songti SC"/>
            <w:color w:val="000000"/>
            <w:sz w:val="22"/>
          </w:rPr>
          <w:t>C.2 数据与材料可得性</w:t>
        </w:r>
        <w:r>
          <w:rPr>
            <w:rFonts w:ascii="Times New Roman" w:hAnsi="Times New Roman" w:eastAsia="Songti SC"/>
            <w:color w:val="000000"/>
            <w:sz w:val="22"/>
          </w:rPr>
          <w:tab/>
          <w:t>83</w:t>
        </w:r>
      </w:hyperlink>
    </w:p>
    <w:p>
      <w:pPr>
        <w:pStyle w:val="TOC2"/>
      </w:pPr>
      <w:hyperlink w:anchor="v12_129"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83</w:t>
        </w:r>
      </w:hyperlink>
    </w:p>
    <w:p>
      <w:pPr>
        <w:pStyle w:val="TOC2"/>
      </w:pPr>
      <w:hyperlink w:anchor="v12_130"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83</w:t>
        </w:r>
      </w:hyperlink>
    </w:p>
    <w:p>
      <w:pPr>
        <w:pStyle w:val="TOC1"/>
        <w:keepNext/>
        <w:spacing w:before="120"/>
      </w:pPr>
      <w:hyperlink w:anchor="v12_131"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84</w:t>
        </w:r>
      </w:hyperlink>
    </w:p>
    <w:p>
      <w:pPr>
        <w:pStyle w:val="TOC2"/>
      </w:pPr>
      <w:hyperlink w:anchor="v12_132"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84</w:t>
        </w:r>
      </w:hyperlink>
    </w:p>
    <w:p>
      <w:pPr>
        <w:pStyle w:val="TOC2"/>
      </w:pPr>
      <w:hyperlink w:anchor="v12_133"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84</w:t>
        </w:r>
      </w:hyperlink>
    </w:p>
    <w:p>
      <w:pPr>
        <w:pStyle w:val="TOC2"/>
      </w:pPr>
      <w:hyperlink w:anchor="v12_134"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84</w:t>
        </w:r>
      </w:hyperlink>
    </w:p>
    <w:p>
      <w:pPr>
        <w:pStyle w:val="TOC2"/>
      </w:pPr>
      <w:hyperlink w:anchor="v12_135"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84</w:t>
        </w:r>
      </w:hyperlink>
    </w:p>
    <w:p>
      <w:pPr>
        <w:pStyle w:val="TOC2"/>
      </w:pPr>
      <w:hyperlink w:anchor="v12_136"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85</w:t>
        </w:r>
      </w:hyperlink>
    </w:p>
    <w:p>
      <w:pPr>
        <w:pStyle w:val="TOC2"/>
      </w:pPr>
      <w:hyperlink w:anchor="v12_137"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85</w:t>
        </w:r>
      </w:hyperlink>
    </w:p>
    <w:p>
      <w:pPr>
        <w:pStyle w:val="TOC1"/>
        <w:keepNext/>
        <w:spacing w:before="120"/>
      </w:pPr>
      <w:hyperlink w:anchor="v12_138"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87</w:t>
        </w:r>
      </w:hyperlink>
    </w:p>
    <w:p>
      <w:pPr>
        <w:pStyle w:val="TOC2"/>
      </w:pPr>
      <w:hyperlink w:anchor="v12_139"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87</w:t>
        </w:r>
      </w:hyperlink>
    </w:p>
    <w:p>
      <w:pPr>
        <w:pStyle w:val="TOC2"/>
      </w:pPr>
      <w:hyperlink w:anchor="v12_140"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87</w:t>
        </w:r>
      </w:hyperlink>
    </w:p>
    <w:p>
      <w:pPr>
        <w:pStyle w:val="TOC2"/>
      </w:pPr>
      <w:hyperlink w:anchor="v12_141"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88</w:t>
        </w:r>
      </w:hyperlink>
    </w:p>
    <w:p>
      <w:pPr>
        <w:pStyle w:val="TOC2"/>
      </w:pPr>
      <w:hyperlink w:anchor="v12_142"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88</w:t>
        </w:r>
      </w:hyperlink>
    </w:p>
    <w:p>
      <w:pPr>
        <w:pStyle w:val="TOC2"/>
      </w:pPr>
      <w:hyperlink w:anchor="v12_143"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89</w:t>
        </w:r>
      </w:hyperlink>
    </w:p>
    <w:p>
      <w:pPr>
        <w:pStyle w:val="TOC2"/>
      </w:pPr>
      <w:hyperlink w:anchor="v12_144" w:history="1">
        <w:r>
          <w:rPr>
            <w:rFonts w:ascii="Times New Roman" w:hAnsi="Times New Roman" w:eastAsia="Songti SC"/>
            <w:color w:val="000000"/>
            <w:sz w:val="22"/>
          </w:rPr>
          <w:t>E.6 ICIC原版Oracle记录</w:t>
        </w:r>
        <w:r>
          <w:rPr>
            <w:rFonts w:ascii="Times New Roman" w:hAnsi="Times New Roman" w:eastAsia="Songti SC"/>
            <w:color w:val="000000"/>
            <w:sz w:val="22"/>
          </w:rPr>
          <w:tab/>
          <w:t>89</w:t>
        </w:r>
      </w:hyperlink>
    </w:p>
    <w:p>
      <w:pPr>
        <w:pStyle w:val="TOC2"/>
      </w:pPr>
      <w:hyperlink w:anchor="v12_145"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89</w:t>
        </w:r>
      </w:hyperlink>
    </w:p>
    <w:p>
      <w:pPr>
        <w:pStyle w:val="TOC2"/>
      </w:pPr>
      <w:hyperlink w:anchor="v12_146"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90</w:t>
        </w:r>
      </w:hyperlink>
    </w:p>
    <w:p>
      <w:pPr>
        <w:pStyle w:val="TOC2"/>
      </w:pPr>
      <w:hyperlink w:anchor="v12_147"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91</w:t>
        </w:r>
      </w:hyperlink>
    </w:p>
    <w:p>
      <w:pPr>
        <w:pStyle w:val="TOC1"/>
        <w:keepNext/>
        <w:spacing w:before="120"/>
      </w:pPr>
      <w:hyperlink w:anchor="v12_148"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92</w:t>
        </w:r>
      </w:hyperlink>
    </w:p>
    <w:p>
      <w:pPr>
        <w:pStyle w:val="TOC2"/>
      </w:pPr>
      <w:hyperlink w:anchor="v12_149" w:history="1">
        <w:r>
          <w:rPr>
            <w:rFonts w:ascii="Times New Roman" w:hAnsi="Times New Roman" w:eastAsia="Songti SC"/>
            <w:color w:val="000000"/>
            <w:sz w:val="22"/>
          </w:rPr>
          <w:t>F.1 核心术语与符号</w:t>
        </w:r>
        <w:r>
          <w:rPr>
            <w:rFonts w:ascii="Times New Roman" w:hAnsi="Times New Roman" w:eastAsia="Songti SC"/>
            <w:color w:val="000000"/>
            <w:sz w:val="22"/>
          </w:rPr>
          <w:tab/>
          <w:t>92</w:t>
        </w:r>
      </w:hyperlink>
    </w:p>
    <w:p>
      <w:pPr>
        <w:pStyle w:val="TOC2"/>
      </w:pPr>
      <w:hyperlink w:anchor="v12_150" w:history="1">
        <w:r>
          <w:rPr>
            <w:rFonts w:ascii="Times New Roman" w:hAnsi="Times New Roman" w:eastAsia="Songti SC"/>
            <w:color w:val="000000"/>
            <w:sz w:val="22"/>
          </w:rPr>
          <w:t>F.2 实现接口补充</w:t>
        </w:r>
        <w:r>
          <w:rPr>
            <w:rFonts w:ascii="Times New Roman" w:hAnsi="Times New Roman" w:eastAsia="Songti SC"/>
            <w:color w:val="000000"/>
            <w:sz w:val="22"/>
          </w:rPr>
          <w:tab/>
          <w:t>93</w:t>
        </w:r>
      </w:hyperlink>
    </w:p>
    <w:p>
      <w:pPr>
        <w:pStyle w:val="TOC2"/>
      </w:pPr>
      <w:hyperlink w:anchor="v12_151" w:history="1">
        <w:r>
          <w:rPr>
            <w:rFonts w:ascii="Times New Roman" w:hAnsi="Times New Roman" w:eastAsia="Songti SC"/>
            <w:color w:val="000000"/>
            <w:sz w:val="22"/>
          </w:rPr>
          <w:t>F.3 研究问题阅读索引</w:t>
        </w:r>
        <w:r>
          <w:rPr>
            <w:rFonts w:ascii="Times New Roman" w:hAnsi="Times New Roman" w:eastAsia="Songti SC"/>
            <w:color w:val="000000"/>
            <w:sz w:val="22"/>
          </w:rPr>
          <w:tab/>
          <w:t>94</w:t>
        </w:r>
      </w:hyperlink>
    </w:p>
    <w:p>
      <w:pPr>
        <w:pStyle w:val="TOC1"/>
        <w:keepNext/>
        <w:spacing w:before="120"/>
      </w:pPr>
      <w:hyperlink w:anchor="v12_152"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95</w:t>
        </w:r>
      </w:hyperlink>
    </w:p>
    <w:p>
      <w:pPr>
        <w:pStyle w:val="TOC2"/>
      </w:pPr>
      <w:hyperlink w:anchor="v12_153"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95</w:t>
        </w:r>
      </w:hyperlink>
    </w:p>
    <w:p>
      <w:pPr>
        <w:pStyle w:val="TOC2"/>
      </w:pPr>
      <w:hyperlink w:anchor="v12_154"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96</w:t>
        </w:r>
      </w:hyperlink>
    </w:p>
    <w:p>
      <w:pPr>
        <w:pStyle w:val="TOC2"/>
      </w:pPr>
      <w:hyperlink w:anchor="v12_155"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96</w:t>
        </w:r>
      </w:hyperlink>
    </w:p>
    <w:p>
      <w:pPr>
        <w:pStyle w:val="TOC2"/>
      </w:pPr>
      <w:hyperlink w:anchor="v12_156"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97</w:t>
        </w:r>
      </w:hyperlink>
    </w:p>
    <w:p>
      <w:pPr>
        <w:pStyle w:val="TOC1"/>
        <w:keepNext/>
        <w:spacing w:before="120"/>
      </w:pPr>
      <w:hyperlink w:anchor="v12_157"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98</w:t>
        </w:r>
      </w:hyperlink>
    </w:p>
    <w:p>
      <w:pPr>
        <w:pStyle w:val="TOC2"/>
      </w:pPr>
      <w:hyperlink w:anchor="v12_158"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98</w:t>
        </w:r>
      </w:hyperlink>
    </w:p>
    <w:p>
      <w:pPr>
        <w:pStyle w:val="TOC2"/>
      </w:pPr>
      <w:hyperlink w:anchor="v12_159"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98</w:t>
        </w:r>
      </w:hyperlink>
    </w:p>
    <w:p>
      <w:pPr>
        <w:pStyle w:val="TOC2"/>
      </w:pPr>
      <w:hyperlink w:anchor="v12_160"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99</w:t>
        </w:r>
      </w:hyperlink>
    </w:p>
    <w:p>
      <w:pPr>
        <w:pStyle w:val="TOC2"/>
      </w:pPr>
      <w:hyperlink w:anchor="v12_161"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100</w:t>
        </w:r>
      </w:hyperlink>
    </w:p>
    <w:p>
      <w:pPr>
        <w:pStyle w:val="TOC2"/>
      </w:pPr>
      <w:hyperlink w:anchor="v12_162" w:history="1">
        <w:r>
          <w:rPr>
            <w:rFonts w:ascii="Times New Roman" w:hAnsi="Times New Roman" w:eastAsia="Songti SC"/>
            <w:color w:val="000000"/>
            <w:sz w:val="22"/>
          </w:rPr>
          <w:t>H.5 模拟结果后的实证替换顺序</w:t>
        </w:r>
        <w:r>
          <w:rPr>
            <w:rFonts w:ascii="Times New Roman" w:hAnsi="Times New Roman" w:eastAsia="Songti SC"/>
            <w:color w:val="000000"/>
            <w:sz w:val="22"/>
          </w:rPr>
          <w:tab/>
          <w:t>101</w:t>
        </w:r>
      </w:hyperlink>
    </w:p>
    <w:p>
      <w:pPr>
        <w:pStyle w:val="TOC2"/>
      </w:pPr>
      <w:hyperlink w:anchor="v12_163" w:history="1">
        <w:r>
          <w:rPr>
            <w:rFonts w:ascii="Times New Roman" w:hAnsi="Times New Roman" w:eastAsia="Songti SC"/>
            <w:color w:val="000000"/>
            <w:sz w:val="22"/>
          </w:rPr>
          <w:t>H.6 新增模拟记录与复算边界</w:t>
        </w:r>
        <w:r>
          <w:rPr>
            <w:rFonts w:ascii="Times New Roman" w:hAnsi="Times New Roman" w:eastAsia="Songti SC"/>
            <w:color w:val="000000"/>
            <w:sz w:val="22"/>
          </w:rPr>
          <w:tab/>
          <w:t>101</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2_164"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2_166"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12_170"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12_172"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12_173"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23</w:t>
        </w:r>
      </w:hyperlink>
    </w:p>
    <w:p>
      <w:pPr>
        <w:pStyle w:val="FigureList"/>
      </w:pPr>
      <w:hyperlink w:anchor="v12_180" w:history="1">
        <w:r>
          <w:rPr>
            <w:rFonts w:ascii="Times New Roman" w:hAnsi="Times New Roman" w:eastAsia="Songti SC"/>
            <w:color w:val="000000"/>
            <w:sz w:val="22"/>
          </w:rPr>
          <w:t>图3-3 训练方案与学习目标的严格关系结果（人工情景）</w:t>
        </w:r>
        <w:r>
          <w:rPr>
            <w:rFonts w:ascii="Times New Roman" w:hAnsi="Times New Roman" w:eastAsia="Songti SC"/>
            <w:color w:val="000000"/>
            <w:sz w:val="22"/>
          </w:rPr>
          <w:tab/>
          <w:t>32</w:t>
        </w:r>
      </w:hyperlink>
    </w:p>
    <w:p>
      <w:pPr>
        <w:pStyle w:val="FigureList"/>
      </w:pPr>
      <w:hyperlink w:anchor="v12_185"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36</w:t>
        </w:r>
      </w:hyperlink>
    </w:p>
    <w:p>
      <w:pPr>
        <w:pStyle w:val="FigureList"/>
      </w:pPr>
      <w:hyperlink w:anchor="v12_188"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48</w:t>
        </w:r>
      </w:hyperlink>
    </w:p>
    <w:p>
      <w:pPr>
        <w:pStyle w:val="FigureList"/>
      </w:pPr>
      <w:hyperlink w:anchor="v12_196" w:history="1">
        <w:r>
          <w:rPr>
            <w:rFonts w:ascii="Times New Roman" w:hAnsi="Times New Roman" w:eastAsia="Songti SC"/>
            <w:color w:val="000000"/>
            <w:sz w:val="22"/>
          </w:rPr>
          <w:t>图4-3 联合修正中的关系恢复与原真阳性损失（人工情景）</w:t>
        </w:r>
        <w:r>
          <w:rPr>
            <w:rFonts w:ascii="Times New Roman" w:hAnsi="Times New Roman" w:eastAsia="Songti SC"/>
            <w:color w:val="000000"/>
            <w:sz w:val="22"/>
          </w:rPr>
          <w:tab/>
          <w:t>58</w:t>
        </w:r>
      </w:hyperlink>
    </w:p>
    <w:p>
      <w:pPr>
        <w:pStyle w:val="FigureList"/>
      </w:pPr>
      <w:hyperlink w:anchor="v12_198" w:history="1">
        <w:r>
          <w:rPr>
            <w:rFonts w:ascii="Times New Roman" w:hAnsi="Times New Roman" w:eastAsia="Songti SC"/>
            <w:color w:val="000000"/>
            <w:sz w:val="22"/>
          </w:rPr>
          <w:t>图4-4 外层轮数增加时的结果与时间变化（人工情景）</w:t>
        </w:r>
        <w:r>
          <w:rPr>
            <w:rFonts w:ascii="Times New Roman" w:hAnsi="Times New Roman" w:eastAsia="Songti SC"/>
            <w:color w:val="000000"/>
            <w:sz w:val="22"/>
          </w:rPr>
          <w:tab/>
          <w:t>59</w:t>
        </w:r>
      </w:hyperlink>
    </w:p>
    <w:p>
      <w:pPr>
        <w:pStyle w:val="FigureList"/>
      </w:pPr>
      <w:hyperlink w:anchor="v12_203" w:history="1">
        <w:r>
          <w:rPr>
            <w:rFonts w:ascii="Times New Roman" w:hAnsi="Times New Roman" w:eastAsia="Songti SC"/>
            <w:color w:val="000000"/>
            <w:sz w:val="22"/>
          </w:rPr>
          <w:t>图4-5 预算变化下的整体表现与大规模边界（新增模拟情景）</w:t>
        </w:r>
        <w:r>
          <w:rPr>
            <w:rFonts w:ascii="Times New Roman" w:hAnsi="Times New Roman" w:eastAsia="Songti SC"/>
            <w:color w:val="000000"/>
            <w:sz w:val="22"/>
          </w:rPr>
          <w:tab/>
          <w:t>63</w:t>
        </w:r>
      </w:hyperlink>
    </w:p>
    <w:p>
      <w:pPr>
        <w:pStyle w:val="FigureList"/>
      </w:pPr>
      <w:hyperlink w:anchor="v12_206" w:history="1">
        <w:r>
          <w:rPr>
            <w:rFonts w:ascii="Times New Roman" w:hAnsi="Times New Roman" w:eastAsia="Songti SC"/>
            <w:color w:val="000000"/>
            <w:sz w:val="22"/>
          </w:rPr>
          <w:t>图5-1 两个训练条件下的推理增量与交互关系（人工情景）</w:t>
        </w:r>
        <w:r>
          <w:rPr>
            <w:rFonts w:ascii="Times New Roman" w:hAnsi="Times New Roman" w:eastAsia="Songti SC"/>
            <w:color w:val="000000"/>
            <w:sz w:val="22"/>
          </w:rPr>
          <w:tab/>
          <w:t>65</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2_165"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12_167"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2_168"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12_169" w:history="1">
        <w:r>
          <w:rPr>
            <w:rFonts w:ascii="Times New Roman" w:hAnsi="Times New Roman" w:eastAsia="Songti SC"/>
            <w:color w:val="000000"/>
            <w:sz w:val="22"/>
          </w:rPr>
          <w:t>表2-2 公共配置与评价规模（人工情景）</w:t>
        </w:r>
        <w:r>
          <w:rPr>
            <w:rFonts w:ascii="Times New Roman" w:hAnsi="Times New Roman" w:eastAsia="Songti SC"/>
            <w:color w:val="000000"/>
            <w:sz w:val="22"/>
          </w:rPr>
          <w:tab/>
          <w:t>14</w:t>
        </w:r>
      </w:hyperlink>
    </w:p>
    <w:p>
      <w:pPr>
        <w:pStyle w:val="TableList"/>
      </w:pPr>
      <w:hyperlink w:anchor="v12_171"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12_175"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12_176" w:history="1">
        <w:r>
          <w:rPr>
            <w:rFonts w:ascii="Times New Roman" w:hAnsi="Times New Roman" w:eastAsia="Songti SC"/>
            <w:color w:val="000000"/>
            <w:sz w:val="22"/>
          </w:rPr>
          <w:t>表3-3 接受样本的标签漂移率（%）（人工情景）</w:t>
        </w:r>
        <w:r>
          <w:rPr>
            <w:rFonts w:ascii="Times New Roman" w:hAnsi="Times New Roman" w:eastAsia="Songti SC"/>
            <w:color w:val="000000"/>
            <w:sz w:val="22"/>
          </w:rPr>
          <w:tab/>
          <w:t>29</w:t>
        </w:r>
      </w:hyperlink>
    </w:p>
    <w:p>
      <w:pPr>
        <w:pStyle w:val="TableList"/>
      </w:pPr>
      <w:hyperlink w:anchor="v12_177" w:history="1">
        <w:r>
          <w:rPr>
            <w:rFonts w:ascii="Times New Roman" w:hAnsi="Times New Roman" w:eastAsia="Songti SC"/>
            <w:color w:val="000000"/>
            <w:sz w:val="22"/>
          </w:rPr>
          <w:t>表3-4 接受与拒绝样本的因素漂移审计（人工情景）</w:t>
        </w:r>
        <w:r>
          <w:rPr>
            <w:rFonts w:ascii="Times New Roman" w:hAnsi="Times New Roman" w:eastAsia="Songti SC"/>
            <w:color w:val="000000"/>
            <w:sz w:val="22"/>
          </w:rPr>
          <w:tab/>
          <w:t>30</w:t>
        </w:r>
      </w:hyperlink>
    </w:p>
    <w:p>
      <w:pPr>
        <w:pStyle w:val="TableList"/>
      </w:pPr>
      <w:hyperlink w:anchor="v12_178" w:history="1">
        <w:r>
          <w:rPr>
            <w:rFonts w:ascii="Times New Roman" w:hAnsi="Times New Roman" w:eastAsia="Songti SC"/>
            <w:color w:val="000000"/>
            <w:sz w:val="22"/>
          </w:rPr>
          <w:t>表3-5 训练方案的严格抽取结果（匹配训练规模）（人工情景）</w:t>
        </w:r>
        <w:r>
          <w:rPr>
            <w:rFonts w:ascii="Times New Roman" w:hAnsi="Times New Roman" w:eastAsia="Songti SC"/>
            <w:color w:val="000000"/>
            <w:sz w:val="22"/>
          </w:rPr>
          <w:tab/>
          <w:t>31</w:t>
        </w:r>
      </w:hyperlink>
    </w:p>
    <w:p>
      <w:pPr>
        <w:pStyle w:val="TableList"/>
      </w:pPr>
      <w:hyperlink w:anchor="v12_179" w:history="1">
        <w:r>
          <w:rPr>
            <w:rFonts w:ascii="Times New Roman" w:hAnsi="Times New Roman" w:eastAsia="Songti SC"/>
            <w:color w:val="000000"/>
            <w:sz w:val="22"/>
          </w:rPr>
          <w:t>表3-6 相同增强集合上的学习目标比较（匹配训练规模）（人工情景）</w:t>
        </w:r>
        <w:r>
          <w:rPr>
            <w:rFonts w:ascii="Times New Roman" w:hAnsi="Times New Roman" w:eastAsia="Songti SC"/>
            <w:color w:val="000000"/>
            <w:sz w:val="22"/>
          </w:rPr>
          <w:tab/>
          <w:t>31</w:t>
        </w:r>
      </w:hyperlink>
    </w:p>
    <w:p>
      <w:pPr>
        <w:pStyle w:val="TableList"/>
      </w:pPr>
      <w:hyperlink w:anchor="v12_181" w:history="1">
        <w:r>
          <w:rPr>
            <w:rFonts w:ascii="Times New Roman" w:hAnsi="Times New Roman" w:eastAsia="Songti SC"/>
            <w:color w:val="000000"/>
            <w:sz w:val="22"/>
          </w:rPr>
          <w:t>表3-7 中心匹配的有效覆盖与自匹配（人工情景）</w:t>
        </w:r>
        <w:r>
          <w:rPr>
            <w:rFonts w:ascii="Times New Roman" w:hAnsi="Times New Roman" w:eastAsia="Songti SC"/>
            <w:color w:val="000000"/>
            <w:sz w:val="22"/>
          </w:rPr>
          <w:tab/>
          <w:t>32</w:t>
        </w:r>
      </w:hyperlink>
    </w:p>
    <w:p>
      <w:pPr>
        <w:pStyle w:val="TableList"/>
      </w:pPr>
      <w:hyperlink w:anchor="v12_182" w:history="1">
        <w:r>
          <w:rPr>
            <w:rFonts w:ascii="Times New Roman" w:hAnsi="Times New Roman" w:eastAsia="Songti SC"/>
            <w:color w:val="000000"/>
            <w:sz w:val="22"/>
          </w:rPr>
          <w:t>表3-8 结论中心与匹配随机中心的比较（匹配训练规模）（人工情景）</w:t>
        </w:r>
        <w:r>
          <w:rPr>
            <w:rFonts w:ascii="Times New Roman" w:hAnsi="Times New Roman" w:eastAsia="Songti SC"/>
            <w:color w:val="000000"/>
            <w:sz w:val="22"/>
          </w:rPr>
          <w:tab/>
          <w:t>33</w:t>
        </w:r>
      </w:hyperlink>
    </w:p>
    <w:p>
      <w:pPr>
        <w:pStyle w:val="TableList"/>
      </w:pPr>
      <w:hyperlink w:anchor="v12_183" w:history="1">
        <w:r>
          <w:rPr>
            <w:rFonts w:ascii="Times New Roman" w:hAnsi="Times New Roman" w:eastAsia="Songti SC"/>
            <w:color w:val="000000"/>
            <w:sz w:val="22"/>
          </w:rPr>
          <w:t>表3-9 固定尝试预算下的覆盖与构造成本（人工情景）</w:t>
        </w:r>
        <w:r>
          <w:rPr>
            <w:rFonts w:ascii="Times New Roman" w:hAnsi="Times New Roman" w:eastAsia="Songti SC"/>
            <w:color w:val="000000"/>
            <w:sz w:val="22"/>
          </w:rPr>
          <w:tab/>
          <w:t>33</w:t>
        </w:r>
      </w:hyperlink>
    </w:p>
    <w:p>
      <w:pPr>
        <w:pStyle w:val="TableList"/>
      </w:pPr>
      <w:hyperlink w:anchor="v12_184" w:history="1">
        <w:r>
          <w:rPr>
            <w:rFonts w:ascii="Times New Roman" w:hAnsi="Times New Roman" w:eastAsia="Songti SC"/>
            <w:color w:val="000000"/>
            <w:sz w:val="22"/>
          </w:rPr>
          <w:t>表3-10 共同池的变化与覆盖诊断（新增模拟情景）</w:t>
        </w:r>
        <w:r>
          <w:rPr>
            <w:rFonts w:ascii="Times New Roman" w:hAnsi="Times New Roman" w:eastAsia="Songti SC"/>
            <w:color w:val="000000"/>
            <w:sz w:val="22"/>
          </w:rPr>
          <w:tab/>
          <w:t>34</w:t>
        </w:r>
      </w:hyperlink>
    </w:p>
    <w:p>
      <w:pPr>
        <w:pStyle w:val="TableList"/>
      </w:pPr>
      <w:hyperlink w:anchor="v12_189"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51</w:t>
        </w:r>
      </w:hyperlink>
    </w:p>
    <w:p>
      <w:pPr>
        <w:pStyle w:val="TableList"/>
      </w:pPr>
      <w:hyperlink w:anchor="v12_190"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52</w:t>
        </w:r>
      </w:hyperlink>
    </w:p>
    <w:p>
      <w:pPr>
        <w:pStyle w:val="TableList"/>
      </w:pPr>
      <w:hyperlink w:anchor="v12_191" w:history="1">
        <w:r>
          <w:rPr>
            <w:rFonts w:ascii="Times New Roman" w:hAnsi="Times New Roman" w:eastAsia="Songti SC"/>
            <w:color w:val="000000"/>
            <w:sz w:val="22"/>
          </w:rPr>
          <w:t>表4-3 推理方法的严格抽取结果（人工情景）</w:t>
        </w:r>
        <w:r>
          <w:rPr>
            <w:rFonts w:ascii="Times New Roman" w:hAnsi="Times New Roman" w:eastAsia="Songti SC"/>
            <w:color w:val="000000"/>
            <w:sz w:val="22"/>
          </w:rPr>
          <w:tab/>
          <w:t>53</w:t>
        </w:r>
      </w:hyperlink>
    </w:p>
    <w:p>
      <w:pPr>
        <w:pStyle w:val="TableList"/>
      </w:pPr>
      <w:hyperlink w:anchor="v12_192" w:history="1">
        <w:r>
          <w:rPr>
            <w:rFonts w:ascii="Times New Roman" w:hAnsi="Times New Roman" w:eastAsia="Songti SC"/>
            <w:color w:val="000000"/>
            <w:sz w:val="22"/>
          </w:rPr>
          <w:t>表4-4 从完整组件到完整关系的候选覆盖（人工情景）</w:t>
        </w:r>
        <w:r>
          <w:rPr>
            <w:rFonts w:ascii="Times New Roman" w:hAnsi="Times New Roman" w:eastAsia="Songti SC"/>
            <w:color w:val="000000"/>
            <w:sz w:val="22"/>
          </w:rPr>
          <w:tab/>
          <w:t>55</w:t>
        </w:r>
      </w:hyperlink>
    </w:p>
    <w:p>
      <w:pPr>
        <w:pStyle w:val="TableList"/>
      </w:pPr>
      <w:hyperlink w:anchor="v12_193" w:history="1">
        <w:r>
          <w:rPr>
            <w:rFonts w:ascii="Times New Roman" w:hAnsi="Times New Roman" w:eastAsia="Songti SC"/>
            <w:color w:val="000000"/>
            <w:sz w:val="22"/>
          </w:rPr>
          <w:t>表4-5 三类恢复空间的关系计数诊断（人工情景）</w:t>
        </w:r>
        <w:r>
          <w:rPr>
            <w:rFonts w:ascii="Times New Roman" w:hAnsi="Times New Roman" w:eastAsia="Songti SC"/>
            <w:color w:val="000000"/>
            <w:sz w:val="22"/>
          </w:rPr>
          <w:tab/>
          <w:t>55</w:t>
        </w:r>
      </w:hyperlink>
    </w:p>
    <w:p>
      <w:pPr>
        <w:pStyle w:val="TableList"/>
      </w:pPr>
      <w:hyperlink w:anchor="v12_194" w:history="1">
        <w:r>
          <w:rPr>
            <w:rFonts w:ascii="Times New Roman" w:hAnsi="Times New Roman" w:eastAsia="Songti SC"/>
            <w:color w:val="000000"/>
            <w:sz w:val="22"/>
          </w:rPr>
          <w:t>表4-6 完整对象评分的区分与校准（人工情景）</w:t>
        </w:r>
        <w:r>
          <w:rPr>
            <w:rFonts w:ascii="Times New Roman" w:hAnsi="Times New Roman" w:eastAsia="Songti SC"/>
            <w:color w:val="000000"/>
            <w:sz w:val="22"/>
          </w:rPr>
          <w:tab/>
          <w:t>56</w:t>
        </w:r>
      </w:hyperlink>
    </w:p>
    <w:p>
      <w:pPr>
        <w:pStyle w:val="TableList"/>
      </w:pPr>
      <w:hyperlink w:anchor="v12_195" w:history="1">
        <w:r>
          <w:rPr>
            <w:rFonts w:ascii="Times New Roman" w:hAnsi="Times New Roman" w:eastAsia="Songti SC"/>
            <w:color w:val="000000"/>
            <w:sz w:val="22"/>
          </w:rPr>
          <w:t>表4-7 关系恢复与误改的累计计数（人工情景）</w:t>
        </w:r>
        <w:r>
          <w:rPr>
            <w:rFonts w:ascii="Times New Roman" w:hAnsi="Times New Roman" w:eastAsia="Songti SC"/>
            <w:color w:val="000000"/>
            <w:sz w:val="22"/>
          </w:rPr>
          <w:tab/>
          <w:t>57</w:t>
        </w:r>
      </w:hyperlink>
    </w:p>
    <w:p>
      <w:pPr>
        <w:pStyle w:val="TableList"/>
      </w:pPr>
      <w:hyperlink w:anchor="v12_197" w:history="1">
        <w:r>
          <w:rPr>
            <w:rFonts w:ascii="Times New Roman" w:hAnsi="Times New Roman" w:eastAsia="Songti SC"/>
            <w:color w:val="000000"/>
            <w:sz w:val="22"/>
          </w:rPr>
          <w:t>表4-8 推理成本与预算取舍（人工情景）</w:t>
        </w:r>
        <w:r>
          <w:rPr>
            <w:rFonts w:ascii="Times New Roman" w:hAnsi="Times New Roman" w:eastAsia="Songti SC"/>
            <w:color w:val="000000"/>
            <w:sz w:val="22"/>
          </w:rPr>
          <w:tab/>
          <w:t>58</w:t>
        </w:r>
      </w:hyperlink>
    </w:p>
    <w:p>
      <w:pPr>
        <w:pStyle w:val="TableList"/>
      </w:pPr>
      <w:hyperlink w:anchor="v12_199" w:history="1">
        <w:r>
          <w:rPr>
            <w:rFonts w:ascii="Times New Roman" w:hAnsi="Times New Roman" w:eastAsia="Songti SC"/>
            <w:color w:val="000000"/>
            <w:sz w:val="22"/>
          </w:rPr>
          <w:t>表4-9 结构恢复与失败案例（人工情景）</w:t>
        </w:r>
        <w:r>
          <w:rPr>
            <w:rFonts w:ascii="Times New Roman" w:hAnsi="Times New Roman" w:eastAsia="Songti SC"/>
            <w:color w:val="000000"/>
            <w:sz w:val="22"/>
          </w:rPr>
          <w:tab/>
          <w:t>60</w:t>
        </w:r>
      </w:hyperlink>
    </w:p>
    <w:p>
      <w:pPr>
        <w:pStyle w:val="TableList"/>
      </w:pPr>
      <w:hyperlink w:anchor="v12_200" w:history="1">
        <w:r>
          <w:rPr>
            <w:rFonts w:ascii="Times New Roman" w:hAnsi="Times New Roman" w:eastAsia="Songti SC"/>
            <w:color w:val="000000"/>
            <w:sz w:val="22"/>
          </w:rPr>
          <w:t>表4-10 共同评价口径下的外部方法占位对照（模拟成绩）</w:t>
        </w:r>
        <w:r>
          <w:rPr>
            <w:rFonts w:ascii="Times New Roman" w:hAnsi="Times New Roman" w:eastAsia="Songti SC"/>
            <w:color w:val="000000"/>
            <w:sz w:val="22"/>
          </w:rPr>
          <w:tab/>
          <w:t>61</w:t>
        </w:r>
      </w:hyperlink>
    </w:p>
    <w:p>
      <w:pPr>
        <w:pStyle w:val="TableList"/>
      </w:pPr>
      <w:hyperlink w:anchor="v12_201" w:history="1">
        <w:r>
          <w:rPr>
            <w:rFonts w:ascii="Times New Roman" w:hAnsi="Times New Roman" w:eastAsia="Songti SC"/>
            <w:color w:val="000000"/>
            <w:sz w:val="22"/>
          </w:rPr>
          <w:t>表4-11 裁剪前规模与预检成本（新增模拟情景）</w:t>
        </w:r>
        <w:r>
          <w:rPr>
            <w:rFonts w:ascii="Times New Roman" w:hAnsi="Times New Roman" w:eastAsia="Songti SC"/>
            <w:color w:val="000000"/>
            <w:sz w:val="22"/>
          </w:rPr>
          <w:tab/>
          <w:t>61</w:t>
        </w:r>
      </w:hyperlink>
    </w:p>
    <w:p>
      <w:pPr>
        <w:pStyle w:val="TableList"/>
      </w:pPr>
      <w:hyperlink w:anchor="v12_202" w:history="1">
        <w:r>
          <w:rPr>
            <w:rFonts w:ascii="Times New Roman" w:hAnsi="Times New Roman" w:eastAsia="Songti SC"/>
            <w:color w:val="000000"/>
            <w:sz w:val="22"/>
          </w:rPr>
          <w:t>表4-12 同端到端时限的质量与尾延迟（新增模拟情景）</w:t>
        </w:r>
        <w:r>
          <w:rPr>
            <w:rFonts w:ascii="Times New Roman" w:hAnsi="Times New Roman" w:eastAsia="Songti SC"/>
            <w:color w:val="000000"/>
            <w:sz w:val="22"/>
          </w:rPr>
          <w:tab/>
          <w:t>62</w:t>
        </w:r>
      </w:hyperlink>
    </w:p>
    <w:p>
      <w:pPr>
        <w:pStyle w:val="TableList"/>
      </w:pPr>
      <w:hyperlink w:anchor="v12_204" w:history="1">
        <w:r>
          <w:rPr>
            <w:rFonts w:ascii="Times New Roman" w:hAnsi="Times New Roman" w:eastAsia="Songti SC"/>
            <w:color w:val="000000"/>
            <w:sz w:val="22"/>
          </w:rPr>
          <w:t>表5-1 两阶段组合的四格结果（人工情景）</w:t>
        </w:r>
        <w:r>
          <w:rPr>
            <w:rFonts w:ascii="Times New Roman" w:hAnsi="Times New Roman" w:eastAsia="Songti SC"/>
            <w:color w:val="000000"/>
            <w:sz w:val="22"/>
          </w:rPr>
          <w:tab/>
          <w:t>64</w:t>
        </w:r>
      </w:hyperlink>
    </w:p>
    <w:p>
      <w:pPr>
        <w:pStyle w:val="TableList"/>
      </w:pPr>
      <w:hyperlink w:anchor="v12_205" w:history="1">
        <w:r>
          <w:rPr>
            <w:rFonts w:ascii="Times New Roman" w:hAnsi="Times New Roman" w:eastAsia="Songti SC"/>
            <w:color w:val="000000"/>
            <w:sz w:val="22"/>
          </w:rPr>
          <w:t>表5-2 条件增量与交互差（人工情景）</w:t>
        </w:r>
        <w:r>
          <w:rPr>
            <w:rFonts w:ascii="Times New Roman" w:hAnsi="Times New Roman" w:eastAsia="Songti SC"/>
            <w:color w:val="000000"/>
            <w:sz w:val="22"/>
          </w:rPr>
          <w:tab/>
          <w:t>64</w:t>
        </w:r>
      </w:hyperlink>
    </w:p>
    <w:p>
      <w:pPr>
        <w:pStyle w:val="TableList"/>
      </w:pPr>
      <w:hyperlink w:anchor="v12_207" w:history="1">
        <w:r>
          <w:rPr>
            <w:rFonts w:ascii="Times New Roman" w:hAnsi="Times New Roman" w:eastAsia="Songti SC"/>
            <w:color w:val="000000"/>
            <w:sz w:val="22"/>
          </w:rPr>
          <w:t>表5-3 四格比较的净错误计数变化（人工情景）</w:t>
        </w:r>
        <w:r>
          <w:rPr>
            <w:rFonts w:ascii="Times New Roman" w:hAnsi="Times New Roman" w:eastAsia="Songti SC"/>
            <w:color w:val="000000"/>
            <w:sz w:val="22"/>
          </w:rPr>
          <w:tab/>
          <w:t>65</w:t>
        </w:r>
      </w:hyperlink>
    </w:p>
    <w:p>
      <w:pPr>
        <w:pStyle w:val="TableList"/>
      </w:pPr>
      <w:hyperlink w:anchor="v12_208" w:history="1">
        <w:r>
          <w:rPr>
            <w:rFonts w:ascii="Times New Roman" w:hAnsi="Times New Roman" w:eastAsia="Songti SC"/>
            <w:color w:val="000000"/>
            <w:sz w:val="22"/>
          </w:rPr>
          <w:t>表5-4 四格关系对象的修复与损失（补全模拟情景）</w:t>
        </w:r>
        <w:r>
          <w:rPr>
            <w:rFonts w:ascii="Times New Roman" w:hAnsi="Times New Roman" w:eastAsia="Songti SC"/>
            <w:color w:val="000000"/>
            <w:sz w:val="22"/>
          </w:rPr>
          <w:tab/>
          <w:t>66</w:t>
        </w:r>
      </w:hyperlink>
    </w:p>
    <w:p>
      <w:pPr>
        <w:pStyle w:val="TableList"/>
      </w:pPr>
      <w:hyperlink w:anchor="v12_209" w:history="1">
        <w:r>
          <w:rPr>
            <w:rFonts w:ascii="Times New Roman" w:hAnsi="Times New Roman" w:eastAsia="Songti SC"/>
            <w:color w:val="000000"/>
            <w:sz w:val="22"/>
          </w:rPr>
          <w:t>表5-5 相同模拟对象在四格中的命中状态</w:t>
        </w:r>
        <w:r>
          <w:rPr>
            <w:rFonts w:ascii="Times New Roman" w:hAnsi="Times New Roman" w:eastAsia="Songti SC"/>
            <w:color w:val="000000"/>
            <w:sz w:val="22"/>
          </w:rPr>
          <w:tab/>
          <w:t>66</w:t>
        </w:r>
      </w:hyperlink>
    </w:p>
    <w:p>
      <w:pPr>
        <w:pStyle w:val="TableList"/>
      </w:pPr>
      <w:hyperlink w:anchor="v12_210" w:history="1">
        <w:r>
          <w:rPr>
            <w:rFonts w:ascii="Times New Roman" w:hAnsi="Times New Roman" w:eastAsia="Songti SC"/>
            <w:color w:val="000000"/>
            <w:sz w:val="22"/>
          </w:rPr>
          <w:t>表5-6 相对共同起点的关系增量与在线额外时间（人工情景）</w:t>
        </w:r>
        <w:r>
          <w:rPr>
            <w:rFonts w:ascii="Times New Roman" w:hAnsi="Times New Roman" w:eastAsia="Songti SC"/>
            <w:color w:val="000000"/>
            <w:sz w:val="22"/>
          </w:rPr>
          <w:tab/>
          <w:t>67</w:t>
        </w:r>
      </w:hyperlink>
    </w:p>
    <w:p>
      <w:pPr>
        <w:pStyle w:val="TableList"/>
      </w:pPr>
      <w:hyperlink w:anchor="v12_211" w:history="1">
        <w:r>
          <w:rPr>
            <w:rFonts w:ascii="Times New Roman" w:hAnsi="Times New Roman" w:eastAsia="Songti SC"/>
            <w:color w:val="000000"/>
            <w:sz w:val="22"/>
          </w:rPr>
          <w:t>表5-7 CDCP完整关系的源成员数分组（人工情景）</w:t>
        </w:r>
        <w:r>
          <w:rPr>
            <w:rFonts w:ascii="Times New Roman" w:hAnsi="Times New Roman" w:eastAsia="Songti SC"/>
            <w:color w:val="000000"/>
            <w:sz w:val="22"/>
          </w:rPr>
          <w:tab/>
          <w:t>68</w:t>
        </w:r>
      </w:hyperlink>
    </w:p>
    <w:p>
      <w:pPr>
        <w:pStyle w:val="TableList"/>
      </w:pPr>
      <w:hyperlink w:anchor="v12_212"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75</w:t>
        </w:r>
      </w:hyperlink>
    </w:p>
    <w:p>
      <w:pPr>
        <w:pStyle w:val="TableList"/>
      </w:pPr>
      <w:hyperlink w:anchor="v12_213" w:history="1">
        <w:r>
          <w:rPr>
            <w:rFonts w:ascii="Times New Roman" w:hAnsi="Times New Roman" w:eastAsia="Songti SC"/>
            <w:color w:val="000000"/>
            <w:sz w:val="22"/>
          </w:rPr>
          <w:t>表A-2 本版参考配置</w:t>
        </w:r>
        <w:r>
          <w:rPr>
            <w:rFonts w:ascii="Times New Roman" w:hAnsi="Times New Roman" w:eastAsia="Songti SC"/>
            <w:color w:val="000000"/>
            <w:sz w:val="22"/>
          </w:rPr>
          <w:tab/>
          <w:t>76</w:t>
        </w:r>
      </w:hyperlink>
    </w:p>
    <w:p>
      <w:pPr>
        <w:pStyle w:val="TableList"/>
      </w:pPr>
      <w:hyperlink w:anchor="v12_214"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80</w:t>
        </w:r>
      </w:hyperlink>
    </w:p>
    <w:p>
      <w:pPr>
        <w:pStyle w:val="TableList"/>
      </w:pPr>
      <w:hyperlink w:anchor="v12_215"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87</w:t>
        </w:r>
      </w:hyperlink>
    </w:p>
    <w:p>
      <w:pPr>
        <w:pStyle w:val="TableList"/>
      </w:pPr>
      <w:hyperlink w:anchor="v12_216"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87</w:t>
        </w:r>
      </w:hyperlink>
    </w:p>
    <w:p>
      <w:pPr>
        <w:pStyle w:val="TableList"/>
      </w:pPr>
      <w:hyperlink w:anchor="v12_217"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88</w:t>
        </w:r>
      </w:hyperlink>
    </w:p>
    <w:p>
      <w:pPr>
        <w:pStyle w:val="TableList"/>
      </w:pPr>
      <w:hyperlink w:anchor="v12_218"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88</w:t>
        </w:r>
      </w:hyperlink>
    </w:p>
    <w:p>
      <w:pPr>
        <w:pStyle w:val="TableList"/>
      </w:pPr>
      <w:hyperlink w:anchor="v12_219"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89</w:t>
        </w:r>
      </w:hyperlink>
    </w:p>
    <w:p>
      <w:pPr>
        <w:pStyle w:val="TableList"/>
      </w:pPr>
      <w:hyperlink w:anchor="v12_220"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89</w:t>
        </w:r>
      </w:hyperlink>
    </w:p>
    <w:p>
      <w:pPr>
        <w:pStyle w:val="TableList"/>
      </w:pPr>
      <w:hyperlink w:anchor="v12_221"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89</w:t>
        </w:r>
      </w:hyperlink>
    </w:p>
    <w:p>
      <w:pPr>
        <w:pStyle w:val="TableList"/>
      </w:pPr>
      <w:hyperlink w:anchor="v12_222"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90</w:t>
        </w:r>
      </w:hyperlink>
    </w:p>
    <w:p>
      <w:pPr>
        <w:pStyle w:val="TableList"/>
      </w:pPr>
      <w:hyperlink w:anchor="v12_223"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91</w:t>
        </w:r>
      </w:hyperlink>
    </w:p>
    <w:p>
      <w:pPr>
        <w:pStyle w:val="TableList"/>
      </w:pPr>
      <w:hyperlink w:anchor="v12_224"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92</w:t>
        </w:r>
      </w:hyperlink>
    </w:p>
    <w:p>
      <w:pPr>
        <w:pStyle w:val="TableList"/>
      </w:pPr>
      <w:hyperlink w:anchor="v12_225"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94</w:t>
        </w:r>
      </w:hyperlink>
    </w:p>
    <w:p>
      <w:pPr>
        <w:pStyle w:val="TableList"/>
      </w:pPr>
      <w:hyperlink w:anchor="v12_226"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95</w:t>
        </w:r>
      </w:hyperlink>
    </w:p>
    <w:p>
      <w:pPr>
        <w:pStyle w:val="TableList"/>
      </w:pPr>
      <w:hyperlink w:anchor="v12_227"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96</w:t>
        </w:r>
      </w:hyperlink>
    </w:p>
    <w:p>
      <w:pPr>
        <w:pStyle w:val="TableList"/>
      </w:pPr>
      <w:hyperlink w:anchor="v12_228" w:history="1">
        <w:r>
          <w:rPr>
            <w:rFonts w:ascii="Times New Roman" w:hAnsi="Times New Roman" w:eastAsia="Songti SC"/>
            <w:color w:val="000000"/>
            <w:sz w:val="22"/>
          </w:rPr>
          <w:t>表H-1 固定尝试轨训练成本存档（人工情景）</w:t>
        </w:r>
        <w:r>
          <w:rPr>
            <w:rFonts w:ascii="Times New Roman" w:hAnsi="Times New Roman" w:eastAsia="Songti SC"/>
            <w:color w:val="000000"/>
            <w:sz w:val="22"/>
          </w:rPr>
          <w:tab/>
          <w:t>99</w:t>
        </w:r>
      </w:hyperlink>
      <w:r>
        <w:fldChar w:fldCharType="end"/>
      </w:r>
    </w:p>
    <w:p>
      <w:pPr>
        <w:sectPr>
          <w:headerReference w:type="default" r:id="rId152"/>
          <w:footerReference w:type="default" r:id="rId153"/>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2_12"/>
      <w:bookmarkEnd w:id="12"/>
    </w:p>
    <w:p>
      <w:pPr>
        <w:pStyle w:val="Heading2"/>
      </w:pPr>
      <w:r>
        <w:t>1.1 研究背景与问题提出</w:t>
      </w:r>
      <w:bookmarkStart w:id="13" w:name="v12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4" w:name="v12_164"/>
      <w:bookmarkEnd w:id="164"/>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当前人工情景不建立真实问题发生率，诊断方案集中于附录H.1。</w:t>
      </w:r>
    </w:p>
    <w:p>
      <w:pPr>
        <w:pStyle w:val="Heading2"/>
      </w:pPr>
      <w:r>
        <w:t>1.2 国内外研究现状</w:t>
      </w:r>
      <w:bookmarkStart w:id="14" w:name="v12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2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2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2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2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5" w:name="v12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2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6" w:name="v12_166"/>
      <w:bookmarkEnd w:id="166"/>
    </w:p>
    <w:p>
      <w:pPr>
        <w:pStyle w:val="Heading3"/>
      </w:pPr>
      <w:r>
        <w:t>1.3.1 研究问题</w:t>
      </w:r>
      <w:bookmarkStart w:id="20" w:name="v12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2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2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7" w:name="v12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2_23"/>
      <w:bookmarkEnd w:id="23"/>
    </w:p>
    <w:p>
      <w:r>
        <w:rPr>
          <w:rFonts w:ascii="Times New Roman" w:hAnsi="Times New Roman" w:eastAsia="Songti SC"/>
          <w:color w:val="000000"/>
        </w:rPr>
        <w:t>第一章从监督漂移与结构恢复两个问题出发，比较相关方法并明确成果归属。第二章统一原生任务、完整对象评价与公共协议。第三章研究关系影响域约束的增强与成对学习，区分数据构造、学习目标及中心选择。第四章研究依赖闭合事务，并以同评分全局求解检验其使用条件。第五章比较条件增量、净错误变化、在线配置与超边规模，并说明对象重叠和作用路径尚不能由聚合计数识别。第六章总结研究认识与适用范围。</w:t>
      </w:r>
    </w:p>
    <w:p>
      <w:r>
        <w:rPr>
          <w:rFonts w:ascii="Times New Roman" w:hAnsi="Times New Roman" w:eastAsia="Songti SC"/>
          <w:color w:val="000000"/>
        </w:rPr>
        <w:t>附录A、B集中保存坐标、序列化、执行边界及性质证明，附录C、D说明成果和构造材料，附录E保留历史数值，附录F提供阅读索引。附录G记录外部方法核查及接入协议，附录H集中未完成的诊断、表达变化、资源与对象分析方案。正文保留影响研究判断的定义与假设，完整实现细节按引用查阅。</w:t>
      </w:r>
    </w:p>
    <w:p>
      <w:pPr>
        <w:pStyle w:val="Heading1"/>
      </w:pPr>
      <w:r>
        <w:t>第二章 任务表示与方法基础</w:t>
      </w:r>
      <w:bookmarkStart w:id="24" w:name="v12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2_25"/>
      <w:bookmarkEnd w:id="25"/>
    </w:p>
    <w:p>
      <w:pPr>
        <w:pStyle w:val="Heading3"/>
      </w:pPr>
      <w:r>
        <w:t>2.1.1 组件及二元关系</w:t>
      </w:r>
      <w:bookmarkStart w:id="26" w:name="v12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2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8" w:name="v12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2_28"/>
      <w:bookmarkEnd w:id="28"/>
    </w:p>
    <w:p>
      <w:pPr>
        <w:pStyle w:val="Heading3"/>
      </w:pPr>
      <w:r>
        <w:t>2.2.1 语料约束与候选范围</w:t>
      </w:r>
      <w:bookmarkStart w:id="29" w:name="v12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2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2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2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2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2_34"/>
      <w:bookmarkEnd w:id="34"/>
    </w:p>
    <w:p>
      <w:pPr>
        <w:pStyle w:val="Heading3"/>
      </w:pPr>
      <w:r>
        <w:t>2.6.1 数据划分与使用范围</w:t>
      </w:r>
      <w:bookmarkStart w:id="35" w:name="v12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2_36"/>
      <w:bookmarkEnd w:id="36"/>
    </w:p>
    <w:p>
      <w:r>
        <w:rPr>
          <w:rFonts w:ascii="Times New Roman" w:hAnsi="Times New Roman" w:eastAsia="Songti SC"/>
          <w:color w:val="000000"/>
        </w:rPr>
        <w:t>实验采用统一骨干、源文档分组与严格评价，各种方法的变化集中在增强条件、学习目标或修正策略。表2-2固定计算配置和数据规模，全部结果按语料、方法和种子关联，跨章复用相同记录。</w:t>
      </w:r>
    </w:p>
    <w:p>
      <w:pPr>
        <w:pStyle w:val="TableCaption"/>
      </w:pPr>
      <w:r>
        <w:rPr>
          <w:rFonts w:ascii="Times New Roman" w:hAnsi="Times New Roman" w:eastAsia="Songti SC"/>
          <w:color w:val="000000"/>
          <w:sz w:val="21"/>
        </w:rPr>
        <w:t>表2-2 公共配置与评价规模（人工情景）</w:t>
      </w:r>
      <w:bookmarkStart w:id="169" w:name="v12_169"/>
      <w:bookmarkEnd w:id="16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表中参数定义比较条件，不由测试结果反向选择。数据、配置、候选、结果和统计身份分别存放；正文只复用统一汇总入口。评价记录采用文档与种子配对，组件和关系分别保留TP、FP、FN，成本保留模型生成、对象评分及求解分项。附录A列出字段与复算关系。</w:t>
      </w:r>
    </w:p>
    <w:p>
      <w:pPr>
        <w:pStyle w:val="Heading3"/>
      </w:pPr>
      <w:r>
        <w:t>2.6.3 统计分析与计算成本</w:t>
      </w:r>
      <w:bookmarkStart w:id="37" w:name="v12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首先比较相同逐文档总求解预算，另以相同端到端时限评价部署条件；两种预算分别命名。软件、线程、缓存条件和共同准备开销保持一致，大预算结果不自动视为最优。核心比较包括相同增强集合上的成对项增量、BR-J与组件优先分步策略，以及BR-J与等求解预算全局ILP的差异。其余消融和交互用于解释机制。95%区间为固定三种子条件下逐比较的文档配对区间，未作多重比较校正；区间跨零不能解释为等效。完整求解状态、成本记录和统计规则见附录H.3。</w:t>
      </w:r>
    </w:p>
    <w:p>
      <w:pPr>
        <w:pStyle w:val="Heading2"/>
      </w:pPr>
      <w:r>
        <w:t>2.7 训练与推理的接口</w:t>
      </w:r>
      <w:bookmarkStart w:id="38" w:name="v12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70" w:name="v12_170"/>
      <w:bookmarkEnd w:id="170"/>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2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2_40"/>
      <w:bookmarkEnd w:id="40"/>
    </w:p>
    <w:p>
      <w:pPr>
        <w:pStyle w:val="Heading2"/>
      </w:pPr>
      <w:r>
        <w:t>3.1 引言</w:t>
      </w:r>
      <w:bookmarkStart w:id="41" w:name="v12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2_42"/>
      <w:bookmarkEnd w:id="42"/>
    </w:p>
    <w:p>
      <w:pPr>
        <w:pStyle w:val="Heading3"/>
      </w:pPr>
      <w:r>
        <w:t>3.2.1 类型条件低秩适配</w:t>
      </w:r>
      <w:bookmarkStart w:id="43" w:name="v12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2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2_45"/>
      <w:bookmarkEnd w:id="45"/>
    </w:p>
    <w:p>
      <w:pPr>
        <w:pStyle w:val="Heading3"/>
      </w:pPr>
      <w:r>
        <w:t>3.3.1 改写区域与关系因素</w:t>
      </w:r>
      <w:bookmarkStart w:id="46" w:name="v12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71" w:name="v12_171"/>
      <w:bookmarkEnd w:id="17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72" w:name="v12_172"/>
      <w:bookmarkEnd w:id="172"/>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2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2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2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3" w:name="v12_173"/>
      <w:bookmarkEnd w:id="173"/>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2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2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2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2_53"/>
      <w:bookmarkEnd w:id="53"/>
    </w:p>
    <w:p>
      <w:pPr>
        <w:pStyle w:val="Heading3"/>
      </w:pPr>
      <w:r>
        <w:t>3.5.1 数据构造与参数学习</w:t>
      </w:r>
      <w:bookmarkStart w:id="54" w:name="v12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4" w:name="v12_174"/>
      <w:bookmarkEnd w:id="17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2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2_56"/>
      <w:bookmarkEnd w:id="56"/>
    </w:p>
    <w:p>
      <w:r>
        <w:rPr>
          <w:rFonts w:ascii="Times New Roman" w:hAnsi="Times New Roman" w:eastAsia="Songti SC"/>
          <w:color w:val="000000"/>
        </w:rPr>
        <w:t>本节数值、审计判断和成本为人工情景，用于展示比较与分析；正式结果须由对应原始文本和运行记录整体替换。</w:t>
      </w:r>
    </w:p>
    <w:p>
      <w:r>
        <w:rPr>
          <w:rFonts w:ascii="Times New Roman" w:hAnsi="Times New Roman" w:eastAsia="Songti SC"/>
          <w:color w:val="000000"/>
        </w:rPr>
        <w:t>本章分别评价监督可靠性、增强数据的任务作用和成对学习的独立增量。前者关注改写后标签是否保持，后两者关注原始测试文本上的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2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5" w:name="v12_175"/>
      <w:bookmarkEnd w:id="17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一般文本增量的作用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比较数据构造，不与T1全机制混比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2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接受样本的标签漂移率（%）（人工情景）</w:t>
      </w:r>
      <w:bookmarkStart w:id="176" w:name="v12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接受与拒绝样本的因素漂移审计（人工情景）</w:t>
      </w:r>
      <w:bookmarkStart w:id="177" w:name="v12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单独证明增强有用。3.6.6节新增共同生成池的模板文本模拟，联合检查非复制、编辑距离、变体漂移与复杂度分组覆盖；它提供可复算的模拟实例，不将规则文本充作真实模型改写，也不与本节因素分层审计合并分母。</w:t>
      </w:r>
    </w:p>
    <w:p>
      <w:pPr>
        <w:pStyle w:val="Heading3"/>
      </w:pPr>
      <w:r>
        <w:t>3.6.3 抽取结果与学习目标消融</w:t>
      </w:r>
      <w:bookmarkStart w:id="59" w:name="v12_59"/>
      <w:bookmarkEnd w:id="59"/>
    </w:p>
    <w:p>
      <w:pPr>
        <w:pStyle w:val="TableCaption"/>
      </w:pPr>
      <w:r>
        <w:rPr>
          <w:rFonts w:ascii="Times New Roman" w:hAnsi="Times New Roman" w:eastAsia="Songti SC"/>
          <w:color w:val="000000"/>
          <w:sz w:val="21"/>
        </w:rPr>
        <w:t>表3-5 训练方案的严格抽取结果（匹配训练规模）（人工情景）</w:t>
      </w:r>
      <w:bookmarkStart w:id="178" w:name="v12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78.68±0.37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53.86±0.45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70.56±0.31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48.56±0.27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54.06±0.53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48.84±0.21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79.77±0.42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55.68±0.28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71.58±0.25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50.25±0.44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81.38±0.47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57.96±0.22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73.47±0.29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52.06±0.49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81.68±0.43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58.37±0.17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73.78±0.45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52.67±0.35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T1相对T0的严格关系F1分别增加7.32和7.21个百分点，这一总差值包含数据构造、头监督和成对学习。数据构造作用由T-B单独解释：QOS式适配与完整增强都采用基础损失，对照表3-6首行，AAEC为55.68对57.47，CDCP为50.25对52.08，差值分别为1.79和1.83个百分点。过滤消融另在共同生成池和相同学习配置下变化审核项，反映跨边界正关系与NONE检查的条件作用。它们不能将T1的全部增量归给增强、中心或某一个损失项。</w:t>
      </w:r>
    </w:p>
    <w:p>
      <w:pPr>
        <w:pStyle w:val="TableCaption"/>
      </w:pPr>
      <w:r>
        <w:rPr>
          <w:rFonts w:ascii="Times New Roman" w:hAnsi="Times New Roman" w:eastAsia="Songti SC"/>
          <w:color w:val="000000"/>
          <w:sz w:val="21"/>
        </w:rPr>
        <w:t>表3-6 相同增强集合上的学习目标比较（匹配训练规模）（人工情景）</w:t>
      </w:r>
      <w:bookmarkStart w:id="179" w:name="v12_179"/>
      <w:bookmarkEnd w:id="17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80.78±0.32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57.47±0.48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72.87±0.42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52.08±0.33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81.56±0.02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58.65±0.62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73.47±0.65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表3-6的三行使用完全相同的增强文本、来源权重和更新条件。增加头监督先建立组件与完整关系因素的输入表示；加入成对对齐后，AAEC与CDCP的关系F1分别再增加1.92和1.88个百分点，文档配对95%区间为[+1.17, +2.72]和[+0.81, +2.85]。因此，在这组相同数据的比较中，完整结果的提升同时包含数据构造、辅助监督和成对目标三部分，不能将总增量全部归给对齐项。</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训练方案与学习目标的严格关系结果（人工情景）</w:t>
      </w:r>
      <w:bookmarkStart w:id="180" w:name="v12_180"/>
      <w:bookmarkEnd w:id="180"/>
    </w:p>
    <w:p>
      <w:pPr>
        <w:pStyle w:val="Heading3"/>
      </w:pPr>
      <w:r>
        <w:t>3.6.4 中心选择与适用条件</w:t>
      </w:r>
      <w:bookmarkStart w:id="60" w:name="v12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中心匹配的有效覆盖与自匹配（人工情景）</w:t>
      </w:r>
      <w:bookmarkStart w:id="181" w:name="v12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结论中心与匹配随机中心的比较（匹配训练规模）（人工情景）</w:t>
      </w:r>
      <w:bookmarkStart w:id="182" w:name="v12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82.07±0.39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60.07±0.45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54.75±0.42</w:t>
            </w:r>
          </w:p>
        </w:tc>
      </w:tr>
    </w:tbl>
    <w:p>
      <w:pPr>
        <w:spacing w:after="0" w:line="240" w:lineRule="auto"/>
      </w:pPr>
    </w:p>
    <w:p>
      <w:r>
        <w:rPr>
          <w:rFonts w:ascii="Times New Roman" w:hAnsi="Times New Roman" w:eastAsia="Songti SC"/>
          <w:color w:val="000000"/>
        </w:rPr>
        <w:t>结论中心相对匹配随机中心的关系差值为AAEC 0.50、CDCP 0.51个百分点，配对95%区间分别为[-0.22, +1.19]、[-0.48, +1.47]。区间均含0，未建立稳定的结论中心优势，完整方案增量不能归因于中心角色。</w:t>
      </w:r>
    </w:p>
    <w:p>
      <w:pPr>
        <w:pStyle w:val="Heading3"/>
      </w:pPr>
      <w:r>
        <w:t>3.6.5 生成覆盖与计算成本</w:t>
      </w:r>
      <w:bookmarkStart w:id="61" w:name="v12_61"/>
      <w:bookmarkEnd w:id="61"/>
    </w:p>
    <w:p>
      <w:pPr>
        <w:pStyle w:val="TableCaption"/>
      </w:pPr>
      <w:r>
        <w:rPr>
          <w:rFonts w:ascii="Times New Roman" w:hAnsi="Times New Roman" w:eastAsia="Songti SC"/>
          <w:color w:val="000000"/>
          <w:sz w:val="21"/>
        </w:rPr>
        <w:t>表3-9 固定尝试预算下的覆盖与构造成本（人工情景）</w:t>
      </w:r>
      <w:bookmarkStart w:id="183" w:name="v12_183"/>
      <w:bookmarkEnd w:id="18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3"/>
      </w:pPr>
      <w:r>
        <w:t>3.6.6 共同生成池的表达变化与覆盖</w:t>
      </w:r>
      <w:bookmarkStart w:id="62" w:name="v12_62"/>
      <w:bookmarkEnd w:id="62"/>
    </w:p>
    <w:p>
      <w:r>
        <w:rPr>
          <w:rFonts w:ascii="Times New Roman" w:hAnsi="Times New Roman" w:eastAsia="Songti SC"/>
          <w:color w:val="000000"/>
        </w:rPr>
        <w:t>完整筛选在新增模拟中保留了改写幅度，但其收益伴随源覆盖偏移。每种语料构造40篇模板源文档，低、高受检因素组各20篇，分别含4和12个因素；每篇生成4个共同候选，三种筛选读取同一160个变体，按固定顺序最多接受2个。原槽位、改写槽位、模拟因素漂移与逐方法决定均保存。检测率和误报率由生成器预设，不能解释为实际审核器准确率。</w:t>
      </w:r>
    </w:p>
    <w:p>
      <w:pPr>
        <w:pStyle w:val="TableCaption"/>
      </w:pPr>
      <w:r>
        <w:rPr>
          <w:rFonts w:ascii="Times New Roman" w:hAnsi="Times New Roman" w:eastAsia="Songti SC"/>
          <w:color w:val="000000"/>
          <w:sz w:val="21"/>
        </w:rPr>
        <w:t>表3-10 共同池的变化与覆盖诊断（新增模拟情景）</w:t>
      </w:r>
      <w:bookmarkStart w:id="184" w:name="v12_184"/>
      <w:bookmarkEnd w:id="18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984"/>
        <w:gridCol w:w="1191"/>
        <w:gridCol w:w="1361"/>
        <w:gridCol w:w="1191"/>
        <w:gridCol w:w="1474"/>
        <w:gridCol w:w="1701"/>
      </w:tblGrid>
      <w:tr>
        <w:trPr>
          <w:cantSplit/>
          <w:tblHeader/>
        </w:trPr>
        <w:tc>
          <w:tcPr>
            <w:tcW w:type="dxa" w:w="19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语料与筛选</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接受／尝试</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非复制／接受</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编辑距离中位数</w:t>
            </w:r>
          </w:p>
        </w:tc>
        <w:tc>
          <w:tcPr>
            <w:tcW w:type="dxa" w:w="147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漂移变体／接受</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低／高组覆盖</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69/80</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20/20；19/20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59/67</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20/20；18/20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70/80</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54/65</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20/20；16/20</w:t>
            </w:r>
          </w:p>
        </w:tc>
      </w:tr>
    </w:tbl>
    <w:p>
      <w:pPr>
        <w:spacing w:after="0" w:line="240" w:lineRule="auto"/>
      </w:pPr>
    </w:p>
    <w:p>
      <w:r>
        <w:rPr>
          <w:rFonts w:ascii="Times New Roman" w:hAnsi="Times New Roman" w:eastAsia="Songti SC"/>
          <w:color w:val="000000"/>
        </w:rPr>
        <w:t>完整筛选在AAEC接受67个变体，其中59个非复制、2个含设定漂移；CDCP接受65个，其中54个非复制、未出现设定漂移。零漂移只描述有限模拟样本，不表示风险为零。三种筛选的编辑距离中位数均为0.75，说明本模拟的主要变化来自筛选，而非凭空扩大文字差异；仅3类固定改写模板也限制了这些数字能代表的表达丰富度。</w:t>
      </w:r>
    </w:p>
    <w:p>
      <w:r>
        <w:rPr>
          <w:rFonts w:ascii="Times New Roman" w:hAnsi="Times New Roman" w:eastAsia="Songti SC"/>
          <w:color w:val="000000"/>
        </w:rPr>
        <w:t>完整筛选覆盖低复杂度组20／20篇，而高复杂度组降至18／20和16／20篇。由于两组的漂移生成率和因素数同时不同，此结果显示选择偏移的存在，不能将全部差值单独归因于检查数量。其设计含义是保留影响域检查，同时监测分层覆盖与源权重；不以极低漂移率替代训练收益。真正的任务有用性仍由表3-5与表3-6的受控成绩比较演示，文本变化和学习收益承担不同证据功能。</w:t>
      </w:r>
    </w:p>
    <w:p>
      <w:pPr>
        <w:pStyle w:val="Heading2"/>
      </w:pPr>
      <w:r>
        <w:t>3.7 本章小结</w:t>
      </w:r>
      <w:bookmarkStart w:id="63" w:name="v12_63"/>
      <w:bookmarkEnd w:id="63"/>
    </w:p>
    <w:p>
      <w:r>
        <w:rPr>
          <w:rFonts w:ascii="Times New Roman" w:hAnsi="Times New Roman" w:eastAsia="Songti SC"/>
          <w:color w:val="000000"/>
        </w:rPr>
        <w:t>本章将影响域检查和标注对应连接到成对学习。计数与模板情景分别展示条件学习增量、字面变化与复杂度覆盖损失；中心差异区间仍包含0。因此保留影响域和可靠对应作为方法主线，将结论中心视为默认选择，并以覆盖约束限制严格筛选的适用范围。这一模拟证据链尚不能代替真实训练与语义审计。</w:t>
      </w:r>
    </w:p>
    <w:p>
      <w:pPr>
        <w:pStyle w:val="Heading1"/>
      </w:pPr>
      <w:r>
        <w:t>第四章 多候选驱动的依赖闭合论辩图修正</w:t>
      </w:r>
      <w:bookmarkStart w:id="64" w:name="v12_64"/>
      <w:bookmarkEnd w:id="64"/>
    </w:p>
    <w:p>
      <w:pPr>
        <w:pStyle w:val="Heading2"/>
      </w:pPr>
      <w:r>
        <w:t>4.1 引言</w:t>
      </w:r>
      <w:bookmarkStart w:id="65" w:name="v12_65"/>
      <w:bookmarkEnd w:id="65"/>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当前材料没有真实错误分布，完整诊断方案见附录H.1。</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5" w:name="v12_185"/>
      <w:bookmarkEnd w:id="185"/>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6" w:name="v12_66"/>
      <w:bookmarkEnd w:id="66"/>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7" w:name="v12_67"/>
      <w:bookmarkEnd w:id="67"/>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8" w:name="v12_68"/>
      <w:bookmarkEnd w:id="68"/>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9" w:name="v12_69"/>
      <w:bookmarkEnd w:id="69"/>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70" w:name="v12_70"/>
      <w:bookmarkEnd w:id="70"/>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1" w:name="v12_71"/>
      <w:bookmarkEnd w:id="71"/>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2" w:name="v12_72"/>
      <w:bookmarkEnd w:id="72"/>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3" w:name="v12_73"/>
      <w:bookmarkEnd w:id="73"/>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4" w:name="v12_74"/>
      <w:bookmarkEnd w:id="74"/>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5" w:name="v12_75"/>
      <w:bookmarkEnd w:id="75"/>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6" w:name="v12_76"/>
      <w:bookmarkEnd w:id="76"/>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7" w:name="v12_77"/>
      <w:bookmarkEnd w:id="77"/>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8" w:name="v12_78"/>
      <w:bookmarkEnd w:id="78"/>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9" w:name="v12_79"/>
      <w:bookmarkEnd w:id="79"/>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80" w:name="v12_80"/>
      <w:bookmarkEnd w:id="80"/>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1" w:name="v12_81"/>
      <w:bookmarkEnd w:id="81"/>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2" w:name="v12_82"/>
      <w:bookmarkEnd w:id="82"/>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3" w:name="v12_83"/>
      <w:bookmarkEnd w:id="83"/>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rPr>
        <w:t>和完整槽位集合组成，重复提议只评估一次；拒绝缓存也包含状态身份。组件改变后可在新状态重新枚举旧状态非法的槽位，但不能扩张冻结候选宇宙。</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r>
        <w:rPr>
          <w:rFonts w:ascii="Times New Roman" w:hAnsi="Times New Roman" w:eastAsia="Songti SC"/>
          <w:color w:val="000000"/>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AlgorithmCaption"/>
      </w:pPr>
      <w:r>
        <w:rPr>
          <w:rFonts w:ascii="Times New Roman" w:hAnsi="Times New Roman" w:eastAsia="Songti SC"/>
          <w:color w:val="000000"/>
          <w:sz w:val="21"/>
        </w:rPr>
        <w:t>算法4-1 多候选驱动的依赖闭合修正</w:t>
      </w:r>
      <w:bookmarkStart w:id="186" w:name="v12_186"/>
      <w:bookmarkEnd w:id="186"/>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7" w:name="v12_187"/>
      <w:bookmarkEnd w:id="187"/>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8" w:name="v12_188"/>
      <w:bookmarkEnd w:id="188"/>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4" w:name="v12_84"/>
      <w:bookmarkEnd w:id="84"/>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5" w:name="v12_85"/>
      <w:bookmarkEnd w:id="85"/>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6" w:name="v12_86"/>
      <w:bookmarkEnd w:id="86"/>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7" w:name="v12_87"/>
      <w:bookmarkEnd w:id="87"/>
    </w:p>
    <w:p>
      <w:r>
        <w:rPr>
          <w:rFonts w:ascii="Times New Roman" w:hAnsi="Times New Roman" w:eastAsia="Songti SC"/>
          <w:color w:val="000000"/>
        </w:rPr>
        <w:t>本节表图和案例使用人工情景；求解状态、错误分布与真实延迟的新增诊断按附录H执行后另行报告。</w:t>
      </w:r>
    </w:p>
    <w:p>
      <w:r>
        <w:rPr>
          <w:rFonts w:ascii="Times New Roman" w:hAnsi="Times New Roman" w:eastAsia="Songti SC"/>
          <w:color w:val="000000"/>
        </w:rPr>
        <w:t>本章固定T1训练条件，以I0为共同起点，分别比较完整系统和受控机制。组件及完整关系计数用于评价最终输出，候选覆盖、Oracle、对象评分、恢复风险和资源曲线用于解释增量来源。数学构造保留在方法说明与附录D，用于展示边界情形，不代替完整对照。</w:t>
      </w:r>
    </w:p>
    <w:p>
      <w:pPr>
        <w:pStyle w:val="Heading3"/>
      </w:pPr>
      <w:r>
        <w:t>4.6.1 推理协议与方法对照</w:t>
      </w:r>
      <w:bookmarkStart w:id="88" w:name="v12_88"/>
      <w:bookmarkEnd w:id="88"/>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9" w:name="v12_189"/>
      <w:bookmarkEnd w:id="18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90" w:name="v12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9" w:name="v12_89"/>
      <w:bookmarkEnd w:id="89"/>
    </w:p>
    <w:p>
      <w:pPr>
        <w:pStyle w:val="TableCaption"/>
      </w:pPr>
      <w:r>
        <w:rPr>
          <w:rFonts w:ascii="Times New Roman" w:hAnsi="Times New Roman" w:eastAsia="Songti SC"/>
          <w:color w:val="000000"/>
          <w:sz w:val="21"/>
        </w:rPr>
        <w:t>表4-3 推理方法的严格抽取结果（人工情景）</w:t>
      </w:r>
      <w:bookmarkStart w:id="191" w:name="v12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75.07±0.40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56.76±0.26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56.97±0.32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62.97±0.44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57.57±0.52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82.98±0.28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57.68±0.26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75.76±0.33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58.95±0.27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76.57±0.30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59.06±0.39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84.77±0.38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67.87±0.45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77.37±0.53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63.36±0.29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63.67±0.33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75.46±0.45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58.05±0.42</w:t>
            </w:r>
          </w:p>
        </w:tc>
      </w:tr>
    </w:tbl>
    <w:p>
      <w:pPr>
        <w:spacing w:after="0" w:line="240" w:lineRule="auto"/>
      </w:pPr>
    </w:p>
    <w:p>
      <w:r>
        <w:rPr>
          <w:rFonts w:ascii="Times New Roman" w:hAnsi="Times New Roman" w:eastAsia="Songti SC"/>
          <w:color w:val="000000"/>
        </w:rPr>
        <w:t>BR-J相对I0在AAEC和CDCP上的关系F1分别增加5.99和6.71个百分点，同时提高组件结果。固定组件的BR-C和RelationOnly能够修复部分关系错误，但无法补回错误或遗漏的完整端点。单对象动作进一步扩大修正范围，集合替换则允许拆分、合并及其依赖关系作为共同提议参与决策。</w:t>
      </w:r>
    </w:p>
    <w:p>
      <w:r>
        <w:rPr>
          <w:rFonts w:ascii="Times New Roman" w:hAnsi="Times New Roman" w:eastAsia="Songti SC"/>
          <w:color w:val="000000"/>
        </w:rPr>
        <w:t>相对于组件优先分步策略，BR-J的关系增量为3.41和4.28个百分点，文档配对95%区间分别为[+2.58, +4.16]和[+3.39, +5.14]。该比较支持联合决策策略相对于本节分步策略的整体差异。两者同时改变信息使用、接受条件和批内排序，因而结果不能单独识别纯执行顺序的因果作用。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时限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90" w:name="v12_90"/>
      <w:bookmarkEnd w:id="90"/>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从完整组件到完整关系的候选覆盖（人工情景）</w:t>
      </w:r>
      <w:bookmarkStart w:id="192" w:name="v12_192"/>
      <w:bookmarkEnd w:id="19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三类恢复空间的关系计数诊断（人工情景）</w:t>
      </w:r>
      <w:bookmarkStart w:id="193" w:name="v12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1" w:name="v12_91"/>
      <w:bookmarkEnd w:id="91"/>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完整对象评分的区分与校准（人工情景）</w:t>
      </w:r>
      <w:bookmarkStart w:id="194" w:name="v12_194"/>
      <w:bookmarkEnd w:id="19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2" w:name="v12_92"/>
      <w:bookmarkEnd w:id="92"/>
    </w:p>
    <w:p>
      <w:pPr>
        <w:pStyle w:val="TableCaption"/>
      </w:pPr>
      <w:r>
        <w:rPr>
          <w:rFonts w:ascii="Times New Roman" w:hAnsi="Times New Roman" w:eastAsia="Songti SC"/>
          <w:color w:val="000000"/>
          <w:sz w:val="21"/>
        </w:rPr>
        <w:t>表4-7 关系恢复与误改的累计计数（人工情景）</w:t>
      </w:r>
      <w:bookmarkStart w:id="195" w:name="v12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267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95.35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97.06</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97.65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94.40</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96.93</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97.20</w:t>
            </w:r>
          </w:p>
        </w:tc>
      </w:tr>
    </w:tbl>
    <w:p>
      <w:pPr>
        <w:spacing w:after="0" w:line="240" w:lineRule="auto"/>
      </w:pPr>
    </w:p>
    <w:p>
      <w:r>
        <w:rPr>
          <w:rFonts w:ascii="Times New Roman" w:hAnsi="Times New Roman" w:eastAsia="Songti SC"/>
          <w:color w:val="000000"/>
        </w:rPr>
        <w:t>表4-7累加三种子的关系对象变化，恢复为新增真阳性，损失为初始真阳性消失；FP移除与新增分别计数。BR-J在AAEC和CDCP保留了97.06%和96.93%的初始关系真阳性，高于本比较中的分步策略。尽管最终关系F1提高，仍有28和60个文档与种子配对的关系F1下降，分别占11.67%和13.51%。因此，分项代理门控制的是代理分量，不能保证每篇文档的真实指标非下降。</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联合修正中的关系恢复与原真阳性损失（人工情景）</w:t>
      </w:r>
      <w:bookmarkStart w:id="196" w:name="v12_196"/>
      <w:bookmarkEnd w:id="196"/>
    </w:p>
    <w:p>
      <w:pPr>
        <w:pStyle w:val="TableCaption"/>
      </w:pPr>
      <w:r>
        <w:rPr>
          <w:rFonts w:ascii="Times New Roman" w:hAnsi="Times New Roman" w:eastAsia="Songti SC"/>
          <w:color w:val="000000"/>
          <w:sz w:val="21"/>
        </w:rPr>
        <w:t>表4-8 推理成本与预算取舍（人工情景）</w:t>
      </w:r>
      <w:bookmarkStart w:id="197" w:name="v12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时限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时限全局ILP节省的平均总时间仅为4.19%和4.73%，关系F1按未舍入值计算分别低0.40和0.50个百分点。表4-7中全局方法的初始关系TP保留率也略高，因此当前情景没有支持“局部更安全”或突出的效率优势。按已有成本分项，BR-J求解仅占总时间的5.00%和5.67%；大部分时间在生成与评分，单独加速局部求解难以等比例改善整体时延。这些是人工成本设定下的算术关系，该情景中的局部仍略快，不能说被全局在所有维度严格支配；但这点节时也不足以支持突出效率优势。真实采用条件尚未确定，冷启动、缓存和一次性准备费用按附录H.3分别解释。</w:t>
      </w:r>
    </w:p>
    <w:p>
      <w:pPr>
        <w:keepNext/>
        <w:spacing w:line="240" w:lineRule="auto" w:before="80" w:after="60"/>
        <w:ind w:firstLine="0"/>
        <w:jc w:val="center"/>
      </w:pPr>
      <w:r>
        <w:drawing>
          <wp:inline xmlns:a="http://schemas.openxmlformats.org/drawingml/2006/main" xmlns:pic="http://schemas.openxmlformats.org/drawingml/2006/picture">
            <wp:extent cx="5652770" cy="2673474"/>
            <wp:docPr id="10" name="budget_results.png" descr="不同外层轮数下的关系结果与逐文档时间"/>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652770" cy="2673474"/>
                    </a:xfrm>
                    <a:prstGeom prst="rect"/>
                  </pic:spPr>
                </pic:pic>
              </a:graphicData>
            </a:graphic>
          </wp:inline>
        </w:drawing>
      </w:r>
    </w:p>
    <w:p>
      <w:pPr>
        <w:pStyle w:val="FigureCaption"/>
      </w:pPr>
      <w:r>
        <w:rPr>
          <w:rFonts w:ascii="Times New Roman" w:hAnsi="Times New Roman" w:eastAsia="Songti SC"/>
          <w:color w:val="000000"/>
          <w:sz w:val="21"/>
        </w:rPr>
        <w:t>图4-4 外层轮数增加时的结果与时间变化（人工情景）</w:t>
      </w:r>
      <w:bookmarkStart w:id="198" w:name="v12_198"/>
      <w:bookmarkEnd w:id="198"/>
    </w:p>
    <w:p>
      <w:r>
        <w:rPr>
          <w:rFonts w:ascii="Times New Roman" w:hAnsi="Times New Roman" w:eastAsia="Songti SC"/>
          <w:color w:val="000000"/>
        </w:rPr>
        <w:t>轮数曲线显示当前情景的边际增量逐步减小。图中局部轮数与全局时限属于不同控制量，只能结合实际端到端时间阅读；它还不能证明大图或紧预算下局部方法必然更优。完整调度边界见算法4-1、4-2及附录B.4.3。</w:t>
      </w:r>
    </w:p>
    <w:p>
      <w:pPr>
        <w:pStyle w:val="Heading3"/>
      </w:pPr>
      <w:r>
        <w:t>4.6.6 案例分析</w:t>
      </w:r>
      <w:bookmarkStart w:id="93" w:name="v12_93"/>
      <w:bookmarkEnd w:id="93"/>
    </w:p>
    <w:p>
      <w:r>
        <w:rPr>
          <w:rFonts w:ascii="Times New Roman" w:hAnsi="Times New Roman" w:eastAsia="Songti SC"/>
          <w:color w:val="000000"/>
        </w:rPr>
        <w:t>表4-9仅以人工机制片段说明四种决策情形。真实同文档前后案例尚未取得，取例与复核要求见附录B.5及H.4。</w:t>
      </w:r>
    </w:p>
    <w:p>
      <w:pPr>
        <w:pStyle w:val="TableCaption"/>
      </w:pPr>
      <w:r>
        <w:rPr>
          <w:rFonts w:ascii="Times New Roman" w:hAnsi="Times New Roman" w:eastAsia="Songti SC"/>
          <w:color w:val="000000"/>
          <w:sz w:val="21"/>
        </w:rPr>
        <w:t>表4-9 结构恢复与失败案例（人工情景）</w:t>
      </w:r>
      <w:bookmarkStart w:id="199" w:name="v12_199"/>
      <w:bookmarkEnd w:id="19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四类片段分别说明动作表达、评分偏差、接受门和候选限制；真实频率与误改风险由总体运行记录评价。</w:t>
      </w:r>
    </w:p>
    <w:p>
      <w:pPr>
        <w:pStyle w:val="Heading3"/>
      </w:pPr>
      <w:r>
        <w:t>4.6.7 外部系统的占位比较</w:t>
      </w:r>
      <w:bookmarkStart w:id="94" w:name="v12_94"/>
      <w:bookmarkEnd w:id="94"/>
    </w:p>
    <w:p>
      <w:r>
        <w:rPr>
          <w:rFonts w:ascii="Times New Roman" w:hAnsi="Times New Roman" w:eastAsia="Songti SC"/>
          <w:color w:val="000000"/>
        </w:rPr>
        <w:t>外部比较用于判断本方法在强系统面前的定位。表4-10加入Kawarada文本生成路线与UniASA路线的占位模拟[7,48]：为两种方法预设召回与误检分布，在与主表相同的模拟文档、金标数和三种子下生成逐文档计数。没有运行作者代码、加载其权重或抄用原论文成绩；占位结果不预测真实排名。任务对齐与实现转换仍按附录G执行。</w:t>
      </w:r>
    </w:p>
    <w:p>
      <w:pPr>
        <w:pStyle w:val="TableCaption"/>
      </w:pPr>
      <w:r>
        <w:rPr>
          <w:rFonts w:ascii="Times New Roman" w:hAnsi="Times New Roman" w:eastAsia="Songti SC"/>
          <w:color w:val="000000"/>
          <w:sz w:val="21"/>
        </w:rPr>
        <w:t>表4-10 共同评价口径下的外部方法占位对照（模拟成绩）</w:t>
      </w:r>
      <w:bookmarkStart w:id="200" w:name="v12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Kawarada式占位</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79.90±0.22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64.80±0.95</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76.50±1.12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60.79±1.22</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UniASA式占位</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84.26±0.44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81.32±0.56</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65.51±1.58</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T1＋BR-J</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84.17±0.51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76.57±0.42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61.96±0.51</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T1＋全局等时限</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bl>
    <w:p>
      <w:pPr>
        <w:spacing w:after="0" w:line="240" w:lineRule="auto"/>
      </w:pPr>
    </w:p>
    <w:p>
      <w:r>
        <w:rPr>
          <w:rFonts w:ascii="Times New Roman" w:hAnsi="Times New Roman" w:eastAsia="Songti SC"/>
          <w:color w:val="000000"/>
        </w:rPr>
        <w:t>在这一设定下，UniASA式占位的关系F1高于T1＋BR-J，Kawarada式占位略低。内部受控增量不自动等于领域全面领先，本稿据此限定贡献的表述范围；占位分数不能用于评价原作者方法。</w:t>
      </w:r>
    </w:p>
    <w:p>
      <w:r>
        <w:rPr>
          <w:rFonts w:ascii="Times New Roman" w:hAnsi="Times New Roman" w:eastAsia="Songti SC"/>
          <w:color w:val="000000"/>
        </w:rPr>
        <w:t>这是系统比较示范，与表3-6的同骨干损失消融口径不同。模拟未实现外部骨干、额外数据和任务转换，不能解释差异来源；正式比较须按附录G完成原配置复核与共同任务评价。</w:t>
      </w:r>
    </w:p>
    <w:p>
      <w:pPr>
        <w:pStyle w:val="Heading3"/>
      </w:pPr>
      <w:r>
        <w:t>4.6.8 裁剪前成本与局部采用条件</w:t>
      </w:r>
      <w:bookmarkStart w:id="95" w:name="v12_95"/>
      <w:bookmarkEnd w:id="95"/>
    </w:p>
    <w:p>
      <w:r>
        <w:rPr>
          <w:rFonts w:ascii="Times New Roman" w:hAnsi="Times New Roman" w:eastAsia="Songti SC"/>
          <w:color w:val="000000"/>
        </w:rPr>
        <w:t>新增情景将准备、求解和回退纳入逐文档时限，复用80／148篇模拟文档的金标与终态计数，由声明的成本函数决定完成比例，不调用实际ILP。规模排序三等分仅作情景分层。两种方法共用候选规模、准备成本和失败文档，局部累计预算与全局净预算的差别仍然存在。</w:t>
      </w:r>
    </w:p>
    <w:p>
      <w:pPr>
        <w:pStyle w:val="TableCaption"/>
      </w:pPr>
      <w:r>
        <w:rPr>
          <w:rFonts w:ascii="Times New Roman" w:hAnsi="Times New Roman" w:eastAsia="Songti SC"/>
          <w:color w:val="000000"/>
          <w:sz w:val="21"/>
        </w:rPr>
        <w:t>表4-11 裁剪前规模与预检成本（新增模拟情景）</w:t>
      </w:r>
      <w:bookmarkStart w:id="201" w:name="v12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1214</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1560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12.59</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1948</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13.88</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3196</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15.64</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w:t>
            </w:r>
          </w:p>
        </w:tc>
      </w:tr>
    </w:tbl>
    <w:p>
      <w:pPr>
        <w:pStyle w:val="ContinuationCaption"/>
        <w:pageBreakBefore/>
      </w:pPr>
      <w:r>
        <w:t>表4-11（续）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59472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101836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17.22</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0/50</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163612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203376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21.54</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304180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366748</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28.28</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10/49</w:t>
            </w:r>
          </w:p>
        </w:tc>
      </w:tr>
    </w:tbl>
    <w:p>
      <w:pPr>
        <w:spacing w:after="0" w:line="240" w:lineRule="auto"/>
      </w:pPr>
    </w:p>
    <w:p>
      <w:r>
        <w:rPr>
          <w:rFonts w:ascii="Times New Roman" w:hAnsi="Times New Roman" w:eastAsia="Songti SC"/>
          <w:color w:val="000000"/>
        </w:rPr>
        <w:t>每个槽位对应两个正标签评分对象，补充保留上限4096只约束后续搜索数量。CDCP预检失败10／148篇，均来自大规模组；它们以初始状态回退，仍保留金标和耗时分母。失败文档的潜在可恢复覆盖保持未知，不能填作0。预检阈值、合法槽位比例和每对象成本均为公开设定，表中P95按全部文档的完整准备估计计算；预检在枚举后进行，失败文档不再评分，其实际到达的模拟耗时计入表4-12。</w:t>
      </w:r>
    </w:p>
    <w:p>
      <w:pPr>
        <w:pStyle w:val="TableCaption"/>
      </w:pPr>
      <w:r>
        <w:rPr>
          <w:rFonts w:ascii="Times New Roman" w:hAnsi="Times New Roman" w:eastAsia="Songti SC"/>
          <w:color w:val="000000"/>
          <w:sz w:val="21"/>
        </w:rPr>
        <w:t>表4-12 同端到端时限的质量与尾延迟（新增模拟情景）</w:t>
      </w:r>
      <w:bookmarkStart w:id="202" w:name="v12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61"/>
        <w:gridCol w:w="1417"/>
        <w:gridCol w:w="1417"/>
        <w:gridCol w:w="1644"/>
        <w:gridCol w:w="1814"/>
        <w:gridCol w:w="1247"/>
      </w:tblGrid>
      <w:tr>
        <w:trPr>
          <w:cantSplit/>
          <w:tblHeader/>
        </w:trPr>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语料与时限</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局部关系F1</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全局关系F1</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 局部／全局</w:t>
            </w:r>
          </w:p>
        </w:tc>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回退% 局部／全局</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全局超时%</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12秒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60.85±0.36</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60.80±0.38</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12.00／12.00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90.00／90.00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24秒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48秒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18秒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56.76±0.63</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56.24±0.46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18.00／18.00</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71.62／71.62</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90.54</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36秒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61.07±0.24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34.30／36.00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34.23</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72秒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61.85±0.32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34.30／49.14</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pPr>
        <w:spacing w:after="0" w:line="240" w:lineRule="auto"/>
      </w:pPr>
    </w:p>
    <w:p>
      <w:r>
        <w:rPr>
          <w:rFonts w:ascii="Times New Roman" w:hAnsi="Times New Roman" w:eastAsia="Songti SC"/>
          <w:color w:val="000000"/>
        </w:rPr>
        <w:t>AAEC在24秒时限下，局部和全局都完成设定过程，全局均值略高；12秒时限导致双方90%的文档种子记录回退，说明准备阶段即可耗尽资源。CDCP在36秒时限下，局部和全局均值为61.53与61.07，文档配对差值区间为[−0.35, +1.24]，整体质量差异不稳定；但局部P95为34.30秒，全局触及时限，后者34.23%的记录发生求解超时。双方6.76%的预检失败均已计入，这部分不能归于求解方法。</w:t>
      </w:r>
    </w:p>
    <w:p>
      <w:r>
        <w:rPr>
          <w:rFonts w:ascii="Times New Roman" w:hAnsi="Times New Roman" w:eastAsia="Songti SC"/>
          <w:color w:val="000000"/>
        </w:rPr>
        <w:t>进一步看预先声明的大规模组，CDCP局部相对全局增加1.80个百分点，文档配对95%区间为[+0.43, +3.19]；72秒时限下则变为−0.54，区间[−1.66, +0.50]。该模拟支持“特定规模与时限下的条件选项”，不支持把局部方案设为所有文档的默认最优。区间只描述给定生成假设下的文档变化，不能覆盖成本函数设错或真实求解器行为的偏差。</w:t>
      </w:r>
    </w:p>
    <w:p>
      <w:pPr>
        <w:keepNext/>
        <w:spacing w:line="240" w:lineRule="auto" w:before="80" w:after="60"/>
        <w:ind w:firstLine="0"/>
        <w:jc w:val="center"/>
      </w:pPr>
      <w:r>
        <w:drawing>
          <wp:inline xmlns:a="http://schemas.openxmlformats.org/drawingml/2006/main" xmlns:pic="http://schemas.openxmlformats.org/drawingml/2006/picture">
            <wp:extent cx="5652770" cy="2879742"/>
            <wp:docPr id="11" name="budget_conditions.png" descr="同端到端时限下的关系结果与规模边界"/>
            <wp:cNvGraphicFramePr>
              <a:graphicFrameLocks noChangeAspect="1"/>
            </wp:cNvGraphicFramePr>
            <a:graphic>
              <a:graphicData uri="http://schemas.openxmlformats.org/drawingml/2006/picture">
                <pic:pic>
                  <pic:nvPicPr>
                    <pic:cNvPr id="0" name="budget_conditions.png"/>
                    <pic:cNvPicPr/>
                  </pic:nvPicPr>
                  <pic:blipFill>
                    <a:blip r:embed="rId156"/>
                    <a:stretch>
                      <a:fillRect/>
                    </a:stretch>
                  </pic:blipFill>
                  <pic:spPr>
                    <a:xfrm>
                      <a:off x="0" y="0"/>
                      <a:ext cx="5652770" cy="2879742"/>
                    </a:xfrm>
                    <a:prstGeom prst="rect"/>
                  </pic:spPr>
                </pic:pic>
              </a:graphicData>
            </a:graphic>
          </wp:inline>
        </w:drawing>
      </w:r>
    </w:p>
    <w:p>
      <w:pPr>
        <w:pStyle w:val="FigureCaption"/>
      </w:pPr>
      <w:r>
        <w:rPr>
          <w:rFonts w:ascii="Times New Roman" w:hAnsi="Times New Roman" w:eastAsia="Songti SC"/>
          <w:color w:val="000000"/>
          <w:sz w:val="21"/>
        </w:rPr>
        <w:t>图4-5 预算变化下的整体表现与大规模边界（新增模拟情景）</w:t>
      </w:r>
      <w:bookmarkStart w:id="203" w:name="v12_203"/>
      <w:bookmarkEnd w:id="203"/>
    </w:p>
    <w:p>
      <w:r>
        <w:rPr>
          <w:rFonts w:ascii="Times New Roman" w:hAnsi="Times New Roman" w:eastAsia="Songti SC"/>
          <w:color w:val="000000"/>
        </w:rPr>
        <w:t>图中误差棒为三个模拟种子的样本标准差；两个面板采用相同坐标范围。</w:t>
      </w:r>
    </w:p>
    <w:p>
      <w:r>
        <w:rPr>
          <w:rFonts w:ascii="Times New Roman" w:hAnsi="Times New Roman" w:eastAsia="Songti SC"/>
          <w:color w:val="000000"/>
        </w:rPr>
        <w:t>模拟中，充足时限恢复了全局较高的终态质量，准备失败又限制了两种方法的共同上限。故本稿保留依赖闭合恢复框架，将局部事务作为紧预算大规模情景的候选策略，并允许按数据规模和时延要求选择全局方案。此处使用独立成本函数，不能将表4-8的旧平均秒数与表4-12拼接成同次运行曲线；正式部署阈值仍须实测确定。</w:t>
      </w:r>
    </w:p>
    <w:p>
      <w:pPr>
        <w:pStyle w:val="Heading2"/>
      </w:pPr>
      <w:r>
        <w:t>4.7 本章小结</w:t>
      </w:r>
      <w:bookmarkStart w:id="96" w:name="v12_96"/>
      <w:bookmarkEnd w:id="96"/>
    </w:p>
    <w:p>
      <w:r>
        <w:rPr>
          <w:rFonts w:ascii="Times New Roman" w:hAnsi="Times New Roman" w:eastAsia="Songti SC"/>
          <w:color w:val="000000"/>
        </w:rPr>
        <w:t>本章明确了集合事务的表达与决策条件。旧情景保留强全局对照，新增占位系统也未给本方法全面领先的排名；预算模拟进一步把局部优势限制在部分紧预算大规模条件。由此，局部事务保留为可选择的求解策略，其用途由完整成本和质量共同决定。第五章继续通过对象补全检查训练与推理增量的重叠和损失。</w:t>
      </w:r>
    </w:p>
    <w:p>
      <w:pPr>
        <w:pStyle w:val="Heading1"/>
      </w:pPr>
      <w:r>
        <w:t>第五章 两阶段框架的综合分析</w:t>
      </w:r>
      <w:bookmarkStart w:id="97" w:name="v12_97"/>
      <w:bookmarkEnd w:id="97"/>
    </w:p>
    <w:p>
      <w:r>
        <w:rPr>
          <w:rFonts w:ascii="Times New Roman" w:hAnsi="Times New Roman" w:eastAsia="Songti SC"/>
          <w:color w:val="000000"/>
        </w:rPr>
        <w:t>本章复用四格人工计数与成本，并新增与原关系计数逐项相容的对象补全情景，分析条件增量、共同修复、组合新增和误改。对象身份由程序赋予，不是从计数唯一反推，也不代表真实原文对象；补全只用于演示聚合成绩之外的分析。训练影响候选与评分的路径仍不作因果分解。</w:t>
      </w:r>
    </w:p>
    <w:p>
      <w:pPr>
        <w:pStyle w:val="Heading2"/>
      </w:pPr>
      <w:r>
        <w:t>5.1 两阶段的条件增量</w:t>
      </w:r>
      <w:bookmarkStart w:id="98" w:name="v12_98"/>
      <w:bookmarkEnd w:id="98"/>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两阶段组合的四格结果（人工情景）</w:t>
      </w:r>
      <w:bookmarkStart w:id="204" w:name="v12_204"/>
      <w:bookmarkEnd w:id="20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80.77±0.51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59.87±0.35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54.35±0.40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bl>
    <w:p>
      <w:pPr>
        <w:spacing w:after="0" w:line="240" w:lineRule="auto"/>
      </w:pPr>
    </w:p>
    <w:p>
      <w:r>
        <w:rPr>
          <w:rFonts w:ascii="Times New Roman" w:hAnsi="Times New Roman" w:eastAsia="Songti SC"/>
          <w:color w:val="000000"/>
        </w:rPr>
        <w:t>完整组合相对T0＋I0的关系增量为13.31和13.92个百分点。令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条件增量与交互差（人工情景）</w:t>
      </w:r>
      <w:bookmarkStart w:id="205" w:name="v12_205"/>
      <w:bookmarkEnd w:id="20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+0.40</w:t>
            </w:r>
          </w:p>
        </w:tc>
      </w:tr>
    </w:tbl>
    <w:p>
      <w:pPr>
        <w:spacing w:after="0" w:line="240" w:lineRule="auto"/>
      </w:pPr>
    </w:p>
    <w:p>
      <w:r>
        <w:rPr>
          <w:rFonts w:ascii="Times New Roman" w:hAnsi="Times New Roman" w:eastAsia="Songti SC"/>
          <w:color w:val="000000"/>
        </w:rPr>
        <w:t>AAEC关系交互差为−0.64，配对95%区间为[−1.71, +0.41]；CDCP为+0.40，区间为[−1.01, +1.80]。两者均包含0，因此组合增量与稳定超加性应分别判断。AAEC组件交互为负，与收益重叠相容，但不能据此确定两阶段改变的是哪些对象。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2"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两个训练条件下的推理增量与交互关系（人工情景）</w:t>
      </w:r>
      <w:bookmarkStart w:id="206" w:name="v12_206"/>
      <w:bookmarkEnd w:id="206"/>
    </w:p>
    <w:p>
      <w:pPr>
        <w:pStyle w:val="Heading2"/>
      </w:pPr>
      <w:r>
        <w:t>5.2 净错误变化与对象修复重叠</w:t>
      </w:r>
      <w:bookmarkStart w:id="99" w:name="v12_99"/>
      <w:bookmarkEnd w:id="99"/>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四格比较的净错误计数变化（人工情景）</w:t>
      </w:r>
      <w:bookmarkStart w:id="207" w:name="v12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+211／-202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+130／-126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+90／-89</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+274／-250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+248／-225</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+224／-208</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+203／-193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+201／-179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+176／-156</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+187／-171</w:t>
            </w:r>
          </w:p>
        </w:tc>
      </w:tr>
    </w:tbl>
    <w:p>
      <w:pPr>
        <w:spacing w:after="0" w:line="240" w:lineRule="auto"/>
      </w:pPr>
    </w:p>
    <w:p>
      <w:r>
        <w:rPr>
          <w:rFonts w:ascii="Times New Roman" w:hAnsi="Times New Roman" w:eastAsia="Songti SC"/>
          <w:color w:val="000000"/>
        </w:rPr>
        <w:t>AAEC在T1下修正的关系净TP增加224，小于T0下的248；CDCP则为187与176。训练后剩余修正空间并非在两个语料上同幅度收缩。表4-7中BR-J的恢复与损失分别为289−65、233−46，恰好对应上述净增量；图4-3保留两类数量，第五章不重复绘制同一风险。</w:t>
      </w:r>
    </w:p>
    <w:p>
      <w:r>
        <w:rPr>
          <w:rFonts w:ascii="Times New Roman" w:hAnsi="Times New Roman" w:eastAsia="Songti SC"/>
          <w:color w:val="000000"/>
        </w:rPr>
        <w:t>同一净增量可以由不同的恢复和损失组成。本版为四格关系计数构造一组完整对象键，逐文档、逐种子保持TP、FP、FN，并约束T1到组合的恢复、误改、新增FP和移除FP总数与表4-7一致。键包含源文档身份、模拟端点坐标、类型、完整源集合和标签；不重新构造组件预测图，也不把抽象坐标映射为真实原文。表5-4将各集合直接枚举后累加，同一金标可在三个种子分别计数。</w:t>
      </w:r>
    </w:p>
    <w:p>
      <w:pPr>
        <w:pStyle w:val="TableCaption"/>
      </w:pPr>
      <w:r>
        <w:rPr>
          <w:rFonts w:ascii="Times New Roman" w:hAnsi="Times New Roman" w:eastAsia="Songti SC"/>
          <w:color w:val="000000"/>
          <w:sz w:val="21"/>
        </w:rPr>
        <w:t>表5-4 四格关系对象的修复与损失（补全模拟情景）</w:t>
      </w:r>
      <w:bookmarkStart w:id="208" w:name="v12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134"/>
        <w:gridCol w:w="1304"/>
        <w:gridCol w:w="1304"/>
        <w:gridCol w:w="1304"/>
        <w:gridCol w:w="1304"/>
        <w:gridCol w:w="1304"/>
        <w:gridCol w:w="1247"/>
      </w:tblGrid>
      <w:tr>
        <w:trPr>
          <w:cantSplit/>
          <w:tblHeader/>
        </w:trPr>
        <w:tc>
          <w:tcPr>
            <w:tcW w:type="dxa" w:w="113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30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训练独有</w:t>
            </w:r>
          </w:p>
        </w:tc>
        <w:tc>
          <w:tcPr>
            <w:tcW w:type="dxa" w:w="130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修正独有</w:t>
            </w:r>
          </w:p>
        </w:tc>
        <w:tc>
          <w:tcPr>
            <w:tcW w:type="dxa" w:w="130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共同修复</w:t>
            </w:r>
          </w:p>
        </w:tc>
        <w:tc>
          <w:tcPr>
            <w:tcW w:type="dxa" w:w="130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组合新增</w:t>
            </w:r>
          </w:p>
        </w:tc>
        <w:tc>
          <w:tcPr>
            <w:tcW w:type="dxa" w:w="130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T1命中受损</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组合仍遗漏</w:t>
            </w:r>
          </w:p>
        </w:tc>
      </w:tr>
      <w:tr>
        <w:trPr>
          <w:cantSplit/>
        </w:trPr>
        <w:tc>
          <w:tcPr>
            <w:tcW w:type="dxa" w:w="113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173</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154</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353</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1307</w:t>
            </w:r>
          </w:p>
        </w:tc>
      </w:tr>
      <w:tr>
        <w:trPr>
          <w:cantSplit/>
        </w:trPr>
        <w:tc>
          <w:tcPr>
            <w:tcW w:type="dxa" w:w="113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120</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1101</w:t>
            </w:r>
          </w:p>
        </w:tc>
      </w:tr>
    </w:tbl>
    <w:p>
      <w:pPr>
        <w:spacing w:after="0" w:line="240" w:lineRule="auto"/>
      </w:pPr>
    </w:p>
    <w:p>
      <w:r>
        <w:rPr>
          <w:rFonts w:ascii="Times New Roman" w:hAnsi="Times New Roman" w:eastAsia="Songti SC"/>
          <w:color w:val="000000"/>
        </w:rPr>
        <w:t>AAEC与CDCP的共同修复分别为353和505，占两种单阶段新增命中并集的51.91%和68.89%；同时仍有173／120个训练独有、154／108个修正独有对象。组合另外恢复96／68个未被两种单阶段覆盖的对象，但也破坏65／46个T1原有命中。共同修复、独有修复和损害可以同时存在，因此组合有增量并不要求收益完全独立，更不等于交互项稳定为正。</w:t>
      </w:r>
    </w:p>
    <w:p>
      <w:r>
        <w:rPr>
          <w:rFonts w:ascii="Times New Roman" w:hAnsi="Times New Roman" w:eastAsia="Songti SC"/>
          <w:color w:val="000000"/>
        </w:rPr>
        <w:t>这一补全与原主表的未分组计数相容，却不是唯一相容的对象分布。它未约束类型、标签及源成员数分组，不能与表5-7的旧分组情景作逐对象对齐。它支持的是当前模拟中的部分重叠结构，不能反过来证明旧计数隐含了这些对象关系。组合新增也不直接称为机制协同：不同训练条件下候选和评分可能共同变化，须另有受控设计才能分解原因。</w:t>
      </w:r>
    </w:p>
    <w:p>
      <w:r>
        <w:rPr>
          <w:rFonts w:ascii="Times New Roman" w:hAnsi="Times New Roman" w:eastAsia="Songti SC"/>
          <w:color w:val="000000"/>
        </w:rPr>
        <w:t>表5-5列出按类别和固定文档顺序选择的三个模拟对象。四格列中1表示命中该完整金标关系，0表示未命中；源、目标跨度均为程序赋予的半开坐标，类型分别为Premise与Claim，标签为Support。</w:t>
      </w:r>
    </w:p>
    <w:p>
      <w:pPr>
        <w:pStyle w:val="TableCaption"/>
      </w:pPr>
      <w:r>
        <w:rPr>
          <w:rFonts w:ascii="Times New Roman" w:hAnsi="Times New Roman" w:eastAsia="Songti SC"/>
          <w:color w:val="000000"/>
          <w:sz w:val="21"/>
        </w:rPr>
        <w:t>表5-5 相同模拟对象在四格中的命中状态</w:t>
      </w:r>
      <w:bookmarkStart w:id="209" w:name="v12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592"/>
        <w:gridCol w:w="1077"/>
        <w:gridCol w:w="1077"/>
        <w:gridCol w:w="1077"/>
        <w:gridCol w:w="1077"/>
      </w:tblGrid>
      <w:tr>
        <w:trPr>
          <w:cantSplit/>
          <w:tblHeader/>
        </w:trPr>
        <w:tc>
          <w:tcPr>
            <w:tcW w:type="dxa" w:w="459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类别与对象</w:t>
            </w:r>
          </w:p>
        </w:tc>
        <w:tc>
          <w:tcPr>
            <w:tcW w:type="dxa" w:w="107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07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07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07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459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共同修复 001：[108,111)→[116,119)</w:t>
            </w:r>
          </w:p>
        </w:tc>
        <w:tc>
          <w:tcPr>
            <w:tcW w:type="dxa" w:w="107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w:t>
            </w:r>
          </w:p>
        </w:tc>
        <w:tc>
          <w:tcPr>
            <w:tcW w:type="dxa" w:w="107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w:t>
            </w:r>
          </w:p>
        </w:tc>
        <w:tc>
          <w:tcPr>
            <w:tcW w:type="dxa" w:w="107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w:t>
            </w:r>
          </w:p>
        </w:tc>
        <w:tc>
          <w:tcPr>
            <w:tcW w:type="dxa" w:w="107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w:t>
            </w:r>
          </w:p>
        </w:tc>
      </w:tr>
      <w:tr>
        <w:trPr>
          <w:cantSplit/>
        </w:trPr>
        <w:tc>
          <w:tcPr>
            <w:tcW w:type="dxa" w:w="459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组合新增 001：[120,123)→[128,131)</w:t>
            </w:r>
          </w:p>
        </w:tc>
        <w:tc>
          <w:tcPr>
            <w:tcW w:type="dxa" w:w="107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w:t>
            </w:r>
          </w:p>
        </w:tc>
        <w:tc>
          <w:tcPr>
            <w:tcW w:type="dxa" w:w="107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w:t>
            </w:r>
          </w:p>
        </w:tc>
        <w:tc>
          <w:tcPr>
            <w:tcW w:type="dxa" w:w="107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w:t>
            </w:r>
          </w:p>
        </w:tc>
        <w:tc>
          <w:tcPr>
            <w:tcW w:type="dxa" w:w="107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w:t>
            </w:r>
          </w:p>
        </w:tc>
      </w:tr>
      <w:tr>
        <w:trPr>
          <w:cantSplit/>
        </w:trPr>
        <w:tc>
          <w:tcPr>
            <w:tcW w:type="dxa" w:w="459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T1受损 018：[48,51)→[56,59)</w:t>
            </w:r>
          </w:p>
        </w:tc>
        <w:tc>
          <w:tcPr>
            <w:tcW w:type="dxa" w:w="107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07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w:t>
            </w:r>
          </w:p>
        </w:tc>
        <w:tc>
          <w:tcPr>
            <w:tcW w:type="dxa" w:w="107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07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r>
    </w:tbl>
    <w:p>
      <w:pPr>
        <w:spacing w:after="0" w:line="240" w:lineRule="auto"/>
      </w:pPr>
    </w:p>
    <w:p>
      <w:r>
        <w:rPr>
          <w:rFonts w:ascii="Times New Roman" w:hAnsi="Times New Roman" w:eastAsia="Songti SC"/>
          <w:color w:val="000000"/>
        </w:rPr>
        <w:t>三例均为AAEC规模情景、种子17，文档全名分别为SIM-AAEC-001与SIM-AAEC-018。它们提供同一对象的前后对照，不冒充真实语句或真实模型案例；完整清单同时保留未展示对象和全部剩余遗漏。模拟关系FP的移除与新增仍单独累计，避免只看命中增长。</w:t>
      </w:r>
    </w:p>
    <w:p>
      <w:pPr>
        <w:pStyle w:val="Heading2"/>
      </w:pPr>
      <w:r>
        <w:t>5.3 训练条件变化的解释边界</w:t>
      </w:r>
      <w:bookmarkStart w:id="100" w:name="v12_100"/>
      <w:bookmarkEnd w:id="100"/>
    </w:p>
    <w:p>
      <w:r>
        <w:rPr>
          <w:rFonts w:ascii="Times New Roman" w:hAnsi="Times New Roman" w:eastAsia="Songti SC"/>
          <w:color w:val="000000"/>
        </w:rPr>
        <w:t>现有情景中，AAEC的修正增量由6.62降至5.99，CDCP由6.31增至6.71，相关交互区间均包含0。训练条件可以同时改变初始错误、候选覆盖与评分适配，四格不能分辨各路径；表4-4只有T1覆盖，也不能充当T0到T1的覆盖变化。因此，本稿只将这些差值解释为条件系统增量，不作机制归因，进一步分析设计见附录H.4。</w:t>
      </w:r>
    </w:p>
    <w:p>
      <w:pPr>
        <w:pStyle w:val="Heading2"/>
      </w:pPr>
      <w:r>
        <w:t>5.4 在线配置的质量与时间取舍</w:t>
      </w:r>
      <w:bookmarkStart w:id="101" w:name="v12_101"/>
      <w:bookmarkEnd w:id="101"/>
    </w:p>
    <w:p>
      <w:r>
        <w:rPr>
          <w:rFonts w:ascii="Times New Roman" w:hAnsi="Times New Roman" w:eastAsia="Songti SC"/>
          <w:color w:val="000000"/>
        </w:rPr>
        <w:t>配置选择应同时考虑在线质量、额外时延和错误变更。表5-6压缩重复F1，直接列出相对T0＋I0的关系增量与逐文档额外时间；AAEC和CDCP共同起点分别为17.00秒和22.00秒。</w:t>
      </w:r>
    </w:p>
    <w:p>
      <w:pPr>
        <w:pStyle w:val="TableCaption"/>
      </w:pPr>
      <w:r>
        <w:rPr>
          <w:rFonts w:ascii="Times New Roman" w:hAnsi="Times New Roman" w:eastAsia="Songti SC"/>
          <w:color w:val="000000"/>
          <w:sz w:val="21"/>
        </w:rPr>
        <w:t>表5-6 相对共同起点的关系增量与在线额外时间（人工情景）</w:t>
      </w:r>
      <w:bookmarkStart w:id="210" w:name="v12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+13.31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+13.92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若训练的一次性投入已经完成，仅比较本情景的关系F1与在线平均时间，T1＋I0同时优于T0＋I1：AAEC高0.70个百分点、少13.00秒，CDCP高0.90个百分点、少21.16秒。这说明不能仅因允许预测后修正就默认采用“只修正”配置。若无法重训、服务量很小或已有模型必须冻结，一次性训练投入会改变判断，上述在线比较不适用。</w:t>
      </w:r>
    </w:p>
    <w:p>
      <w:r>
        <w:rPr>
          <w:rFonts w:ascii="Times New Roman" w:hAnsi="Times New Roman" w:eastAsia="Songti SC"/>
          <w:color w:val="000000"/>
        </w:rPr>
        <w:t>在T1上启用BR-J需再增加14.00秒和22.16秒，关系F1增加5.99和6.71个百分点，同时仍发生误改。等求解预算全局ILP则在本情景中具有略高的关系F1与初始TP保留率，其端到端时间只多1.40秒和2.24秒。需要最高抽取质量且能容忍这部分时间时，全局方案应进入优先比较；需要限制每次变更或复核局部修改时，可进一步测量事务策略的实际价值，不能仅凭局部日志预判优劣。</w:t>
      </w:r>
    </w:p>
    <w:p>
      <w:r>
        <w:rPr>
          <w:rFonts w:ascii="Times New Roman" w:hAnsi="Times New Roman" w:eastAsia="Songti SC"/>
          <w:color w:val="000000"/>
        </w:rPr>
        <w:t>上述排序限于旧情景的平均时间。4.6.8节新增逐文档预算模拟后，CDCP大规模组在36秒条件下出现局部优势，时限放宽后不再保持；因而局部方法采用条件应绑定规模和时限。真实缓存、批量吞吐与评分成本仍可能改变边界。若实测中同资源下没有稳定质量或变更控制收益，应简化局部设计。</w:t>
      </w:r>
    </w:p>
    <w:p>
      <w:pPr>
        <w:pStyle w:val="Heading2"/>
      </w:pPr>
      <w:r>
        <w:t>5.5 超边规模与恢复范围</w:t>
      </w:r>
      <w:bookmarkStart w:id="102" w:name="v12_102"/>
      <w:bookmarkEnd w:id="102"/>
    </w:p>
    <w:p>
      <w:r>
        <w:rPr>
          <w:rFonts w:ascii="Times New Roman" w:hAnsi="Times New Roman" w:eastAsia="Songti SC"/>
          <w:color w:val="000000"/>
        </w:rPr>
        <w:t>本节按人工源成员分组讨论恢复范围；缺失的逐对象阻断分布与同文档案例设计见附录H.4。</w:t>
      </w:r>
    </w:p>
    <w:p>
      <w:r>
        <w:rPr>
          <w:rFonts w:ascii="Times New Roman" w:hAnsi="Times New Roman" w:eastAsia="Songti SC"/>
          <w:color w:val="000000"/>
        </w:rPr>
        <w:t>表5-7按固定人工金标集分组，三个种子共享该集合；各组F1分别计算，整体仍从全部对象计数重算。</w:t>
      </w:r>
    </w:p>
    <w:p>
      <w:pPr>
        <w:pStyle w:val="TableCaption"/>
      </w:pPr>
      <w:r>
        <w:rPr>
          <w:rFonts w:ascii="Times New Roman" w:hAnsi="Times New Roman" w:eastAsia="Songti SC"/>
          <w:color w:val="000000"/>
          <w:sz w:val="21"/>
        </w:rPr>
        <w:t>表5-7 CDCP完整关系的源成员数分组（人工情景）</w:t>
      </w:r>
      <w:bookmarkStart w:id="211" w:name="v12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60.50±0.98</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59.28±1.11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66.32±0.58</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49.73±2.69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49.10±0.56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56.92±1.07</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38.99±5.35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39.40±3.84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49.95±3.86</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5.6 本章小结</w:t>
      </w:r>
      <w:bookmarkStart w:id="103" w:name="v12_103"/>
      <w:bookmarkEnd w:id="103"/>
    </w:p>
    <w:p>
      <w:r>
        <w:rPr>
          <w:rFonts w:ascii="Times New Roman" w:hAnsi="Times New Roman" w:eastAsia="Songti SC"/>
          <w:color w:val="000000"/>
        </w:rPr>
        <w:t>综合分析得到三点情景内认识：关系交互未显示稳定超加，但相容的对象补全可同时包含共同修复、独有修复、组合新增及误改；训练与推理投入的取舍取决于离线成本能否摊销；局部相对全局的优势仅在部分规模和时限条件出现。由此，两阶段组合及求解策略均应按条件选择，而非预设处处更优。真实对象分布、因果路径和采用阈值仍需实际输出检验。</w:t>
      </w:r>
    </w:p>
    <w:p>
      <w:pPr>
        <w:pStyle w:val="Heading1"/>
      </w:pPr>
      <w:r>
        <w:t>第六章 总结与展望</w:t>
      </w:r>
      <w:bookmarkStart w:id="104" w:name="v12_104"/>
      <w:bookmarkEnd w:id="104"/>
    </w:p>
    <w:p>
      <w:pPr>
        <w:pStyle w:val="Heading2"/>
      </w:pPr>
      <w:r>
        <w:t>6.1 研究总结</w:t>
      </w:r>
      <w:bookmarkStart w:id="105" w:name="v12_105"/>
      <w:bookmarkEnd w:id="105"/>
    </w:p>
    <w:p>
      <w:r>
        <w:rPr>
          <w:rFonts w:ascii="Times New Roman" w:hAnsi="Times New Roman" w:eastAsia="Songti SC"/>
          <w:color w:val="000000"/>
        </w:rPr>
        <w:t>本文以组件与关系之间的依赖为主线，分别研究训练时监督保持和推理时结构恢复。第一项工作按关系影响域检查局部改写，以标注对应连接原文、增强文及成对因素学习；第二项工作以组件集合替换及全部受影响关系重建作为共同决策单位，在固定候选与评分下比较局部事务和全局结构选择。两项工作共享原生任务和严格评价，承担不同阶段的问题。</w:t>
      </w:r>
    </w:p>
    <w:p>
      <w:r>
        <w:rPr>
          <w:rFonts w:ascii="Times New Roman" w:hAnsi="Times New Roman" w:eastAsia="Songti SC"/>
          <w:color w:val="000000"/>
        </w:rPr>
        <w:t>第一项工作把数据构造、头监督、成对项和中心策略分开比较。模拟成绩分别给出条件增量，模板文本诊断进一步显示严格筛选在保留字面变化的同时损失复杂源覆盖；中心差值区间仍包含0。因此贡献落在影响域及可靠对应的组织方式，结论中心只保留为默认策略，并须同时监测筛选质量和源覆盖。</w:t>
      </w:r>
    </w:p>
    <w:p>
      <w:r>
        <w:rPr>
          <w:rFonts w:ascii="Times New Roman" w:hAnsi="Times New Roman" w:eastAsia="Songti SC"/>
          <w:color w:val="000000"/>
        </w:rPr>
        <w:t>第二项工作明确了集合动作如何联合处理相互依赖的修改。等求解预算情景保留全局较高的终态质量；新增端到端预算模拟则把局部收益限制在CDCP大规模组的部分紧时限条件。因此本稿将依赖闭合作为恢复框架，将局部事务定位为条件选项，而非通用优胜方案。外部方法占位对照同样保留更强系统，避免把内部改进提升为领域全面领先。</w:t>
      </w:r>
    </w:p>
    <w:p>
      <w:r>
        <w:rPr>
          <w:rFonts w:ascii="Times New Roman" w:hAnsi="Times New Roman" w:eastAsia="Songti SC"/>
          <w:color w:val="000000"/>
        </w:rPr>
        <w:t>两阶段四格避免把组合总增量误写为相互独立或稳定超加。新增对象补全在逐项保持旧计数的同时，显式展示共同修复、组合新增与损害；离线训练投入、在线时限及完整超边范围共同限定配置选择。以上结论只在声明的模拟分布内成立，真实方法价值仍需由现实问题规模、可复核模型输出和相应代价支撑。</w:t>
      </w:r>
    </w:p>
    <w:p>
      <w:pPr>
        <w:pStyle w:val="Heading2"/>
      </w:pPr>
      <w:r>
        <w:t>6.2 研究局限</w:t>
      </w:r>
      <w:bookmarkStart w:id="106" w:name="v12_106"/>
      <w:bookmarkEnd w:id="106"/>
    </w:p>
    <w:p>
      <w:r>
        <w:rPr>
          <w:rFonts w:ascii="Times New Roman" w:hAnsi="Times New Roman" w:eastAsia="Songti SC"/>
          <w:color w:val="000000"/>
        </w:rPr>
        <w:t>本版采用人工计数、模板改写、资源函数和对象补全情景，尚未完成真实语料上的训练、语义审阅与求解比较。新增材料使四项分析可以在模拟内部复算，但其漂移、对象身份和成本均来自设定，不能估计真实效应。外部方法只有显式占位成绩，没有作者系统的同协议复现；命名路线仅用于比较设计，不能据此评价原方法。</w:t>
      </w:r>
    </w:p>
    <w:p>
      <w:r>
        <w:rPr>
          <w:rFonts w:ascii="Times New Roman" w:hAnsi="Times New Roman" w:eastAsia="Songti SC"/>
          <w:color w:val="000000"/>
        </w:rPr>
        <w:t>方法本身也有边界。影响域检查受语义判断与标注完备性影响，严格筛选可能改变源分布；成对项约束辅助因素，不能保证生成整图严格等变。推理只能访问冻结候选及声明动作，长超边新增能力受限；对象评分偏差会造成误改，分项门也可能拒绝真实有益方案。固定效用的性质限定决策过程，不提供真实F1或全局最优保证。</w:t>
      </w:r>
    </w:p>
    <w:p>
      <w:r>
        <w:rPr>
          <w:rFonts w:ascii="Times New Roman" w:hAnsi="Times New Roman" w:eastAsia="Songti SC"/>
          <w:color w:val="000000"/>
        </w:rPr>
        <w:t>统计结论限定于原生AAEC与CDCP及三个重复种子的协议。原生关系、二元投影与历史跨域Link-F1分别解释；平均时间也不能替代部署中的尾延迟、批量吞吐和一次性投入。结论中的取舍须随真实结果一起更新。</w:t>
      </w:r>
    </w:p>
    <w:p>
      <w:pPr>
        <w:pStyle w:val="Heading2"/>
      </w:pPr>
      <w:r>
        <w:t>6.3 后续研究方向</w:t>
      </w:r>
      <w:bookmarkStart w:id="107" w:name="v12_107"/>
      <w:bookmarkEnd w:id="107"/>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8" w:name="v12_108"/>
      <w:bookmarkEnd w:id="108"/>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9" w:name="v12_109"/>
      <w:bookmarkEnd w:id="109"/>
    </w:p>
    <w:p>
      <w:pPr>
        <w:pStyle w:val="Heading2"/>
      </w:pPr>
      <w:r>
        <w:t>A.1 坐标与结构数据</w:t>
      </w:r>
      <w:bookmarkStart w:id="110" w:name="v12_110"/>
      <w:bookmarkEnd w:id="110"/>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11" w:name="v12_111"/>
      <w:bookmarkEnd w:id="111"/>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12" w:name="v12_212"/>
      <w:bookmarkEnd w:id="21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12" w:name="v12_112"/>
      <w:bookmarkEnd w:id="112"/>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3" w:name="v12_113"/>
      <w:bookmarkEnd w:id="113"/>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方法配置身份沿用1010-v1-global-review；文稿版本为1010-v4，单独登记，不表示重新运行实验或更改方法配置。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13" w:name="v12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4" w:name="v12_114"/>
      <w:bookmarkEnd w:id="114"/>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2"/>
      </w:pPr>
      <w:r>
        <w:t>A.6 序列化、坐标与候选构造细则</w:t>
      </w:r>
      <w:bookmarkStart w:id="115" w:name="v12_115"/>
      <w:bookmarkEnd w:id="115"/>
    </w:p>
    <w:p>
      <w:pPr>
        <w:spacing w:line="38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8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8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8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8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6" w:name="v12_116"/>
      <w:bookmarkEnd w:id="116"/>
    </w:p>
    <w:p>
      <w:pPr>
        <w:pStyle w:val="Heading2"/>
      </w:pPr>
      <w:r>
        <w:t>B.1 数据与模型身份</w:t>
      </w:r>
      <w:bookmarkStart w:id="117" w:name="v12_117"/>
      <w:bookmarkEnd w:id="117"/>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8" w:name="v12_118"/>
      <w:bookmarkEnd w:id="118"/>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9" w:name="v12_119"/>
      <w:bookmarkEnd w:id="119"/>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pStyle w:val="Heading2"/>
      </w:pPr>
      <w:r>
        <w:t>B.4 实现一致性测试</w:t>
      </w:r>
      <w:bookmarkStart w:id="120" w:name="v12_120"/>
      <w:bookmarkEnd w:id="120"/>
    </w:p>
    <w:p>
      <w:pPr>
        <w:pStyle w:val="Heading3"/>
      </w:pPr>
      <w:r>
        <w:t>B.4.1 已执行的构造检查</w:t>
      </w:r>
      <w:bookmarkStart w:id="121" w:name="v12_121"/>
      <w:bookmarkEnd w:id="121"/>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22" w:name="v12_122"/>
      <w:bookmarkEnd w:id="122"/>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3" w:name="v12_123"/>
      <w:bookmarkEnd w:id="123"/>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14" w:name="v12_214"/>
      <w:bookmarkEnd w:id="21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4" w:name="v12_124"/>
      <w:bookmarkEnd w:id="124"/>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5" w:name="v12_125"/>
      <w:bookmarkEnd w:id="125"/>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6" w:name="v12_126"/>
      <w:bookmarkEnd w:id="126"/>
    </w:p>
    <w:p>
      <w:pPr>
        <w:pStyle w:val="Heading2"/>
      </w:pPr>
      <w:r>
        <w:t>C.1 前期共同成果</w:t>
      </w:r>
      <w:bookmarkStart w:id="127" w:name="v12_127"/>
      <w:bookmarkEnd w:id="127"/>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8" w:name="v12_128"/>
      <w:bookmarkEnd w:id="128"/>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9" w:name="v12_129"/>
      <w:bookmarkEnd w:id="129"/>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30" w:name="v12_130"/>
      <w:bookmarkEnd w:id="130"/>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31" w:name="v12_131"/>
      <w:bookmarkEnd w:id="131"/>
    </w:p>
    <w:p>
      <w:pPr>
        <w:pStyle w:val="Heading2"/>
      </w:pPr>
      <w:r>
        <w:t>D.1 前期结果的使用范围</w:t>
      </w:r>
      <w:bookmarkStart w:id="132" w:name="v12_132"/>
      <w:bookmarkEnd w:id="132"/>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3" w:name="v12_133"/>
      <w:bookmarkEnd w:id="133"/>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4" w:name="v12_134"/>
      <w:bookmarkEnd w:id="134"/>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35" w:name="v12_135"/>
      <w:bookmarkEnd w:id="135"/>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6" w:name="v12_136"/>
      <w:bookmarkEnd w:id="136"/>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7" w:name="v12_137"/>
      <w:bookmarkEnd w:id="137"/>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8" w:name="v12_138"/>
      <w:bookmarkEnd w:id="138"/>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9" w:name="v12_139"/>
      <w:bookmarkEnd w:id="139"/>
    </w:p>
    <w:p>
      <w:pPr>
        <w:pStyle w:val="TableCaption"/>
        <w:spacing w:line="380" w:lineRule="exact"/>
      </w:pPr>
      <w:r>
        <w:rPr>
          <w:rFonts w:ascii="Times New Roman" w:hAnsi="Times New Roman" w:eastAsia="Songti SC"/>
          <w:color w:val="000000"/>
          <w:sz w:val="21"/>
        </w:rPr>
        <w:t>表E-1 AAEC组件分类别旧稿记录</w:t>
      </w:r>
      <w:bookmarkStart w:id="215" w:name="v12_215"/>
      <w:bookmarkEnd w:id="21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40" w:name="v12_140"/>
      <w:bookmarkEnd w:id="140"/>
    </w:p>
    <w:p>
      <w:pPr>
        <w:pStyle w:val="TableCaption"/>
        <w:spacing w:line="380" w:lineRule="exact"/>
      </w:pPr>
      <w:r>
        <w:rPr>
          <w:rFonts w:ascii="Times New Roman" w:hAnsi="Times New Roman" w:eastAsia="Songti SC"/>
          <w:color w:val="000000"/>
          <w:sz w:val="21"/>
        </w:rPr>
        <w:t>表E-2 ICIC原版AAEC域内结果记录</w:t>
      </w:r>
      <w:bookmarkStart w:id="216" w:name="v12_216"/>
      <w:bookmarkEnd w:id="21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41" w:name="v12_141"/>
      <w:bookmarkEnd w:id="141"/>
    </w:p>
    <w:p>
      <w:pPr>
        <w:pStyle w:val="TableCaption"/>
        <w:spacing w:line="380" w:lineRule="exact"/>
      </w:pPr>
      <w:r>
        <w:rPr>
          <w:rFonts w:ascii="Times New Roman" w:hAnsi="Times New Roman" w:eastAsia="Songti SC"/>
          <w:color w:val="000000"/>
          <w:sz w:val="21"/>
        </w:rPr>
        <w:t>表E-3 ICIC原版CDCP域内结果记录</w:t>
      </w:r>
      <w:bookmarkStart w:id="217" w:name="v12_217"/>
      <w:bookmarkEnd w:id="21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42" w:name="v12_142"/>
      <w:bookmarkEnd w:id="142"/>
    </w:p>
    <w:p>
      <w:pPr>
        <w:pStyle w:val="TableCaption"/>
        <w:spacing w:line="380" w:lineRule="exact"/>
      </w:pPr>
      <w:r>
        <w:rPr>
          <w:rFonts w:ascii="Times New Roman" w:hAnsi="Times New Roman" w:eastAsia="Songti SC"/>
          <w:color w:val="000000"/>
          <w:sz w:val="21"/>
        </w:rPr>
        <w:t>表E-4 ICIC原版模块消融记录</w:t>
      </w:r>
      <w:bookmarkStart w:id="218" w:name="v12_218"/>
      <w:bookmarkEnd w:id="21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3" w:name="v12_143"/>
      <w:bookmarkEnd w:id="143"/>
    </w:p>
    <w:p>
      <w:pPr>
        <w:pStyle w:val="TableCaption"/>
        <w:spacing w:line="380" w:lineRule="exact"/>
      </w:pPr>
      <w:r>
        <w:rPr>
          <w:rFonts w:ascii="Times New Roman" w:hAnsi="Times New Roman" w:eastAsia="Songti SC"/>
          <w:color w:val="000000"/>
          <w:sz w:val="21"/>
        </w:rPr>
        <w:t>表E-5 ICIC原版验证器替换记录</w:t>
      </w:r>
      <w:bookmarkStart w:id="219" w:name="v12_219"/>
      <w:bookmarkEnd w:id="21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4" w:name="v12_144"/>
      <w:bookmarkEnd w:id="144"/>
    </w:p>
    <w:p>
      <w:pPr>
        <w:pStyle w:val="TableCaption"/>
        <w:spacing w:line="380" w:lineRule="exact"/>
      </w:pPr>
      <w:r>
        <w:rPr>
          <w:rFonts w:ascii="Times New Roman" w:hAnsi="Times New Roman" w:eastAsia="Songti SC"/>
          <w:color w:val="000000"/>
          <w:sz w:val="21"/>
        </w:rPr>
        <w:t>表E-6 ICIC原版Oracle记录</w:t>
      </w:r>
      <w:bookmarkStart w:id="220" w:name="v12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5" w:name="v12_145"/>
      <w:bookmarkEnd w:id="145"/>
    </w:p>
    <w:p>
      <w:pPr>
        <w:pStyle w:val="TableCaption"/>
        <w:spacing w:line="380" w:lineRule="exact"/>
      </w:pPr>
      <w:r>
        <w:rPr>
          <w:rFonts w:ascii="Times New Roman" w:hAnsi="Times New Roman" w:eastAsia="Songti SC"/>
          <w:color w:val="000000"/>
          <w:sz w:val="21"/>
        </w:rPr>
        <w:t>表E-7 ICIC原版修正行为记录</w:t>
      </w:r>
      <w:bookmarkStart w:id="221" w:name="v12_221"/>
      <w:bookmarkEnd w:id="22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6" w:name="v12_146"/>
      <w:bookmarkEnd w:id="146"/>
    </w:p>
    <w:p>
      <w:pPr>
        <w:pStyle w:val="TableCaption"/>
        <w:spacing w:line="380" w:lineRule="exact"/>
      </w:pPr>
      <w:r>
        <w:rPr>
          <w:rFonts w:ascii="Times New Roman" w:hAnsi="Times New Roman" w:eastAsia="Songti SC"/>
          <w:color w:val="000000"/>
          <w:sz w:val="21"/>
        </w:rPr>
        <w:t>表E-8 前期粗粒度组件映射</w:t>
      </w:r>
      <w:bookmarkStart w:id="222" w:name="v12_222"/>
      <w:bookmarkEnd w:id="22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7" w:name="v12_147"/>
      <w:bookmarkEnd w:id="147"/>
    </w:p>
    <w:p>
      <w:pPr>
        <w:pStyle w:val="TableCaption"/>
        <w:spacing w:line="380" w:lineRule="exact"/>
      </w:pPr>
      <w:r>
        <w:rPr>
          <w:rFonts w:ascii="Times New Roman" w:hAnsi="Times New Roman" w:eastAsia="Songti SC"/>
          <w:color w:val="000000"/>
          <w:sz w:val="21"/>
        </w:rPr>
        <w:t>表E-9 ICIC原版AAEC到CDCP迁移记录</w:t>
      </w:r>
      <w:bookmarkStart w:id="223" w:name="v12_223"/>
      <w:bookmarkEnd w:id="22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8" w:name="v12_148"/>
      <w:bookmarkEnd w:id="148"/>
    </w:p>
    <w:p>
      <w:pPr>
        <w:pStyle w:val="Heading2"/>
      </w:pPr>
      <w:r>
        <w:t>F.1 核心术语与符号</w:t>
      </w:r>
      <w:bookmarkStart w:id="149" w:name="v12_149"/>
      <w:bookmarkEnd w:id="149"/>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24" w:name="v12_224"/>
      <w:bookmarkEnd w:id="22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50" w:name="v12_150"/>
      <w:bookmarkEnd w:id="150"/>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51" w:name="v12_151"/>
      <w:bookmarkEnd w:id="151"/>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25" w:name="v12_225"/>
      <w:bookmarkEnd w:id="22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5.1至5.5条件增量、净计数、配置与超边范围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5.5及附录E.8至E.9</w:t>
            </w:r>
          </w:p>
        </w:tc>
      </w:tr>
    </w:tbl>
    <w:p>
      <w:pPr>
        <w:spacing w:after="0" w:line="240" w:lineRule="auto"/>
      </w:pPr>
    </w:p>
    <w:p>
      <w:pPr>
        <w:pStyle w:val="Heading1"/>
      </w:pPr>
      <w:r>
        <w:t>附录G 外部方法定位与比较协议</w:t>
      </w:r>
      <w:bookmarkStart w:id="152" w:name="v12_152"/>
      <w:bookmarkEnd w:id="152"/>
    </w:p>
    <w:p>
      <w:pPr>
        <w:pStyle w:val="Heading2"/>
      </w:pPr>
      <w:r>
        <w:t>G.1 检索范围与方法选择</w:t>
      </w:r>
      <w:bookmarkStart w:id="153" w:name="v12_153"/>
      <w:bookmarkEnd w:id="153"/>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Anthology、论文原文、arXiv作者版本与论文所指向的公开仓库。表G-1记录纳入考虑的方法类别，检索目的为建立可执行的比较范围，未据此作穷尽性新颖性或“首次”判断。原论文成绩不并入本版人工情景主表。</w:t>
      </w:r>
    </w:p>
    <w:p>
      <w:pPr>
        <w:pStyle w:val="TableCaption"/>
        <w:spacing w:line="380" w:lineRule="exact"/>
      </w:pPr>
      <w:r>
        <w:rPr>
          <w:rFonts w:ascii="Times New Roman" w:hAnsi="Times New Roman" w:eastAsia="Songti SC"/>
          <w:color w:val="000000"/>
          <w:sz w:val="21"/>
        </w:rPr>
        <w:t>表G-1 外部研究候选与本稿比较用途</w:t>
      </w:r>
      <w:bookmarkStart w:id="226" w:name="v12_226"/>
      <w:bookmarkEnd w:id="22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4" w:name="v12_154"/>
      <w:bookmarkEnd w:id="154"/>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；本轮访问未取得可检查的仓库内容，因此仅确认论文所载地址，不标记环境可运行。QOS／DOS的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所列分类任务用于说明输入边界。AASP、ARGUS的本轮记录以原文方法为限，不将未检查的代码写成已复现。</w:t>
      </w:r>
    </w:p>
    <w:p>
      <w:pPr>
        <w:spacing w:line="380" w:lineRule="exact"/>
      </w:pPr>
      <w:r>
        <w:rPr>
          <w:rFonts w:ascii="Times New Roman" w:hAnsi="Times New Roman" w:eastAsia="Songti SC"/>
          <w:color w:val="000000"/>
          <w:sz w:val="22"/>
        </w:rPr>
        <w:t>本稿4.6.7节给出Kawarada式与UniASA式的显式占位模拟，不属于外部模型的同协议运行结果。两者仍作为优先审计入口；至少一种方法通过原生任务兼容性核查并真实运行后，才能形成实证系统比较。GMAM、DENIM和动作模型仅作必要补充，QOS式适配不替代端到端外部对照。</w:t>
      </w:r>
    </w:p>
    <w:p>
      <w:pPr>
        <w:pStyle w:val="Heading2"/>
      </w:pPr>
      <w:r>
        <w:t>G.3 QOS式适配与本方法的差异</w:t>
      </w:r>
      <w:bookmarkStart w:id="155" w:name="v12_155"/>
      <w:bookmarkEnd w:id="155"/>
    </w:p>
    <w:p>
      <w:pPr>
        <w:pStyle w:val="TableCaption"/>
        <w:spacing w:line="380" w:lineRule="exact"/>
      </w:pPr>
      <w:r>
        <w:rPr>
          <w:rFonts w:ascii="Times New Roman" w:hAnsi="Times New Roman" w:eastAsia="Songti SC"/>
          <w:color w:val="000000"/>
          <w:sz w:val="21"/>
        </w:rPr>
        <w:t>表G-2 当前数据构造对照的适配范围</w:t>
      </w:r>
      <w:bookmarkStart w:id="227" w:name="v12_227"/>
      <w:bookmarkEnd w:id="22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6" w:name="v12_156"/>
      <w:bookmarkEnd w:id="156"/>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7" w:name="v12_157"/>
      <w:bookmarkEnd w:id="157"/>
    </w:p>
    <w:p>
      <w:pPr>
        <w:pStyle w:val="Heading2"/>
      </w:pPr>
      <w:r>
        <w:t>H.1 训练侧问题规模与初始错误的诊断设计</w:t>
      </w:r>
      <w:bookmarkStart w:id="158" w:name="v12_158"/>
      <w:bookmarkEnd w:id="158"/>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9" w:name="v12_159"/>
      <w:bookmarkEnd w:id="159"/>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固定尝试轨训练成本存档（人工情景）</w:t>
      </w:r>
      <w:bookmarkStart w:id="228" w:name="v12_228"/>
      <w:bookmarkEnd w:id="22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60" w:name="v12_160"/>
      <w:bookmarkEnd w:id="160"/>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旧情景的平均与P95耗时仍为设定输入。SIM-1010-V4新增逐文档成本函数、状态和计数，表4-11与表4-12据其计算尾分位、超时和回退比例；这些状态也是模拟值，没有实际求解证书，gap字段保持空值。正式预算轨继续按本节协议采集，不能用模拟状态替代实测日志。</w:t>
      </w:r>
    </w:p>
    <w:p>
      <w:pPr>
        <w:pStyle w:val="Heading2"/>
      </w:pPr>
      <w:r>
        <w:t>H.4 四格对象、恢复阻断与案例</w:t>
      </w:r>
      <w:bookmarkStart w:id="161" w:name="v12_161"/>
      <w:bookmarkEnd w:id="161"/>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w:t>
      </w:r>
    </w:p>
    <w:p>
      <w:pPr>
        <w:pStyle w:val="Heading2"/>
      </w:pPr>
      <w:r>
        <w:t>H.5 模拟结果后的实证替换顺序</w:t>
      </w:r>
      <w:bookmarkStart w:id="162" w:name="v12_162"/>
      <w:bookmarkEnd w:id="162"/>
    </w:p>
    <w:p>
      <w:pPr>
        <w:spacing w:line="380" w:lineRule="exact"/>
      </w:pPr>
      <w:r>
        <w:rPr>
          <w:rFonts w:ascii="Times New Roman" w:hAnsi="Times New Roman" w:eastAsia="Songti SC"/>
          <w:color w:val="000000"/>
          <w:sz w:val="22"/>
        </w:rPr>
        <w:t>本版已为增强用途、局部采用条件、外部比较及对象综合分析补齐模拟记录与结果，以下步骤用于替换为真实证据。第一阶段使用有限固定真实文档复核漂移、表达变化、覆盖及裁剪前成本。模板诊断提示的复杂文档覆盖损失和预算情景中的局部条件优势均须允许被推翻；失败文档保留，结果不支持时收缩主张或简化设计。</w:t>
      </w:r>
    </w:p>
    <w:p>
      <w:pPr>
        <w:spacing w:line="380" w:lineRule="exact"/>
      </w:pPr>
      <w:r>
        <w:rPr>
          <w:rFonts w:ascii="Times New Roman" w:hAnsi="Times New Roman" w:eastAsia="Songti SC"/>
          <w:color w:val="000000"/>
          <w:sz w:val="22"/>
        </w:rPr>
        <w:t>局部方案的定位依据真实结果三选一：在尾延迟、资源限制或明确逐步变更要求下稳定获益时保留为主方案；只对特定子集有用时作为条件选项；若全局更适合目标场景，则以依赖闭合结构恢复为框架比较两种求解选择，或简化局部设计。当前模拟选择“条件选项”；正式定位须由真实结果重新决定。日志可追溯并非局部独占优势，声称变更可控时须给出具体约束和实际表现。</w:t>
      </w:r>
    </w:p>
    <w:p>
      <w:pPr>
        <w:spacing w:line="380" w:lineRule="exact"/>
      </w:pPr>
      <w:r>
        <w:rPr>
          <w:rFonts w:ascii="Times New Roman" w:hAnsi="Times New Roman" w:eastAsia="Songti SC"/>
          <w:color w:val="000000"/>
          <w:sz w:val="22"/>
        </w:rPr>
        <w:t>第二阶段只完成支撑主要主张的比较：固定学习目标比较增强构造，固定增强集合比较学习项，完成至少一个可解释的原生外部系统对照，以及共同条件下的推理和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第三阶段复用同一批输出，形成至少一项对象级综合认识及少量同文档真实前后案例，再以结果替换诊断方案。若第五章仍缺独立内容，压缩相应小节；不以更多集合定义代替发现。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p>
      <w:pPr>
        <w:pStyle w:val="Heading2"/>
      </w:pPr>
      <w:r>
        <w:t>H.6 新增模拟记录与复算边界</w:t>
      </w:r>
      <w:bookmarkStart w:id="163" w:name="v12_163"/>
      <w:bookmarkEnd w:id="163"/>
    </w:p>
    <w:p>
      <w:pPr>
        <w:spacing w:line="380" w:lineRule="exact"/>
      </w:pPr>
      <w:r>
        <w:rPr>
          <w:rFonts w:ascii="Times New Roman" w:hAnsi="Times New Roman" w:eastAsia="Songti SC"/>
          <w:color w:val="000000"/>
          <w:sz w:val="22"/>
        </w:rPr>
        <w:t>新增材料身份统一为SIM-1010-V4，与旧主成绩轨分开。generate_supplement.py固定随机来源，由输入键哈希确定随机序列；生成器、各原始文件和汇总文件均登记SHA-256。没有调用真实模型、人工标注者或优化器。</w:t>
      </w:r>
    </w:p>
    <w:p>
      <w:pPr>
        <w:spacing w:line="380" w:lineRule="exact"/>
      </w:pPr>
      <w:r>
        <w:rPr>
          <w:rFonts w:ascii="Times New Roman" w:hAnsi="Times New Roman" w:eastAsia="Songti SC"/>
          <w:color w:val="000000"/>
          <w:sz w:val="22"/>
        </w:rPr>
        <w:t>增强诊断保存80篇模板源文档的320个共同改写候选，以及三种筛选共960条决定。4／12因素组各占一半，三种检测概率为0.18、0.55、0.90，误报概率为0.005、0.012、0.023；每源最多接受2个。漂移标签由规则赋予。非复制按槽位文本比较，编辑距离按固定英文单词、数字与标点切分；0.75的中位数来自有限模板，不表示自然语言表达多样性达到某一水平。新增诊断不与表3-3的因素均值或表3-9的训练源覆盖拼接。</w:t>
      </w:r>
    </w:p>
    <w:p>
      <w:pPr>
        <w:spacing w:line="380" w:lineRule="exact"/>
      </w:pPr>
      <w:r>
        <w:rPr>
          <w:rFonts w:ascii="Times New Roman" w:hAnsi="Times New Roman" w:eastAsia="Songti SC"/>
          <w:color w:val="000000"/>
          <w:sz w:val="22"/>
        </w:rPr>
        <w:t>资源情景复用228篇模拟文档。候选跨度数设为模拟金标组件数加8，每跨度2种类型；裁剪前合法槽位数取4.2.5组合上界的60%，每槽位2个正标签评分对象。AAEC／CDCP预检槽位阈值为9000／330000，端到端基准时限为24／36秒，再比较0.5、1、2倍。所有比例、单位成本和求解时间函数均为设定，不是硬件基准。完整状态记录包括准备超时、无incumbent超时、有可行状态超时、预检失败与完成；失败回退到已有初始计数，双方共同准备成本全额计入。</w:t>
      </w:r>
    </w:p>
    <w:p>
      <w:pPr>
        <w:spacing w:line="380" w:lineRule="exact"/>
      </w:pPr>
      <w:r>
        <w:rPr>
          <w:rFonts w:ascii="Times New Roman" w:hAnsi="Times New Roman" w:eastAsia="Songti SC"/>
          <w:color w:val="000000"/>
          <w:sz w:val="22"/>
        </w:rPr>
        <w:t>表4-12的标准差来自17、29、43三个种子；区间按文档成对重采样2000次，每次先汇总TP／FP／FN，再对种子F1取平均。规模组在模拟设计中按候选规模排序三等分，正文只解释预先列出的整体与大规模结果；全部组与预算点一并保存，不按有利结果挑选。预检失败所含金标数另存，未枚举对象的可恢复覆盖不补零。返回模拟计数不等于验证过完整图合法性。</w:t>
      </w:r>
    </w:p>
    <w:p>
      <w:pPr>
        <w:spacing w:line="380" w:lineRule="exact"/>
      </w:pPr>
      <w:r>
        <w:rPr>
          <w:rFonts w:ascii="Times New Roman" w:hAnsi="Times New Roman" w:eastAsia="Songti SC"/>
          <w:color w:val="000000"/>
          <w:sz w:val="22"/>
        </w:rPr>
        <w:t>外部占位记录含Kawarada_proxy与UniASA_proxy两种标识，分别按公开在生成器中的Bernoulli召回、误检参数生成逐文档计数。参数不是从原论文估计，也未实现其解码器和任务转换；表4-10不能用于引用作者性能、判断真实公平性或决定实际系统排名。</w:t>
      </w:r>
    </w:p>
    <w:p>
      <w:pPr>
        <w:spacing w:line="380" w:lineRule="exact"/>
      </w:pPr>
      <w:r>
        <w:rPr>
          <w:rFonts w:ascii="Times New Roman" w:hAnsi="Times New Roman" w:eastAsia="Songti SC"/>
          <w:color w:val="000000"/>
          <w:sz w:val="22"/>
        </w:rPr>
        <w:t>object_memberships.json保存684个文档种子记录，每项含金标和四格关系对象集合。补全过程约束既有未分组关系计数，并匹配T1到组合的恢复／损失与FP变化总量；不约束类型、标签及源成员数分组，不对原始计数追认真实对象身份。各关系键中的坐标、类型和端点为程序构造，只支持关系集合代数，不代表完整预测图或真实原文案例。synthetic_object_cases.json按固定类别与文档顺序选取示例，全部清单与未命中项仍保留。</w:t>
      </w:r>
    </w:p>
    <w:p>
      <w:pPr>
        <w:spacing w:line="380" w:lineRule="exact"/>
      </w:pPr>
      <w:r>
        <w:rPr>
          <w:rFonts w:ascii="Times New Roman" w:hAnsi="Times New Roman" w:eastAsia="Songti SC"/>
          <w:color w:val="000000"/>
          <w:sz w:val="22"/>
        </w:rPr>
        <w:t>这四组材料使模拟结果章节具备可检查的输入、记录、分母和结论，但不能关闭真实研究证据缺口。正式替换时须更新全套结果与结论，并保留本版及其生成假设作为独立存档。</w:t>
      </w:r>
    </w:p>
    <w:sectPr>
      <w:headerReference w:type="default" r:id="rId154"/>
      <w:footerReference w:type="default" r:id="rId155"/>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 Id="rId152" Type="http://schemas.openxmlformats.org/officeDocument/2006/relationships/header" Target="header27.xml"/><Relationship Id="rId153" Type="http://schemas.openxmlformats.org/officeDocument/2006/relationships/footer" Target="footer27.xml"/><Relationship Id="rId154" Type="http://schemas.openxmlformats.org/officeDocument/2006/relationships/header" Target="header28.xml"/><Relationship Id="rId155" Type="http://schemas.openxmlformats.org/officeDocument/2006/relationships/footer" Target="footer28.xml"/><Relationship Id="rId15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1010-v4 模拟数据演示稿；模拟身份见封面、摘要与实验表图</dc:subject>
  <dc:creator>Chen Tang</dc:creator>
  <cp:keywords>模拟数据演示稿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