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1010-v5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实验表图、审计判定、运行配置、成本及案例均为程序构造的模拟情景，不代表真实实验记录或效果预测。正文保留主要方法及受控比较的写作示例；模板筛选、预算推演和对象非唯一性示例集中于附录H，各自不构成真实效果证据。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3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使用AAEC与CDCP规模的人工计数演示评价，不代表真实模型实验。训练侧固定基础损失比较数据构造整体，固定增强集合比较辅助监督与成对项；推理侧以固定组件、单对象动作和同目标全局求解分别检验组件可变性、集合表达与资源取舍。给定人工计数，成对项的关系F1增量为1.92／1.88个百分点，BR-J相对固定组件RelationOnly的增量为3.59／4.39个百分点；这些数字只展示对应比较的解释口径。两阶段四格用于区分组合增量与配置成本，聚合成绩尚不能确定对象重叠。真实监督漂移、端点错误分布及方法运行仍待验证，局部与全局求解的采用优先级尚未确定。</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3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Artificial counts at AAEC and CDCP scales illustrate evaluation rather than empirical model performance. Training comparisons separate the overall data-construction effect under a fixed base loss from auxiliary supervision and paired learning on the same augmented set. Inference comparisons use fixed-component repair, single-object actions and same-objective global optimization to examine component changes, set-level expressiveness and resource tradeoffs. Under the assigned counts, paired learning adds 1.92/1.88 relation F1 points, while BR-J exceeds fixed-component RelationOnly by 3.59/4.39 points; these values illustrate the interpretation of the respective comparisons. A four-cell analysis separates combination gains from configuration costs, but aggregate scores do not identify object overlap. Actual supervision drift, endpoint-related errors and method performance remain to be tested, and the choice between local and global solving is unresolved.</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3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3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3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3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3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3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3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3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3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3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3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3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3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3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3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3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3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3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3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3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3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3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3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3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3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3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3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3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3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3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3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3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3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3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3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3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3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3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3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3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3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3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3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3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3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3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3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3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3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3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3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3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3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33</w:t>
        </w:r>
      </w:hyperlink>
    </w:p>
    <w:p>
      <w:pPr>
        <w:pStyle w:val="TOC2"/>
      </w:pPr>
      <w:hyperlink w:anchor="v13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3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3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3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3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3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13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13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3"/>
      </w:pPr>
      <w:hyperlink w:anchor="v13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39</w:t>
        </w:r>
      </w:hyperlink>
    </w:p>
    <w:p>
      <w:pPr>
        <w:pStyle w:val="TOC2"/>
      </w:pPr>
      <w:hyperlink w:anchor="v13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13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3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13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13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3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13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3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13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3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3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3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3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3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13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13_87"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3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13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13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55</w:t>
        </w:r>
      </w:hyperlink>
    </w:p>
    <w:p>
      <w:pPr>
        <w:pStyle w:val="TOC3"/>
      </w:pPr>
      <w:hyperlink w:anchor="v13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56</w:t>
        </w:r>
      </w:hyperlink>
    </w:p>
    <w:p>
      <w:pPr>
        <w:pStyle w:val="TOC3"/>
      </w:pPr>
      <w:hyperlink w:anchor="v13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57</w:t>
        </w:r>
      </w:hyperlink>
    </w:p>
    <w:p>
      <w:pPr>
        <w:pStyle w:val="TOC3"/>
      </w:pPr>
      <w:hyperlink w:anchor="v13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59</w:t>
        </w:r>
      </w:hyperlink>
    </w:p>
    <w:p>
      <w:pPr>
        <w:pStyle w:val="TOC3"/>
      </w:pPr>
      <w:hyperlink w:anchor="v13_94" w:history="1">
        <w:r>
          <w:rPr>
            <w:rFonts w:ascii="Times New Roman" w:hAnsi="Times New Roman" w:eastAsia="Songti SC"/>
            <w:color w:val="000000"/>
            <w:sz w:val="22"/>
          </w:rPr>
          <w:t>4.6.7 案例分析</w:t>
        </w:r>
        <w:r>
          <w:rPr>
            <w:rFonts w:ascii="Times New Roman" w:hAnsi="Times New Roman" w:eastAsia="Songti SC"/>
            <w:color w:val="000000"/>
            <w:sz w:val="22"/>
          </w:rPr>
          <w:tab/>
          <w:t>59</w:t>
        </w:r>
      </w:hyperlink>
    </w:p>
    <w:p>
      <w:pPr>
        <w:pStyle w:val="TOC2"/>
      </w:pPr>
      <w:hyperlink w:anchor="v13_95" w:history="1">
        <w:r>
          <w:rPr>
            <w:rFonts w:ascii="Times New Roman" w:hAnsi="Times New Roman" w:eastAsia="Songti SC"/>
            <w:color w:val="000000"/>
            <w:sz w:val="22"/>
          </w:rPr>
          <w:t>4.7 本章小结</w:t>
        </w:r>
        <w:r>
          <w:rPr>
            <w:rFonts w:ascii="Times New Roman" w:hAnsi="Times New Roman" w:eastAsia="Songti SC"/>
            <w:color w:val="000000"/>
            <w:sz w:val="22"/>
          </w:rPr>
          <w:tab/>
          <w:t>60</w:t>
        </w:r>
      </w:hyperlink>
    </w:p>
    <w:p>
      <w:pPr>
        <w:pStyle w:val="TOC1"/>
        <w:keepNext/>
        <w:spacing w:before="120"/>
      </w:pPr>
      <w:hyperlink w:anchor="v13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61</w:t>
        </w:r>
      </w:hyperlink>
    </w:p>
    <w:p>
      <w:pPr>
        <w:pStyle w:val="TOC2"/>
      </w:pPr>
      <w:hyperlink w:anchor="v13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61</w:t>
        </w:r>
      </w:hyperlink>
    </w:p>
    <w:p>
      <w:pPr>
        <w:pStyle w:val="TOC2"/>
      </w:pPr>
      <w:hyperlink w:anchor="v13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62</w:t>
        </w:r>
      </w:hyperlink>
    </w:p>
    <w:p>
      <w:pPr>
        <w:pStyle w:val="TOC2"/>
      </w:pPr>
      <w:hyperlink w:anchor="v13_99" w:history="1">
        <w:r>
          <w:rPr>
            <w:rFonts w:ascii="Times New Roman" w:hAnsi="Times New Roman" w:eastAsia="Songti SC"/>
            <w:color w:val="000000"/>
            <w:sz w:val="22"/>
          </w:rPr>
          <w:t>5.3 训练 修正与组合的配置取舍</w:t>
        </w:r>
        <w:r>
          <w:rPr>
            <w:rFonts w:ascii="Times New Roman" w:hAnsi="Times New Roman" w:eastAsia="Songti SC"/>
            <w:color w:val="000000"/>
            <w:sz w:val="22"/>
          </w:rPr>
          <w:tab/>
          <w:t>63</w:t>
        </w:r>
      </w:hyperlink>
    </w:p>
    <w:p>
      <w:pPr>
        <w:pStyle w:val="TOC2"/>
      </w:pPr>
      <w:hyperlink w:anchor="v13_100" w:history="1">
        <w:r>
          <w:rPr>
            <w:rFonts w:ascii="Times New Roman" w:hAnsi="Times New Roman" w:eastAsia="Songti SC"/>
            <w:color w:val="000000"/>
            <w:sz w:val="22"/>
          </w:rPr>
          <w:t>5.4 本章小结</w:t>
        </w:r>
        <w:r>
          <w:rPr>
            <w:rFonts w:ascii="Times New Roman" w:hAnsi="Times New Roman" w:eastAsia="Songti SC"/>
            <w:color w:val="000000"/>
            <w:sz w:val="22"/>
          </w:rPr>
          <w:tab/>
          <w:t>64</w:t>
        </w:r>
      </w:hyperlink>
    </w:p>
    <w:p>
      <w:pPr>
        <w:pStyle w:val="TOC1"/>
        <w:keepNext/>
        <w:spacing w:before="120"/>
      </w:pPr>
      <w:hyperlink w:anchor="v13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65</w:t>
        </w:r>
      </w:hyperlink>
    </w:p>
    <w:p>
      <w:pPr>
        <w:pStyle w:val="TOC2"/>
      </w:pPr>
      <w:hyperlink w:anchor="v13_102" w:history="1">
        <w:r>
          <w:rPr>
            <w:rFonts w:ascii="Times New Roman" w:hAnsi="Times New Roman" w:eastAsia="Songti SC"/>
            <w:color w:val="000000"/>
            <w:sz w:val="22"/>
          </w:rPr>
          <w:t>6.1 研究总结</w:t>
        </w:r>
        <w:r>
          <w:rPr>
            <w:rFonts w:ascii="Times New Roman" w:hAnsi="Times New Roman" w:eastAsia="Songti SC"/>
            <w:color w:val="000000"/>
            <w:sz w:val="22"/>
          </w:rPr>
          <w:tab/>
          <w:t>65</w:t>
        </w:r>
      </w:hyperlink>
    </w:p>
    <w:p>
      <w:pPr>
        <w:pStyle w:val="TOC2"/>
      </w:pPr>
      <w:hyperlink w:anchor="v13_103" w:history="1">
        <w:r>
          <w:rPr>
            <w:rFonts w:ascii="Times New Roman" w:hAnsi="Times New Roman" w:eastAsia="Songti SC"/>
            <w:color w:val="000000"/>
            <w:sz w:val="22"/>
          </w:rPr>
          <w:t>6.2 研究局限</w:t>
        </w:r>
        <w:r>
          <w:rPr>
            <w:rFonts w:ascii="Times New Roman" w:hAnsi="Times New Roman" w:eastAsia="Songti SC"/>
            <w:color w:val="000000"/>
            <w:sz w:val="22"/>
          </w:rPr>
          <w:tab/>
          <w:t>65</w:t>
        </w:r>
      </w:hyperlink>
    </w:p>
    <w:p>
      <w:pPr>
        <w:pStyle w:val="TOC2"/>
      </w:pPr>
      <w:hyperlink w:anchor="v13_104" w:history="1">
        <w:r>
          <w:rPr>
            <w:rFonts w:ascii="Times New Roman" w:hAnsi="Times New Roman" w:eastAsia="Songti SC"/>
            <w:color w:val="000000"/>
            <w:sz w:val="22"/>
          </w:rPr>
          <w:t>6.3 后续研究方向</w:t>
        </w:r>
        <w:r>
          <w:rPr>
            <w:rFonts w:ascii="Times New Roman" w:hAnsi="Times New Roman" w:eastAsia="Songti SC"/>
            <w:color w:val="000000"/>
            <w:sz w:val="22"/>
          </w:rPr>
          <w:tab/>
          <w:t>66</w:t>
        </w:r>
      </w:hyperlink>
    </w:p>
    <w:p>
      <w:pPr>
        <w:pStyle w:val="TOC1"/>
        <w:keepNext/>
        <w:spacing w:before="120"/>
      </w:pPr>
      <w:hyperlink w:anchor="v13_105" w:history="1">
        <w:r>
          <w:rPr>
            <w:rFonts w:ascii="Times New Roman" w:hAnsi="Times New Roman" w:eastAsia="Songti SC"/>
            <w:color w:val="000000"/>
            <w:sz w:val="22"/>
          </w:rPr>
          <w:t>参考文献</w:t>
        </w:r>
        <w:r>
          <w:rPr>
            <w:rFonts w:ascii="Times New Roman" w:hAnsi="Times New Roman" w:eastAsia="Songti SC"/>
            <w:color w:val="000000"/>
            <w:sz w:val="22"/>
          </w:rPr>
          <w:tab/>
          <w:t>67</w:t>
        </w:r>
      </w:hyperlink>
    </w:p>
    <w:p>
      <w:pPr>
        <w:pStyle w:val="TOC1"/>
        <w:keepNext/>
        <w:spacing w:before="120"/>
      </w:pPr>
      <w:hyperlink w:anchor="v13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71</w:t>
        </w:r>
      </w:hyperlink>
    </w:p>
    <w:p>
      <w:pPr>
        <w:pStyle w:val="TOC2"/>
      </w:pPr>
      <w:hyperlink w:anchor="v13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71</w:t>
        </w:r>
      </w:hyperlink>
    </w:p>
    <w:p>
      <w:pPr>
        <w:pStyle w:val="TOC2"/>
      </w:pPr>
      <w:hyperlink w:anchor="v13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71</w:t>
        </w:r>
      </w:hyperlink>
    </w:p>
    <w:p>
      <w:pPr>
        <w:pStyle w:val="TOC2"/>
      </w:pPr>
      <w:hyperlink w:anchor="v13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72</w:t>
        </w:r>
      </w:hyperlink>
    </w:p>
    <w:p>
      <w:pPr>
        <w:pStyle w:val="TOC2"/>
      </w:pPr>
      <w:hyperlink w:anchor="v13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72</w:t>
        </w:r>
      </w:hyperlink>
    </w:p>
    <w:p>
      <w:pPr>
        <w:pStyle w:val="TOC2"/>
      </w:pPr>
      <w:hyperlink w:anchor="v13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73</w:t>
        </w:r>
      </w:hyperlink>
    </w:p>
    <w:p>
      <w:pPr>
        <w:pStyle w:val="TOC2"/>
      </w:pPr>
      <w:hyperlink w:anchor="v13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74</w:t>
        </w:r>
      </w:hyperlink>
    </w:p>
    <w:p>
      <w:pPr>
        <w:pStyle w:val="TOC1"/>
        <w:keepNext/>
        <w:spacing w:before="120"/>
      </w:pPr>
      <w:hyperlink w:anchor="v13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75</w:t>
        </w:r>
      </w:hyperlink>
    </w:p>
    <w:p>
      <w:pPr>
        <w:pStyle w:val="TOC2"/>
      </w:pPr>
      <w:hyperlink w:anchor="v13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75</w:t>
        </w:r>
      </w:hyperlink>
    </w:p>
    <w:p>
      <w:pPr>
        <w:pStyle w:val="TOC2"/>
      </w:pPr>
      <w:hyperlink w:anchor="v13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75</w:t>
        </w:r>
      </w:hyperlink>
    </w:p>
    <w:p>
      <w:pPr>
        <w:pStyle w:val="TOC2"/>
      </w:pPr>
      <w:hyperlink w:anchor="v13_116" w:history="1">
        <w:r>
          <w:rPr>
            <w:rFonts w:ascii="Times New Roman" w:hAnsi="Times New Roman" w:eastAsia="Songti SC"/>
            <w:color w:val="000000"/>
            <w:sz w:val="22"/>
          </w:rPr>
          <w:t>B.3 回退与预算</w:t>
        </w:r>
        <w:r>
          <w:rPr>
            <w:rFonts w:ascii="Times New Roman" w:hAnsi="Times New Roman" w:eastAsia="Songti SC"/>
            <w:color w:val="000000"/>
            <w:sz w:val="22"/>
          </w:rPr>
          <w:tab/>
          <w:t>75</w:t>
        </w:r>
      </w:hyperlink>
    </w:p>
    <w:p>
      <w:pPr>
        <w:pStyle w:val="TOC2"/>
      </w:pPr>
      <w:hyperlink w:anchor="v13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76</w:t>
        </w:r>
      </w:hyperlink>
    </w:p>
    <w:p>
      <w:pPr>
        <w:pStyle w:val="TOC3"/>
      </w:pPr>
      <w:hyperlink w:anchor="v13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76</w:t>
        </w:r>
      </w:hyperlink>
    </w:p>
    <w:p>
      <w:pPr>
        <w:pStyle w:val="TOC3"/>
      </w:pPr>
      <w:hyperlink w:anchor="v13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76</w:t>
        </w:r>
      </w:hyperlink>
    </w:p>
    <w:p>
      <w:pPr>
        <w:pStyle w:val="TOC3"/>
      </w:pPr>
      <w:hyperlink w:anchor="v13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76</w:t>
        </w:r>
      </w:hyperlink>
    </w:p>
    <w:p>
      <w:pPr>
        <w:pStyle w:val="TOC2"/>
      </w:pPr>
      <w:hyperlink w:anchor="v13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77</w:t>
        </w:r>
      </w:hyperlink>
    </w:p>
    <w:p>
      <w:pPr>
        <w:pStyle w:val="TOC2"/>
      </w:pPr>
      <w:hyperlink w:anchor="v13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78</w:t>
        </w:r>
      </w:hyperlink>
    </w:p>
    <w:p>
      <w:pPr>
        <w:pStyle w:val="TOC1"/>
        <w:keepNext/>
        <w:spacing w:before="120"/>
      </w:pPr>
      <w:hyperlink w:anchor="v13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79</w:t>
        </w:r>
      </w:hyperlink>
    </w:p>
    <w:p>
      <w:pPr>
        <w:pStyle w:val="TOC2"/>
      </w:pPr>
      <w:hyperlink w:anchor="v13_124" w:history="1">
        <w:r>
          <w:rPr>
            <w:rFonts w:ascii="Times New Roman" w:hAnsi="Times New Roman" w:eastAsia="Songti SC"/>
            <w:color w:val="000000"/>
            <w:sz w:val="22"/>
          </w:rPr>
          <w:t>C.1 前期共同成果</w:t>
        </w:r>
        <w:r>
          <w:rPr>
            <w:rFonts w:ascii="Times New Roman" w:hAnsi="Times New Roman" w:eastAsia="Songti SC"/>
            <w:color w:val="000000"/>
            <w:sz w:val="22"/>
          </w:rPr>
          <w:tab/>
          <w:t>79</w:t>
        </w:r>
      </w:hyperlink>
    </w:p>
    <w:p>
      <w:pPr>
        <w:pStyle w:val="TOC2"/>
      </w:pPr>
      <w:hyperlink w:anchor="v13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79</w:t>
        </w:r>
      </w:hyperlink>
    </w:p>
    <w:p>
      <w:pPr>
        <w:pStyle w:val="TOC2"/>
      </w:pPr>
      <w:hyperlink w:anchor="v13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79</w:t>
        </w:r>
      </w:hyperlink>
    </w:p>
    <w:p>
      <w:pPr>
        <w:pStyle w:val="TOC2"/>
      </w:pPr>
      <w:hyperlink w:anchor="v13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79</w:t>
        </w:r>
      </w:hyperlink>
    </w:p>
    <w:p>
      <w:pPr>
        <w:pStyle w:val="TOC1"/>
        <w:keepNext/>
        <w:spacing w:before="120"/>
      </w:pPr>
      <w:hyperlink w:anchor="v13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80</w:t>
        </w:r>
      </w:hyperlink>
    </w:p>
    <w:p>
      <w:pPr>
        <w:pStyle w:val="TOC2"/>
      </w:pPr>
      <w:hyperlink w:anchor="v13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80</w:t>
        </w:r>
      </w:hyperlink>
    </w:p>
    <w:p>
      <w:pPr>
        <w:pStyle w:val="TOC2"/>
      </w:pPr>
      <w:hyperlink w:anchor="v13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80</w:t>
        </w:r>
      </w:hyperlink>
    </w:p>
    <w:p>
      <w:pPr>
        <w:pStyle w:val="TOC2"/>
      </w:pPr>
      <w:hyperlink w:anchor="v13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80</w:t>
        </w:r>
      </w:hyperlink>
    </w:p>
    <w:p>
      <w:pPr>
        <w:pStyle w:val="TOC2"/>
      </w:pPr>
      <w:hyperlink w:anchor="v13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80</w:t>
        </w:r>
      </w:hyperlink>
    </w:p>
    <w:p>
      <w:pPr>
        <w:pStyle w:val="TOC2"/>
      </w:pPr>
      <w:hyperlink w:anchor="v13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81</w:t>
        </w:r>
      </w:hyperlink>
    </w:p>
    <w:p>
      <w:pPr>
        <w:pStyle w:val="TOC2"/>
      </w:pPr>
      <w:hyperlink w:anchor="v13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81</w:t>
        </w:r>
      </w:hyperlink>
    </w:p>
    <w:p>
      <w:pPr>
        <w:pStyle w:val="TOC1"/>
        <w:keepNext/>
        <w:spacing w:before="120"/>
      </w:pPr>
      <w:hyperlink w:anchor="v13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83</w:t>
        </w:r>
      </w:hyperlink>
    </w:p>
    <w:p>
      <w:pPr>
        <w:pStyle w:val="TOC2"/>
      </w:pPr>
      <w:hyperlink w:anchor="v13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83</w:t>
        </w:r>
      </w:hyperlink>
    </w:p>
    <w:p>
      <w:pPr>
        <w:pStyle w:val="TOC2"/>
      </w:pPr>
      <w:hyperlink w:anchor="v13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83</w:t>
        </w:r>
      </w:hyperlink>
    </w:p>
    <w:p>
      <w:pPr>
        <w:pStyle w:val="TOC2"/>
      </w:pPr>
      <w:hyperlink w:anchor="v13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84</w:t>
        </w:r>
      </w:hyperlink>
    </w:p>
    <w:p>
      <w:pPr>
        <w:pStyle w:val="TOC2"/>
      </w:pPr>
      <w:hyperlink w:anchor="v13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84</w:t>
        </w:r>
      </w:hyperlink>
    </w:p>
    <w:p>
      <w:pPr>
        <w:pStyle w:val="TOC2"/>
      </w:pPr>
      <w:hyperlink w:anchor="v13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85</w:t>
        </w:r>
      </w:hyperlink>
    </w:p>
    <w:p>
      <w:pPr>
        <w:pStyle w:val="TOC2"/>
      </w:pPr>
      <w:hyperlink w:anchor="v13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85</w:t>
        </w:r>
      </w:hyperlink>
    </w:p>
    <w:p>
      <w:pPr>
        <w:pStyle w:val="TOC2"/>
      </w:pPr>
      <w:hyperlink w:anchor="v13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85</w:t>
        </w:r>
      </w:hyperlink>
    </w:p>
    <w:p>
      <w:pPr>
        <w:pStyle w:val="TOC2"/>
      </w:pPr>
      <w:hyperlink w:anchor="v13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86</w:t>
        </w:r>
      </w:hyperlink>
    </w:p>
    <w:p>
      <w:pPr>
        <w:pStyle w:val="TOC2"/>
      </w:pPr>
      <w:hyperlink w:anchor="v13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87</w:t>
        </w:r>
      </w:hyperlink>
    </w:p>
    <w:p>
      <w:pPr>
        <w:pStyle w:val="TOC1"/>
        <w:keepNext/>
        <w:spacing w:before="120"/>
      </w:pPr>
      <w:hyperlink w:anchor="v13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88</w:t>
        </w:r>
      </w:hyperlink>
    </w:p>
    <w:p>
      <w:pPr>
        <w:pStyle w:val="TOC2"/>
      </w:pPr>
      <w:hyperlink w:anchor="v13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88</w:t>
        </w:r>
      </w:hyperlink>
    </w:p>
    <w:p>
      <w:pPr>
        <w:pStyle w:val="TOC2"/>
      </w:pPr>
      <w:hyperlink w:anchor="v13_147" w:history="1">
        <w:r>
          <w:rPr>
            <w:rFonts w:ascii="Times New Roman" w:hAnsi="Times New Roman" w:eastAsia="Songti SC"/>
            <w:color w:val="000000"/>
            <w:sz w:val="22"/>
          </w:rPr>
          <w:t>F.2 实现接口补充</w:t>
        </w:r>
        <w:r>
          <w:rPr>
            <w:rFonts w:ascii="Times New Roman" w:hAnsi="Times New Roman" w:eastAsia="Songti SC"/>
            <w:color w:val="000000"/>
            <w:sz w:val="22"/>
          </w:rPr>
          <w:tab/>
          <w:t>89</w:t>
        </w:r>
      </w:hyperlink>
    </w:p>
    <w:p>
      <w:pPr>
        <w:pStyle w:val="TOC2"/>
      </w:pPr>
      <w:hyperlink w:anchor="v13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90</w:t>
        </w:r>
      </w:hyperlink>
    </w:p>
    <w:p>
      <w:pPr>
        <w:pStyle w:val="TOC1"/>
        <w:keepNext/>
        <w:spacing w:before="120"/>
      </w:pPr>
      <w:hyperlink w:anchor="v13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91</w:t>
        </w:r>
      </w:hyperlink>
    </w:p>
    <w:p>
      <w:pPr>
        <w:pStyle w:val="TOC2"/>
      </w:pPr>
      <w:hyperlink w:anchor="v13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91</w:t>
        </w:r>
      </w:hyperlink>
    </w:p>
    <w:p>
      <w:pPr>
        <w:pStyle w:val="TOC2"/>
      </w:pPr>
      <w:hyperlink w:anchor="v13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92</w:t>
        </w:r>
      </w:hyperlink>
    </w:p>
    <w:p>
      <w:pPr>
        <w:pStyle w:val="TOC2"/>
      </w:pPr>
      <w:hyperlink w:anchor="v13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92</w:t>
        </w:r>
      </w:hyperlink>
    </w:p>
    <w:p>
      <w:pPr>
        <w:pStyle w:val="TOC2"/>
      </w:pPr>
      <w:hyperlink w:anchor="v13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93</w:t>
        </w:r>
      </w:hyperlink>
    </w:p>
    <w:p>
      <w:pPr>
        <w:pStyle w:val="TOC1"/>
        <w:keepNext/>
        <w:spacing w:before="120"/>
      </w:pPr>
      <w:hyperlink w:anchor="v13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94</w:t>
        </w:r>
      </w:hyperlink>
    </w:p>
    <w:p>
      <w:pPr>
        <w:pStyle w:val="TOC2"/>
      </w:pPr>
      <w:hyperlink w:anchor="v13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94</w:t>
        </w:r>
      </w:hyperlink>
    </w:p>
    <w:p>
      <w:pPr>
        <w:pStyle w:val="TOC2"/>
      </w:pPr>
      <w:hyperlink w:anchor="v13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94</w:t>
        </w:r>
      </w:hyperlink>
    </w:p>
    <w:p>
      <w:pPr>
        <w:pStyle w:val="TOC2"/>
      </w:pPr>
      <w:hyperlink w:anchor="v13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95</w:t>
        </w:r>
      </w:hyperlink>
    </w:p>
    <w:p>
      <w:pPr>
        <w:pStyle w:val="TOC2"/>
      </w:pPr>
      <w:hyperlink w:anchor="v13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96</w:t>
        </w:r>
      </w:hyperlink>
    </w:p>
    <w:p>
      <w:pPr>
        <w:pStyle w:val="TOC2"/>
      </w:pPr>
      <w:hyperlink w:anchor="v13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96</w:t>
        </w:r>
      </w:hyperlink>
    </w:p>
    <w:p>
      <w:pPr>
        <w:pStyle w:val="TOC2"/>
      </w:pPr>
      <w:hyperlink w:anchor="v13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97</w:t>
        </w:r>
      </w:hyperlink>
    </w:p>
    <w:p>
      <w:pPr>
        <w:pStyle w:val="TOC2"/>
      </w:pPr>
      <w:hyperlink w:anchor="v13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98</w:t>
        </w:r>
      </w:hyperlink>
    </w:p>
    <w:p>
      <w:pPr>
        <w:pStyle w:val="TOC2"/>
      </w:pPr>
      <w:hyperlink w:anchor="v13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100</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3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3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3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3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3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3_179"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32</w:t>
        </w:r>
      </w:hyperlink>
    </w:p>
    <w:p>
      <w:pPr>
        <w:pStyle w:val="FigureList"/>
      </w:pPr>
      <w:hyperlink w:anchor="v13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13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13_194"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58</w:t>
        </w:r>
      </w:hyperlink>
    </w:p>
    <w:p>
      <w:pPr>
        <w:pStyle w:val="FigureList"/>
      </w:pPr>
      <w:hyperlink w:anchor="v13_199"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62</w:t>
        </w:r>
      </w:hyperlink>
    </w:p>
    <w:p>
      <w:pPr>
        <w:pStyle w:val="FigureList"/>
      </w:pPr>
      <w:hyperlink w:anchor="v13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100</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3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3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3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3_168"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14</w:t>
        </w:r>
      </w:hyperlink>
    </w:p>
    <w:p>
      <w:pPr>
        <w:pStyle w:val="TableList"/>
      </w:pPr>
      <w:hyperlink w:anchor="v13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3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3_175" w:history="1">
        <w:r>
          <w:rPr>
            <w:rFonts w:ascii="Times New Roman" w:hAnsi="Times New Roman" w:eastAsia="Songti SC"/>
            <w:color w:val="000000"/>
            <w:sz w:val="22"/>
          </w:rPr>
          <w:t>表3-3 接受样本的标签漂移率（%）（人工情景）</w:t>
        </w:r>
        <w:r>
          <w:rPr>
            <w:rFonts w:ascii="Times New Roman" w:hAnsi="Times New Roman" w:eastAsia="Songti SC"/>
            <w:color w:val="000000"/>
            <w:sz w:val="22"/>
          </w:rPr>
          <w:tab/>
          <w:t>29</w:t>
        </w:r>
      </w:hyperlink>
    </w:p>
    <w:p>
      <w:pPr>
        <w:pStyle w:val="TableList"/>
      </w:pPr>
      <w:hyperlink w:anchor="v13_176" w:history="1">
        <w:r>
          <w:rPr>
            <w:rFonts w:ascii="Times New Roman" w:hAnsi="Times New Roman" w:eastAsia="Songti SC"/>
            <w:color w:val="000000"/>
            <w:sz w:val="22"/>
          </w:rPr>
          <w:t>表3-4 接受与拒绝样本的因素漂移审计（人工情景）</w:t>
        </w:r>
        <w:r>
          <w:rPr>
            <w:rFonts w:ascii="Times New Roman" w:hAnsi="Times New Roman" w:eastAsia="Songti SC"/>
            <w:color w:val="000000"/>
            <w:sz w:val="22"/>
          </w:rPr>
          <w:tab/>
          <w:t>30</w:t>
        </w:r>
      </w:hyperlink>
    </w:p>
    <w:p>
      <w:pPr>
        <w:pStyle w:val="TableList"/>
      </w:pPr>
      <w:hyperlink w:anchor="v13_177" w:history="1">
        <w:r>
          <w:rPr>
            <w:rFonts w:ascii="Times New Roman" w:hAnsi="Times New Roman" w:eastAsia="Songti SC"/>
            <w:color w:val="000000"/>
            <w:sz w:val="22"/>
          </w:rPr>
          <w:t>表3-5 训练方案的严格抽取结果（匹配训练规模）（人工情景）</w:t>
        </w:r>
        <w:r>
          <w:rPr>
            <w:rFonts w:ascii="Times New Roman" w:hAnsi="Times New Roman" w:eastAsia="Songti SC"/>
            <w:color w:val="000000"/>
            <w:sz w:val="22"/>
          </w:rPr>
          <w:tab/>
          <w:t>31</w:t>
        </w:r>
      </w:hyperlink>
    </w:p>
    <w:p>
      <w:pPr>
        <w:pStyle w:val="TableList"/>
      </w:pPr>
      <w:hyperlink w:anchor="v13_178" w:history="1">
        <w:r>
          <w:rPr>
            <w:rFonts w:ascii="Times New Roman" w:hAnsi="Times New Roman" w:eastAsia="Songti SC"/>
            <w:color w:val="000000"/>
            <w:sz w:val="22"/>
          </w:rPr>
          <w:t>表3-6 相同增强集合上的学习目标比较（匹配训练规模）（人工情景）</w:t>
        </w:r>
        <w:r>
          <w:rPr>
            <w:rFonts w:ascii="Times New Roman" w:hAnsi="Times New Roman" w:eastAsia="Songti SC"/>
            <w:color w:val="000000"/>
            <w:sz w:val="22"/>
          </w:rPr>
          <w:tab/>
          <w:t>31</w:t>
        </w:r>
      </w:hyperlink>
    </w:p>
    <w:p>
      <w:pPr>
        <w:pStyle w:val="TableList"/>
      </w:pPr>
      <w:hyperlink w:anchor="v13_180" w:history="1">
        <w:r>
          <w:rPr>
            <w:rFonts w:ascii="Times New Roman" w:hAnsi="Times New Roman" w:eastAsia="Songti SC"/>
            <w:color w:val="000000"/>
            <w:sz w:val="22"/>
          </w:rPr>
          <w:t>表3-7 中心匹配的有效覆盖与自匹配（人工情景）</w:t>
        </w:r>
        <w:r>
          <w:rPr>
            <w:rFonts w:ascii="Times New Roman" w:hAnsi="Times New Roman" w:eastAsia="Songti SC"/>
            <w:color w:val="000000"/>
            <w:sz w:val="22"/>
          </w:rPr>
          <w:tab/>
          <w:t>32</w:t>
        </w:r>
      </w:hyperlink>
    </w:p>
    <w:p>
      <w:pPr>
        <w:pStyle w:val="TableList"/>
      </w:pPr>
      <w:hyperlink w:anchor="v13_181" w:history="1">
        <w:r>
          <w:rPr>
            <w:rFonts w:ascii="Times New Roman" w:hAnsi="Times New Roman" w:eastAsia="Songti SC"/>
            <w:color w:val="000000"/>
            <w:sz w:val="22"/>
          </w:rPr>
          <w:t>表3-8 结论中心与匹配随机中心的比较（匹配训练规模）（人工情景）</w:t>
        </w:r>
        <w:r>
          <w:rPr>
            <w:rFonts w:ascii="Times New Roman" w:hAnsi="Times New Roman" w:eastAsia="Songti SC"/>
            <w:color w:val="000000"/>
            <w:sz w:val="22"/>
          </w:rPr>
          <w:tab/>
          <w:t>33</w:t>
        </w:r>
      </w:hyperlink>
    </w:p>
    <w:p>
      <w:pPr>
        <w:pStyle w:val="TableList"/>
      </w:pPr>
      <w:hyperlink w:anchor="v13_182" w:history="1">
        <w:r>
          <w:rPr>
            <w:rFonts w:ascii="Times New Roman" w:hAnsi="Times New Roman" w:eastAsia="Songti SC"/>
            <w:color w:val="000000"/>
            <w:sz w:val="22"/>
          </w:rPr>
          <w:t>表3-9 固定尝试预算下的覆盖与构造成本（人工情景）</w:t>
        </w:r>
        <w:r>
          <w:rPr>
            <w:rFonts w:ascii="Times New Roman" w:hAnsi="Times New Roman" w:eastAsia="Songti SC"/>
            <w:color w:val="000000"/>
            <w:sz w:val="22"/>
          </w:rPr>
          <w:tab/>
          <w:t>33</w:t>
        </w:r>
      </w:hyperlink>
    </w:p>
    <w:p>
      <w:pPr>
        <w:pStyle w:val="TableList"/>
      </w:pPr>
      <w:hyperlink w:anchor="v13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13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13_189" w:history="1">
        <w:r>
          <w:rPr>
            <w:rFonts w:ascii="Times New Roman" w:hAnsi="Times New Roman" w:eastAsia="Songti SC"/>
            <w:color w:val="000000"/>
            <w:sz w:val="22"/>
          </w:rPr>
          <w:t>表4-3 推理方法的严格抽取结果（人工情景）</w:t>
        </w:r>
        <w:r>
          <w:rPr>
            <w:rFonts w:ascii="Times New Roman" w:hAnsi="Times New Roman" w:eastAsia="Songti SC"/>
            <w:color w:val="000000"/>
            <w:sz w:val="22"/>
          </w:rPr>
          <w:tab/>
          <w:t>53</w:t>
        </w:r>
      </w:hyperlink>
    </w:p>
    <w:p>
      <w:pPr>
        <w:pStyle w:val="TableList"/>
      </w:pPr>
      <w:hyperlink w:anchor="v13_190" w:history="1">
        <w:r>
          <w:rPr>
            <w:rFonts w:ascii="Times New Roman" w:hAnsi="Times New Roman" w:eastAsia="Songti SC"/>
            <w:color w:val="000000"/>
            <w:sz w:val="22"/>
          </w:rPr>
          <w:t>表4-4 从完整组件到完整关系的候选覆盖（人工情景）</w:t>
        </w:r>
        <w:r>
          <w:rPr>
            <w:rFonts w:ascii="Times New Roman" w:hAnsi="Times New Roman" w:eastAsia="Songti SC"/>
            <w:color w:val="000000"/>
            <w:sz w:val="22"/>
          </w:rPr>
          <w:tab/>
          <w:t>55</w:t>
        </w:r>
      </w:hyperlink>
    </w:p>
    <w:p>
      <w:pPr>
        <w:pStyle w:val="TableList"/>
      </w:pPr>
      <w:hyperlink w:anchor="v13_191" w:history="1">
        <w:r>
          <w:rPr>
            <w:rFonts w:ascii="Times New Roman" w:hAnsi="Times New Roman" w:eastAsia="Songti SC"/>
            <w:color w:val="000000"/>
            <w:sz w:val="22"/>
          </w:rPr>
          <w:t>表4-5 三类恢复空间的关系计数诊断（人工情景）</w:t>
        </w:r>
        <w:r>
          <w:rPr>
            <w:rFonts w:ascii="Times New Roman" w:hAnsi="Times New Roman" w:eastAsia="Songti SC"/>
            <w:color w:val="000000"/>
            <w:sz w:val="22"/>
          </w:rPr>
          <w:tab/>
          <w:t>55</w:t>
        </w:r>
      </w:hyperlink>
    </w:p>
    <w:p>
      <w:pPr>
        <w:pStyle w:val="TableList"/>
      </w:pPr>
      <w:hyperlink w:anchor="v13_192" w:history="1">
        <w:r>
          <w:rPr>
            <w:rFonts w:ascii="Times New Roman" w:hAnsi="Times New Roman" w:eastAsia="Songti SC"/>
            <w:color w:val="000000"/>
            <w:sz w:val="22"/>
          </w:rPr>
          <w:t>表4-6 完整对象评分的区分与校准（人工情景）</w:t>
        </w:r>
        <w:r>
          <w:rPr>
            <w:rFonts w:ascii="Times New Roman" w:hAnsi="Times New Roman" w:eastAsia="Songti SC"/>
            <w:color w:val="000000"/>
            <w:sz w:val="22"/>
          </w:rPr>
          <w:tab/>
          <w:t>56</w:t>
        </w:r>
      </w:hyperlink>
    </w:p>
    <w:p>
      <w:pPr>
        <w:pStyle w:val="TableList"/>
      </w:pPr>
      <w:hyperlink w:anchor="v13_193" w:history="1">
        <w:r>
          <w:rPr>
            <w:rFonts w:ascii="Times New Roman" w:hAnsi="Times New Roman" w:eastAsia="Songti SC"/>
            <w:color w:val="000000"/>
            <w:sz w:val="22"/>
          </w:rPr>
          <w:t>表4-7 关系恢复与误改的累计计数（人工情景）</w:t>
        </w:r>
        <w:r>
          <w:rPr>
            <w:rFonts w:ascii="Times New Roman" w:hAnsi="Times New Roman" w:eastAsia="Songti SC"/>
            <w:color w:val="000000"/>
            <w:sz w:val="22"/>
          </w:rPr>
          <w:tab/>
          <w:t>57</w:t>
        </w:r>
      </w:hyperlink>
    </w:p>
    <w:p>
      <w:pPr>
        <w:pStyle w:val="TableList"/>
      </w:pPr>
      <w:hyperlink w:anchor="v13_195" w:history="1">
        <w:r>
          <w:rPr>
            <w:rFonts w:ascii="Times New Roman" w:hAnsi="Times New Roman" w:eastAsia="Songti SC"/>
            <w:color w:val="000000"/>
            <w:sz w:val="22"/>
          </w:rPr>
          <w:t>表4-8 推理成本与预算取舍（人工情景）</w:t>
        </w:r>
        <w:r>
          <w:rPr>
            <w:rFonts w:ascii="Times New Roman" w:hAnsi="Times New Roman" w:eastAsia="Songti SC"/>
            <w:color w:val="000000"/>
            <w:sz w:val="22"/>
          </w:rPr>
          <w:tab/>
          <w:t>58</w:t>
        </w:r>
      </w:hyperlink>
    </w:p>
    <w:p>
      <w:pPr>
        <w:pStyle w:val="TableList"/>
      </w:pPr>
      <w:hyperlink w:anchor="v13_196" w:history="1">
        <w:r>
          <w:rPr>
            <w:rFonts w:ascii="Times New Roman" w:hAnsi="Times New Roman" w:eastAsia="Songti SC"/>
            <w:color w:val="000000"/>
            <w:sz w:val="22"/>
          </w:rPr>
          <w:t>表4-9 结构恢复与失败案例（人工情景）</w:t>
        </w:r>
        <w:r>
          <w:rPr>
            <w:rFonts w:ascii="Times New Roman" w:hAnsi="Times New Roman" w:eastAsia="Songti SC"/>
            <w:color w:val="000000"/>
            <w:sz w:val="22"/>
          </w:rPr>
          <w:tab/>
          <w:t>60</w:t>
        </w:r>
      </w:hyperlink>
    </w:p>
    <w:p>
      <w:pPr>
        <w:pStyle w:val="TableList"/>
      </w:pPr>
      <w:hyperlink w:anchor="v13_197"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61</w:t>
        </w:r>
      </w:hyperlink>
    </w:p>
    <w:p>
      <w:pPr>
        <w:pStyle w:val="TableList"/>
      </w:pPr>
      <w:hyperlink w:anchor="v13_198"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61</w:t>
        </w:r>
      </w:hyperlink>
    </w:p>
    <w:p>
      <w:pPr>
        <w:pStyle w:val="TableList"/>
      </w:pPr>
      <w:hyperlink w:anchor="v13_200"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62</w:t>
        </w:r>
      </w:hyperlink>
    </w:p>
    <w:p>
      <w:pPr>
        <w:pStyle w:val="TableList"/>
      </w:pPr>
      <w:hyperlink w:anchor="v13_201" w:history="1">
        <w:r>
          <w:rPr>
            <w:rFonts w:ascii="Times New Roman" w:hAnsi="Times New Roman" w:eastAsia="Songti SC"/>
            <w:color w:val="000000"/>
            <w:sz w:val="22"/>
          </w:rPr>
          <w:t>表5-4 CDCP完整关系的源成员数分组（人工情景）</w:t>
        </w:r>
        <w:r>
          <w:rPr>
            <w:rFonts w:ascii="Times New Roman" w:hAnsi="Times New Roman" w:eastAsia="Songti SC"/>
            <w:color w:val="000000"/>
            <w:sz w:val="22"/>
          </w:rPr>
          <w:tab/>
          <w:t>63</w:t>
        </w:r>
      </w:hyperlink>
    </w:p>
    <w:p>
      <w:pPr>
        <w:pStyle w:val="TableList"/>
      </w:pPr>
      <w:hyperlink w:anchor="v13_202" w:history="1">
        <w:r>
          <w:rPr>
            <w:rFonts w:ascii="Times New Roman" w:hAnsi="Times New Roman" w:eastAsia="Songti SC"/>
            <w:color w:val="000000"/>
            <w:sz w:val="22"/>
          </w:rPr>
          <w:t>表5-5 相对共同起点的关系增量与在线额外时间（人工情景）</w:t>
        </w:r>
        <w:r>
          <w:rPr>
            <w:rFonts w:ascii="Times New Roman" w:hAnsi="Times New Roman" w:eastAsia="Songti SC"/>
            <w:color w:val="000000"/>
            <w:sz w:val="22"/>
          </w:rPr>
          <w:tab/>
          <w:t>64</w:t>
        </w:r>
      </w:hyperlink>
    </w:p>
    <w:p>
      <w:pPr>
        <w:pStyle w:val="TableList"/>
      </w:pPr>
      <w:hyperlink w:anchor="v13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71</w:t>
        </w:r>
      </w:hyperlink>
    </w:p>
    <w:p>
      <w:pPr>
        <w:pStyle w:val="TableList"/>
      </w:pPr>
      <w:hyperlink w:anchor="v13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72</w:t>
        </w:r>
      </w:hyperlink>
    </w:p>
    <w:p>
      <w:pPr>
        <w:pStyle w:val="TableList"/>
      </w:pPr>
      <w:hyperlink w:anchor="v13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77</w:t>
        </w:r>
      </w:hyperlink>
    </w:p>
    <w:p>
      <w:pPr>
        <w:pStyle w:val="TableList"/>
      </w:pPr>
      <w:hyperlink w:anchor="v13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83</w:t>
        </w:r>
      </w:hyperlink>
    </w:p>
    <w:p>
      <w:pPr>
        <w:pStyle w:val="TableList"/>
      </w:pPr>
      <w:hyperlink w:anchor="v13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83</w:t>
        </w:r>
      </w:hyperlink>
    </w:p>
    <w:p>
      <w:pPr>
        <w:pStyle w:val="TableList"/>
      </w:pPr>
      <w:hyperlink w:anchor="v13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84</w:t>
        </w:r>
      </w:hyperlink>
    </w:p>
    <w:p>
      <w:pPr>
        <w:pStyle w:val="TableList"/>
      </w:pPr>
      <w:hyperlink w:anchor="v13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84</w:t>
        </w:r>
      </w:hyperlink>
    </w:p>
    <w:p>
      <w:pPr>
        <w:pStyle w:val="TableList"/>
      </w:pPr>
      <w:hyperlink w:anchor="v13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85</w:t>
        </w:r>
      </w:hyperlink>
    </w:p>
    <w:p>
      <w:pPr>
        <w:pStyle w:val="TableList"/>
      </w:pPr>
      <w:hyperlink w:anchor="v13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85</w:t>
        </w:r>
      </w:hyperlink>
    </w:p>
    <w:p>
      <w:pPr>
        <w:pStyle w:val="TableList"/>
      </w:pPr>
      <w:hyperlink w:anchor="v13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85</w:t>
        </w:r>
      </w:hyperlink>
    </w:p>
    <w:p>
      <w:pPr>
        <w:pStyle w:val="TableList"/>
      </w:pPr>
      <w:hyperlink w:anchor="v13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86</w:t>
        </w:r>
      </w:hyperlink>
    </w:p>
    <w:p>
      <w:pPr>
        <w:pStyle w:val="TableList"/>
      </w:pPr>
      <w:hyperlink w:anchor="v13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87</w:t>
        </w:r>
      </w:hyperlink>
    </w:p>
    <w:p>
      <w:pPr>
        <w:pStyle w:val="TableList"/>
      </w:pPr>
      <w:hyperlink w:anchor="v13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88</w:t>
        </w:r>
      </w:hyperlink>
    </w:p>
    <w:p>
      <w:pPr>
        <w:pStyle w:val="TableList"/>
      </w:pPr>
      <w:hyperlink w:anchor="v13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90</w:t>
        </w:r>
      </w:hyperlink>
    </w:p>
    <w:p>
      <w:pPr>
        <w:pStyle w:val="TableList"/>
      </w:pPr>
      <w:hyperlink w:anchor="v13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91</w:t>
        </w:r>
      </w:hyperlink>
    </w:p>
    <w:p>
      <w:pPr>
        <w:pStyle w:val="TableList"/>
      </w:pPr>
      <w:hyperlink w:anchor="v13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92</w:t>
        </w:r>
      </w:hyperlink>
    </w:p>
    <w:p>
      <w:pPr>
        <w:pStyle w:val="TableList"/>
      </w:pPr>
      <w:hyperlink w:anchor="v13_219"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95</w:t>
        </w:r>
      </w:hyperlink>
    </w:p>
    <w:p>
      <w:pPr>
        <w:pStyle w:val="TableList"/>
      </w:pPr>
      <w:hyperlink w:anchor="v13_220" w:history="1">
        <w:r>
          <w:rPr>
            <w:rFonts w:ascii="Times New Roman" w:hAnsi="Times New Roman" w:eastAsia="Songti SC"/>
            <w:color w:val="000000"/>
            <w:sz w:val="22"/>
          </w:rPr>
          <w:t>表H-2 共同池的变化与覆盖诊断（指标演示的人工情景）</w:t>
        </w:r>
        <w:r>
          <w:rPr>
            <w:rFonts w:ascii="Times New Roman" w:hAnsi="Times New Roman" w:eastAsia="Songti SC"/>
            <w:color w:val="000000"/>
            <w:sz w:val="22"/>
          </w:rPr>
          <w:tab/>
          <w:t>97</w:t>
        </w:r>
      </w:hyperlink>
    </w:p>
    <w:p>
      <w:pPr>
        <w:pStyle w:val="TableList"/>
      </w:pPr>
      <w:hyperlink w:anchor="v13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98</w:t>
        </w:r>
      </w:hyperlink>
    </w:p>
    <w:p>
      <w:pPr>
        <w:pStyle w:val="TableList"/>
      </w:pPr>
      <w:hyperlink w:anchor="v13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99</w:t>
        </w:r>
      </w:hyperlink>
      <w:r>
        <w:fldChar w:fldCharType="end"/>
      </w:r>
    </w:p>
    <w:p>
      <w:pPr>
        <w:sectPr>
          <w:headerReference w:type="default" r:id="rId157"/>
          <w:footerReference w:type="default" r:id="rId158"/>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3_12"/>
      <w:bookmarkEnd w:id="12"/>
    </w:p>
    <w:p>
      <w:pPr>
        <w:pStyle w:val="Heading2"/>
      </w:pPr>
      <w:r>
        <w:t>1.1 研究背景与问题提出</w:t>
      </w:r>
      <w:bookmarkStart w:id="13" w:name="v13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3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人工情景不建立真实问题发生率，诊断方案集中于附录H.1。</w:t>
      </w:r>
    </w:p>
    <w:p>
      <w:pPr>
        <w:pStyle w:val="Heading2"/>
      </w:pPr>
      <w:r>
        <w:t>1.2 国内外研究现状</w:t>
      </w:r>
      <w:bookmarkStart w:id="14" w:name="v13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3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3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3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3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3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3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3_165"/>
      <w:bookmarkEnd w:id="165"/>
    </w:p>
    <w:p>
      <w:pPr>
        <w:pStyle w:val="Heading3"/>
      </w:pPr>
      <w:r>
        <w:t>1.3.1 研究问题</w:t>
      </w:r>
      <w:bookmarkStart w:id="20" w:name="v13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3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3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3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3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配置选择三个问题展开。第六章总结两项设计及尚未完成的核心验证。</w:t>
      </w:r>
    </w:p>
    <w:p>
      <w:r>
        <w:rPr>
          <w:rFonts w:ascii="Times New Roman" w:hAnsi="Times New Roman" w:eastAsia="Songti SC"/>
          <w:color w:val="000000"/>
        </w:rPr>
        <w:t>附录A、B集中保存坐标、序列化、队列调度、日志字段与性质证明，附录C、D说明成果和构造材料，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3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3_25"/>
      <w:bookmarkEnd w:id="25"/>
    </w:p>
    <w:p>
      <w:pPr>
        <w:pStyle w:val="Heading3"/>
      </w:pPr>
      <w:r>
        <w:t>2.1.1 组件及二元关系</w:t>
      </w:r>
      <w:bookmarkStart w:id="26" w:name="v13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3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3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3_28"/>
      <w:bookmarkEnd w:id="28"/>
    </w:p>
    <w:p>
      <w:pPr>
        <w:pStyle w:val="Heading3"/>
      </w:pPr>
      <w:r>
        <w:t>2.2.1 语料约束与候选范围</w:t>
      </w:r>
      <w:bookmarkStart w:id="29" w:name="v13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3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3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3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3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3_34"/>
      <w:bookmarkEnd w:id="34"/>
    </w:p>
    <w:p>
      <w:pPr>
        <w:pStyle w:val="Heading3"/>
      </w:pPr>
      <w:r>
        <w:t>2.6.1 数据划分与使用范围</w:t>
      </w:r>
      <w:bookmarkStart w:id="35" w:name="v13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3_36"/>
      <w:bookmarkEnd w:id="36"/>
    </w:p>
    <w:p>
      <w:r>
        <w:rPr>
          <w:rFonts w:ascii="Times New Roman" w:hAnsi="Times New Roman" w:eastAsia="Songti SC"/>
          <w:color w:val="000000"/>
        </w:rPr>
        <w:t>实验采用统一骨干、源文档分组与严格评价，各种方法的变化集中在增强条件、学习目标或修正策略。表2-2固定计算配置和数据规模，全部结果按语料、方法和种子关联，跨章复用相同记录。</w:t>
      </w:r>
    </w:p>
    <w:p>
      <w:pPr>
        <w:pStyle w:val="TableCaption"/>
      </w:pPr>
      <w:r>
        <w:rPr>
          <w:rFonts w:ascii="Times New Roman" w:hAnsi="Times New Roman" w:eastAsia="Songti SC"/>
          <w:color w:val="000000"/>
          <w:sz w:val="21"/>
        </w:rPr>
        <w:t>表2-2 公共配置与评价规模（人工情景）</w:t>
      </w:r>
      <w:bookmarkStart w:id="168" w:name="v13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表中参数定义比较条件，不由测试结果反向选择。数据、配置、候选、结果和统计身份分别存放；正文只复用统一汇总入口。评价记录采用文档与种子配对，组件和关系分别保留TP、FP、FN，成本保留模型生成、对象评分及求解分项。附录A列出字段与复算关系。</w:t>
      </w:r>
    </w:p>
    <w:p>
      <w:pPr>
        <w:pStyle w:val="Heading3"/>
      </w:pPr>
      <w:r>
        <w:t>2.6.3 统计分析与计算成本</w:t>
      </w:r>
      <w:bookmarkStart w:id="37" w:name="v13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首先比较相同逐文档总求解预算，另以相同端到端时限评价部署条件；两种预算分别命名。软件、线程、缓存条件和共同准备开销保持一致，大预算结果不自动视为最优。核心比较包括相同增强集合上的成对项增量、BR-J与组件优先分步策略，以及BR-J与等求解预算全局ILP的差异。其余消融和交互用于解释机制。95%区间为固定三种子条件下逐比较的文档配对区间，未作多重比较校正；区间跨零不能解释为等效。完整求解状态、成本记录和统计规则见附录H.3。</w:t>
      </w:r>
    </w:p>
    <w:p>
      <w:pPr>
        <w:pStyle w:val="Heading2"/>
      </w:pPr>
      <w:r>
        <w:t>2.7 训练与推理的接口</w:t>
      </w:r>
      <w:bookmarkStart w:id="38" w:name="v13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3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3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3_40"/>
      <w:bookmarkEnd w:id="40"/>
    </w:p>
    <w:p>
      <w:pPr>
        <w:pStyle w:val="Heading2"/>
      </w:pPr>
      <w:r>
        <w:t>3.1 引言</w:t>
      </w:r>
      <w:bookmarkStart w:id="41" w:name="v13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3_42"/>
      <w:bookmarkEnd w:id="42"/>
    </w:p>
    <w:p>
      <w:pPr>
        <w:pStyle w:val="Heading3"/>
      </w:pPr>
      <w:r>
        <w:t>3.2.1 类型条件低秩适配</w:t>
      </w:r>
      <w:bookmarkStart w:id="43" w:name="v13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3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3_45"/>
      <w:bookmarkEnd w:id="45"/>
    </w:p>
    <w:p>
      <w:pPr>
        <w:pStyle w:val="Heading3"/>
      </w:pPr>
      <w:r>
        <w:t>3.3.1 改写区域与关系因素</w:t>
      </w:r>
      <w:bookmarkStart w:id="46" w:name="v13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3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3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3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3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3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3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3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3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3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3_53"/>
      <w:bookmarkEnd w:id="53"/>
    </w:p>
    <w:p>
      <w:pPr>
        <w:pStyle w:val="Heading3"/>
      </w:pPr>
      <w:r>
        <w:t>3.5.1 数据构造与参数学习</w:t>
      </w:r>
      <w:bookmarkStart w:id="54" w:name="v13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3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3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3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分别评价监督可靠性、增强数据的任务作用和成对学习的独立增量。前者关注改写后标签是否保持，后两者关注原始测试文本上的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3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3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一般文本增量的作用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3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接受样本的标签漂移率（%）（人工情景）</w:t>
      </w:r>
      <w:bookmarkStart w:id="175" w:name="v13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接受与拒绝样本的因素漂移审计（人工情景）</w:t>
      </w:r>
      <w:bookmarkStart w:id="176" w:name="v13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3_59"/>
      <w:bookmarkEnd w:id="59"/>
    </w:p>
    <w:p>
      <w:pPr>
        <w:pStyle w:val="TableCaption"/>
      </w:pPr>
      <w:r>
        <w:rPr>
          <w:rFonts w:ascii="Times New Roman" w:hAnsi="Times New Roman" w:eastAsia="Songti SC"/>
          <w:color w:val="000000"/>
          <w:sz w:val="21"/>
        </w:rPr>
        <w:t>表3-5 训练方案的严格抽取结果（匹配训练规模）（人工情景）</w:t>
      </w:r>
      <w:bookmarkStart w:id="177" w:name="v13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T-B中QOS式适配与完整增强均采用基础损失：对照表3-6首行，AAEC为55.68对57.47，CDCP为50.25对52.08，差值为1.79和1.83个百分点。该差值同时包含文本、接受源分布与源重加权，故解释为数据构造整体效应。过滤消融固定生成池与学习配置，仍可能改变接受覆盖；其情景差值也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相同增强集合上的学习目标比较（匹配训练规模）（人工情景）</w:t>
      </w:r>
      <w:bookmarkStart w:id="178" w:name="v13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79" w:name="v13_179"/>
      <w:bookmarkEnd w:id="179"/>
    </w:p>
    <w:p>
      <w:pPr>
        <w:pStyle w:val="Heading3"/>
      </w:pPr>
      <w:r>
        <w:t>3.6.4 中心选择与适用条件</w:t>
      </w:r>
      <w:bookmarkStart w:id="60" w:name="v13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中心匹配的有效覆盖与自匹配（人工情景）</w:t>
      </w:r>
      <w:bookmarkStart w:id="180" w:name="v13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结论中心与匹配随机中心的比较（匹配训练规模）（人工情景）</w:t>
      </w:r>
      <w:bookmarkStart w:id="181" w:name="v13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结论中心相对匹配随机中心的关系差值为AAEC 0.50、CDCP 0.51个百分点，配对95%区间分别为[-0.22, +1.19]、[-0.48, +1.47]。区间均含0，未建立稳定的结论中心优势，完整方案增量不能归因于中心角色。</w:t>
      </w:r>
    </w:p>
    <w:p>
      <w:pPr>
        <w:pStyle w:val="Heading3"/>
      </w:pPr>
      <w:r>
        <w:t>3.6.5 生成覆盖与计算成本</w:t>
      </w:r>
      <w:bookmarkStart w:id="61" w:name="v13_61"/>
      <w:bookmarkEnd w:id="61"/>
    </w:p>
    <w:p>
      <w:pPr>
        <w:pStyle w:val="TableCaption"/>
      </w:pPr>
      <w:r>
        <w:rPr>
          <w:rFonts w:ascii="Times New Roman" w:hAnsi="Times New Roman" w:eastAsia="Songti SC"/>
          <w:color w:val="000000"/>
          <w:sz w:val="21"/>
        </w:rPr>
        <w:t>表3-9 固定尝试预算下的覆盖与构造成本（人工情景）</w:t>
      </w:r>
      <w:bookmarkStart w:id="182" w:name="v13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3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3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3_64"/>
      <w:bookmarkEnd w:id="64"/>
    </w:p>
    <w:p>
      <w:pPr>
        <w:pStyle w:val="Heading2"/>
      </w:pPr>
      <w:r>
        <w:t>4.1 引言</w:t>
      </w:r>
      <w:bookmarkStart w:id="65" w:name="v13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3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3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3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3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3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3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3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3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3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3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3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3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3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3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3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3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3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3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3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3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3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3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3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3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3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3_87"/>
      <w:bookmarkEnd w:id="87"/>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分别比较完整系统和受控机制。组件及完整关系计数用于评价最终输出，候选覆盖、Oracle、对象评分、恢复风险和资源曲线用于解释增量来源。数学构造保留在方法说明与附录D，用于展示边界情形，不代替完整对照。</w:t>
      </w:r>
    </w:p>
    <w:p>
      <w:pPr>
        <w:pStyle w:val="Heading3"/>
      </w:pPr>
      <w:r>
        <w:t>4.6.1 推理协议与方法对照</w:t>
      </w:r>
      <w:bookmarkStart w:id="88" w:name="v13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3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3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3_89"/>
      <w:bookmarkEnd w:id="89"/>
    </w:p>
    <w:p>
      <w:pPr>
        <w:pStyle w:val="TableCaption"/>
      </w:pPr>
      <w:r>
        <w:rPr>
          <w:rFonts w:ascii="Times New Roman" w:hAnsi="Times New Roman" w:eastAsia="Songti SC"/>
          <w:color w:val="000000"/>
          <w:sz w:val="21"/>
        </w:rPr>
        <w:t>表4-3 推理方法的严格抽取结果（人工情景）</w:t>
      </w:r>
      <w:bookmarkStart w:id="189" w:name="v13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更直接的组件可变性对照是RelationOnly：BR-J的关系F1高3.59和4.39个百分点；相对单对象动作，高1.99和3.01个百分点。前一比较检验允许组件变化的联合修正，后一比较检验集合动作的额外表达范围，均需与编辑数量、误改及成本共同解释。当前差值来自人工计数，尚未建立真实端点错误上的收益；不能仅由对I0的总增量确认每个复杂机制都值得保留。</w:t>
      </w:r>
    </w:p>
    <w:p>
      <w:r>
        <w:rPr>
          <w:rFonts w:ascii="Times New Roman" w:hAnsi="Times New Roman" w:eastAsia="Songti SC"/>
          <w:color w:val="000000"/>
        </w:rPr>
        <w:t>相对于组件优先分步策略，BR-J的关系增量为3.41和4.28个百分点，文档配对95%区间分别为[+2.58, +4.16]和[+3.39, +5.14]。该比较支持联合决策策略相对于本节分步策略的整体差异。两者同时改变信息使用、接受条件和批内排序，因而结果不能单独识别纯执行顺序的因果作用。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3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从完整组件到完整关系的候选覆盖（人工情景）</w:t>
      </w:r>
      <w:bookmarkStart w:id="190" w:name="v13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三类恢复空间的关系计数诊断（人工情景）</w:t>
      </w:r>
      <w:bookmarkStart w:id="191" w:name="v13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3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完整对象评分的区分与校准（人工情景）</w:t>
      </w:r>
      <w:bookmarkStart w:id="192" w:name="v13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3_92"/>
      <w:bookmarkEnd w:id="92"/>
    </w:p>
    <w:p>
      <w:pPr>
        <w:pStyle w:val="TableCaption"/>
      </w:pPr>
      <w:r>
        <w:rPr>
          <w:rFonts w:ascii="Times New Roman" w:hAnsi="Times New Roman" w:eastAsia="Songti SC"/>
          <w:color w:val="000000"/>
          <w:sz w:val="21"/>
        </w:rPr>
        <w:t>表4-7 关系恢复与误改的累计计数（人工情景）</w:t>
      </w:r>
      <w:bookmarkStart w:id="193" w:name="v13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4" w:name="v13_194"/>
      <w:bookmarkEnd w:id="194"/>
    </w:p>
    <w:p>
      <w:pPr>
        <w:pStyle w:val="TableCaption"/>
      </w:pPr>
      <w:r>
        <w:rPr>
          <w:rFonts w:ascii="Times New Roman" w:hAnsi="Times New Roman" w:eastAsia="Songti SC"/>
          <w:color w:val="000000"/>
          <w:sz w:val="21"/>
        </w:rPr>
        <w:t>表4-8 推理成本与预算取舍（人工情景）</w:t>
      </w:r>
      <w:bookmarkStart w:id="195" w:name="v13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0.50个百分点，初始关系TP保留率也略低。因局部仍稍快，不能说被全局在所有维度严格支配；但该情景不支持突出的效率或安全优势。BR-J求解仅占总时间的5.00%和5.67%，主要成本仍在生成与评分。上述数值是设定成本下的算术关系，实际采用判断须按附录H.3同时测量准备、求解、失败与尾延迟。</w:t>
      </w:r>
    </w:p>
    <w:p>
      <w:pPr>
        <w:pStyle w:val="Heading3"/>
      </w:pPr>
      <w:r>
        <w:t>4.6.6 预算条件的分析示例</w:t>
      </w:r>
      <w:bookmarkStart w:id="93" w:name="v13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3_94"/>
      <w:bookmarkEnd w:id="94"/>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结构恢复与失败案例（人工情景）</w:t>
      </w:r>
      <w:bookmarkStart w:id="196" w:name="v13_196"/>
      <w:bookmarkEnd w:id="19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5" w:name="v13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围绕RelationOnly、单对象动作和同目标全局求解展开，分别检验组件可变性、集合表达及所付成本。现有人工计数展示了比较口径，不能确定真实采用条件。预算函数留作附录中的条件分析，外部系统比较仍待按附录G接入；第五章继续讨论同批四格输出能回答和不能回答的问题。</w:t>
      </w:r>
    </w:p>
    <w:p>
      <w:pPr>
        <w:pStyle w:val="Heading1"/>
      </w:pPr>
      <w:r>
        <w:t>第五章 两阶段框架的综合分析</w:t>
      </w:r>
      <w:bookmarkStart w:id="96" w:name="v13_96"/>
      <w:bookmarkEnd w:id="96"/>
    </w:p>
    <w:p>
      <w:r>
        <w:rPr>
          <w:rFonts w:ascii="Times New Roman" w:hAnsi="Times New Roman" w:eastAsia="Songti SC"/>
          <w:color w:val="000000"/>
        </w:rPr>
        <w:t>本章复用同一批四格人工计数，依次讨论组合增加了什么、对象作用能否从聚合成绩识别，以及训练、修正或组合如何比较成本。统计口径的变化不另计为研究发现；对象补全仅作为附录H.8的非唯一性示例，不充当模型输出。</w:t>
      </w:r>
    </w:p>
    <w:p>
      <w:pPr>
        <w:pStyle w:val="Heading2"/>
      </w:pPr>
      <w:r>
        <w:t>5.1 两阶段的条件增量</w:t>
      </w:r>
      <w:bookmarkStart w:id="97" w:name="v13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197" w:name="v13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198" w:name="v13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199" w:name="v13_199"/>
      <w:bookmarkEnd w:id="199"/>
    </w:p>
    <w:p>
      <w:pPr>
        <w:pStyle w:val="Heading2"/>
      </w:pPr>
      <w:r>
        <w:t>5.2 对象作用与聚合成绩的解释边界</w:t>
      </w:r>
      <w:bookmarkStart w:id="98" w:name="v13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200" w:name="v13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-7中BR-J的恢复与损失分别为289−65、233−46，恰好对应上述净增量；图4-3保留两类数量，第五章不重复绘制同一风险。</w:t>
      </w:r>
    </w:p>
    <w:p>
      <w:r>
        <w:rPr>
          <w:rFonts w:ascii="Times New Roman" w:hAnsi="Times New Roman" w:eastAsia="Songti SC"/>
          <w:color w:val="000000"/>
        </w:rPr>
        <w:t>上述净变化不确定共同修复、独有修复或损害的对象身份。同一组四格TP、FP、FN可对应不同的新增对象交集；附录H.8在保持四格成绩及T1到组合风险计数不变时构造不同重叠，说明这一不可识别性。正式分析需从同文档预测中对齐原文坐标、类型及完整关系键，才能报告具体改对或改错了什么。</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CDCP完整关系的源成员数分组（人工情景）</w:t>
      </w:r>
      <w:bookmarkStart w:id="201" w:name="v13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 修正与组合的配置取舍</w:t>
      </w:r>
      <w:bookmarkStart w:id="99" w:name="v13_99"/>
      <w:bookmarkEnd w:id="99"/>
    </w:p>
    <w:p>
      <w:r>
        <w:rPr>
          <w:rFonts w:ascii="Times New Roman" w:hAnsi="Times New Roman" w:eastAsia="Songti SC"/>
          <w:color w:val="000000"/>
        </w:rPr>
        <w:t>配置选择比较一次性训练投入、在线质量、额外时延和错误变更。表5-5仅在既有人工成本情景内列出相对T0＋I0的关系增量与在线额外时间；AAEC和CDCP共同起点为17.00秒和22.00秒。</w:t>
      </w:r>
    </w:p>
    <w:p>
      <w:pPr>
        <w:pStyle w:val="TableCaption"/>
      </w:pPr>
      <w:r>
        <w:rPr>
          <w:rFonts w:ascii="Times New Roman" w:hAnsi="Times New Roman" w:eastAsia="Songti SC"/>
          <w:color w:val="000000"/>
          <w:sz w:val="21"/>
        </w:rPr>
        <w:t>表5-5 相对共同起点的关系增量与在线额外时间（人工情景）</w:t>
      </w:r>
      <w:bookmarkStart w:id="202" w:name="v13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若一次性训练投入已经完成，只比较本情景的关系F1和在线平均时间，T1＋I0优于T0＋I1：AAEC高0.70个百分点、少13.00秒，CDCP高0.90个百分点、少21.16秒。这个条件比较说明配置选择需计入成本是否已经发生。无法重训、服务量不足以摊销训练或现有模型必须冻结时，不能沿用该排序。</w:t>
      </w:r>
    </w:p>
    <w:p>
      <w:r>
        <w:rPr>
          <w:rFonts w:ascii="Times New Roman" w:hAnsi="Times New Roman" w:eastAsia="Songti SC"/>
          <w:color w:val="000000"/>
        </w:rPr>
        <w:t>在T1上增加I1，关系F1的情景增量为5.99和6.71个百分点，在线时间增加14.00秒和22.16秒，并仍可能误改。是否采用组合应据目标错误、质量收益与完整成本决定；具体局部和全局求解取舍统一见4.6.5—4.6.6节，本节不重复预算曲线，也不以假设的规模阈值推荐策略。</w:t>
      </w:r>
    </w:p>
    <w:p>
      <w:pPr>
        <w:pStyle w:val="Heading2"/>
      </w:pPr>
      <w:r>
        <w:t>5.4 本章小结</w:t>
      </w:r>
      <w:bookmarkStart w:id="100" w:name="v13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配置比较则需要区分已付训练成本和后续在线成本。这三个问题共同规定综合分析的职责，正式结果须来自同批可追溯输出，不由相容对象补全代替独立发现。</w:t>
      </w:r>
    </w:p>
    <w:p>
      <w:pPr>
        <w:pStyle w:val="Heading1"/>
      </w:pPr>
      <w:r>
        <w:t>第六章 总结与展望</w:t>
      </w:r>
      <w:bookmarkStart w:id="101" w:name="v13_101"/>
      <w:bookmarkEnd w:id="101"/>
    </w:p>
    <w:p>
      <w:pPr>
        <w:pStyle w:val="Heading2"/>
      </w:pPr>
      <w:r>
        <w:t>6.1 研究总结</w:t>
      </w:r>
      <w:bookmarkStart w:id="102" w:name="v13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单对象动作及同目标全局求解分别承担组件可变性、集合表达与资源代价的检验。数学构造说明动作和决策边界，人工成绩展示比较口径；局部与全局的真实优先级尚未确定，允许依据运行结果简化求解设计。</w:t>
      </w:r>
    </w:p>
    <w:p>
      <w:r>
        <w:rPr>
          <w:rFonts w:ascii="Times New Roman" w:hAnsi="Times New Roman" w:eastAsia="Songti SC"/>
          <w:color w:val="000000"/>
        </w:rPr>
        <w:t>两阶段综合分析使用四格条件增量和在线成本讨论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3_103"/>
      <w:bookmarkEnd w:id="103"/>
    </w:p>
    <w:p>
      <w:r>
        <w:rPr>
          <w:rFonts w:ascii="Times New Roman" w:hAnsi="Times New Roman" w:eastAsia="Songti SC"/>
          <w:color w:val="000000"/>
        </w:rPr>
        <w:t>现有主成绩、审计判断和成本均为人工情景，未完成真实语料训练、语义审阅及求解比较。主成绩、模板筛选、预算函数和对象补全使用不同生成机制；它们分别演示评价、指标阅读、条件分析和不可识别性，不组成已闭合的研究证据链。正文不再使用具名外部方法的假想成绩。</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3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3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3_106"/>
      <w:bookmarkEnd w:id="106"/>
    </w:p>
    <w:p>
      <w:pPr>
        <w:pStyle w:val="Heading2"/>
      </w:pPr>
      <w:r>
        <w:t>A.1 坐标与结构数据</w:t>
      </w:r>
      <w:bookmarkStart w:id="107" w:name="v13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3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3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3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3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5，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3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3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13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3_113"/>
      <w:bookmarkEnd w:id="113"/>
    </w:p>
    <w:p>
      <w:pPr>
        <w:pStyle w:val="Heading2"/>
      </w:pPr>
      <w:r>
        <w:t>B.1 数据与模型身份</w:t>
      </w:r>
      <w:bookmarkStart w:id="114" w:name="v13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3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3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3_117"/>
      <w:bookmarkEnd w:id="117"/>
    </w:p>
    <w:p>
      <w:pPr>
        <w:pStyle w:val="Heading3"/>
      </w:pPr>
      <w:r>
        <w:t>B.4.1 已执行的构造检查</w:t>
      </w:r>
      <w:bookmarkStart w:id="118" w:name="v13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3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3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3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3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3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3_123"/>
      <w:bookmarkEnd w:id="123"/>
    </w:p>
    <w:p>
      <w:pPr>
        <w:pStyle w:val="Heading2"/>
      </w:pPr>
      <w:r>
        <w:t>C.1 前期共同成果</w:t>
      </w:r>
      <w:bookmarkStart w:id="124" w:name="v13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3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3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3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3_128"/>
      <w:bookmarkEnd w:id="128"/>
    </w:p>
    <w:p>
      <w:pPr>
        <w:pStyle w:val="Heading2"/>
      </w:pPr>
      <w:r>
        <w:t>D.1 前期结果的使用范围</w:t>
      </w:r>
      <w:bookmarkStart w:id="129" w:name="v13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3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3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13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3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3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3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3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3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3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3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3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3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3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3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3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3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3_141"/>
      <w:bookmarkEnd w:id="141"/>
    </w:p>
    <w:p>
      <w:pPr>
        <w:pStyle w:val="TableCaption"/>
        <w:spacing w:line="380" w:lineRule="exact"/>
      </w:pPr>
      <w:r>
        <w:rPr>
          <w:rFonts w:ascii="Times New Roman" w:hAnsi="Times New Roman" w:eastAsia="Songti SC"/>
          <w:color w:val="000000"/>
          <w:sz w:val="21"/>
        </w:rPr>
        <w:t>表E-6 ICIC原版Oracle记录</w:t>
      </w:r>
      <w:bookmarkStart w:id="211" w:name="v13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3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3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3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3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3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3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3_145"/>
      <w:bookmarkEnd w:id="145"/>
    </w:p>
    <w:p>
      <w:pPr>
        <w:pStyle w:val="Heading2"/>
      </w:pPr>
      <w:r>
        <w:t>F.1 核心术语与符号</w:t>
      </w:r>
      <w:bookmarkStart w:id="146" w:name="v13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3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3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3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3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3_149"/>
      <w:bookmarkEnd w:id="149"/>
    </w:p>
    <w:p>
      <w:pPr>
        <w:pStyle w:val="Heading2"/>
      </w:pPr>
      <w:r>
        <w:t>G.1 检索范围与方法选择</w:t>
      </w:r>
      <w:bookmarkStart w:id="150" w:name="v13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3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3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；本轮访问未取得可检查的仓库内容，因此仅确认论文所载地址，不标记环境可运行。QOS／DOS的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所列分类任务用于说明输入边界。AASP、ARGUS的本轮记录以原文方法为限，不将未检查的代码写成已复现。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3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3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3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3_154"/>
      <w:bookmarkEnd w:id="154"/>
    </w:p>
    <w:p>
      <w:pPr>
        <w:pStyle w:val="Heading2"/>
      </w:pPr>
      <w:r>
        <w:t>H.1 训练侧问题规模与初始错误的诊断设计</w:t>
      </w:r>
      <w:bookmarkStart w:id="155" w:name="v13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3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19" w:name="v13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3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3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模拟结果后的实证替换顺序</w:t>
      </w:r>
      <w:bookmarkStart w:id="159" w:name="v13_159"/>
      <w:bookmarkEnd w:id="159"/>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只完成支撑主要主张的比较：固定学习目标比较增强构造，固定增强集合比较学习项，完成至少一个可解释的原生外部系统对照，以及共同条件下的推理和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3_160"/>
      <w:bookmarkEnd w:id="160"/>
    </w:p>
    <w:p>
      <w:pPr>
        <w:spacing w:line="380" w:lineRule="exact"/>
      </w:pPr>
      <w:r>
        <w:rPr>
          <w:rFonts w:ascii="Times New Roman" w:hAnsi="Times New Roman" w:eastAsia="Songti SC"/>
          <w:color w:val="000000"/>
          <w:sz w:val="22"/>
        </w:rPr>
        <w:t>本节只演示怎样并列阅读变化、漂移与覆盖，不检验真实语义审核器。材料沿用SIM-1010-V4：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共同池的变化与覆盖诊断（指标演示的人工情景）</w:t>
      </w:r>
      <w:bookmarkStart w:id="220" w:name="v13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3_161"/>
      <w:bookmarkEnd w:id="161"/>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3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3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3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3_162"/>
      <w:bookmarkEnd w:id="162"/>
    </w:p>
    <w:p>
      <w:pPr>
        <w:spacing w:line="380" w:lineRule="exact"/>
      </w:pPr>
      <w:r>
        <w:rPr>
          <w:rFonts w:ascii="Times New Roman" w:hAnsi="Times New Roman" w:eastAsia="Songti SC"/>
          <w:color w:val="000000"/>
          <w:sz w:val="22"/>
        </w:rPr>
        <w:t>既有object_memberships.json为684个文档种子记录赋予抽象关系键，匹配原四格未分组TP、FP、FN及T1到组合的风险总量。坐标、类型与端点均由程序构造，未重建完整组件预测图，也未约束源成员数分组；该文件作为统计程序输入保留，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本版核验程序独立构造上述最小与最大交集，逐项检查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59"/>
      <w:footerReference w:type="default" r:id="rId160"/>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1010-v5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