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1010-v6 模拟数据演示稿</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模拟数据演示稿。除附录E历史存档和明示的数学构造外，实验表图、审计判定、运行配置、成本及案例均为程序构造的模拟情景，不代表真实实验记录或效果预测。正文保留主要方法及受控比较的写作示例；模板筛选、预算推演和对象非唯一性示例集中于附录H，各自不构成真实效果证据。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版使用AAEC与CDCP规模的人工计数演示评价，不代表真实模型实验。训练侧以数据构造整体及同数据学习增量为关键比较，分别固定基础损失或增强集合；推理侧以RelationOnly和单对象动作检验组件可变性与集合表达，以同目标全局求解判断资源取舍，分步策略补充检验共同决策。给定人工计数，成对项的关系F1增量为1.92／1.88个百分点，BR-J相对固定组件RelationOnly的增量为3.59／4.39个百分点；这些数字只展示对应比较的解释口径。两阶段四格用于分析条件增量，以及训练完成后的在线质量与时间取舍；聚合成绩尚不能确定对象重叠。真实监督漂移、端点错误分布及方法运行仍待验证，局部与全局求解的采用优先级尚未确定。</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Artificial counts at AAEC and CDCP scales illustrate evaluation rather than empirical model performance. Key training comparisons examine the overall data-construction effect under a fixed base loss and learning increments on the same augmented set. For inference, RelationOnly and single-object controls test component changes and set-level expressiveness, while same-objective global optimization tests resource tradeoffs. A sequential strategy provides a supplementary comparison of joint decision-making. Under the assigned counts, paired learning adds 1.92/1.88 relation F1 points, while BR-J exceeds fixed-component RelationOnly by 3.59/4.39 points; these values illustrate the interpretation of the respective comparisons. A four-cell analysis examines conditional gains and online quality–time tradeoffs after training costs have been incurred; aggregate scores do not identify object overlap. Actual supervision drift, endpoint-related errors and method performance remain to be tested, and the choice between local and global solving is unresolved.</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4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14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14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1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1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1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1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1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1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1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11</w:t>
        </w:r>
      </w:hyperlink>
    </w:p>
    <w:p>
      <w:pPr>
        <w:pStyle w:val="TOC2"/>
      </w:pPr>
      <w:hyperlink w:anchor="v1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1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1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14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1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1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1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15</w:t>
        </w:r>
      </w:hyperlink>
    </w:p>
    <w:p>
      <w:pPr>
        <w:pStyle w:val="TOC2"/>
      </w:pPr>
      <w:hyperlink w:anchor="v1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14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14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17</w:t>
        </w:r>
      </w:hyperlink>
    </w:p>
    <w:p>
      <w:pPr>
        <w:pStyle w:val="TOC2"/>
      </w:pPr>
      <w:hyperlink w:anchor="v14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1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17</w:t>
        </w:r>
      </w:hyperlink>
    </w:p>
    <w:p>
      <w:pPr>
        <w:pStyle w:val="TOC3"/>
      </w:pPr>
      <w:hyperlink w:anchor="v1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17</w:t>
        </w:r>
      </w:hyperlink>
    </w:p>
    <w:p>
      <w:pPr>
        <w:pStyle w:val="TOC3"/>
      </w:pPr>
      <w:hyperlink w:anchor="v1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1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18</w:t>
        </w:r>
      </w:hyperlink>
    </w:p>
    <w:p>
      <w:pPr>
        <w:pStyle w:val="TOC3"/>
      </w:pPr>
      <w:hyperlink w:anchor="v1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18</w:t>
        </w:r>
      </w:hyperlink>
    </w:p>
    <w:p>
      <w:pPr>
        <w:pStyle w:val="TOC3"/>
      </w:pPr>
      <w:hyperlink w:anchor="v1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1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21</w:t>
        </w:r>
      </w:hyperlink>
    </w:p>
    <w:p>
      <w:pPr>
        <w:pStyle w:val="TOC2"/>
      </w:pPr>
      <w:hyperlink w:anchor="v1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1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1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1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14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1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1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14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28</w:t>
        </w:r>
      </w:hyperlink>
    </w:p>
    <w:p>
      <w:pPr>
        <w:pStyle w:val="TOC3"/>
      </w:pPr>
      <w:hyperlink w:anchor="v1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1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14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31</w:t>
        </w:r>
      </w:hyperlink>
    </w:p>
    <w:p>
      <w:pPr>
        <w:pStyle w:val="TOC3"/>
      </w:pPr>
      <w:hyperlink w:anchor="v14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32</w:t>
        </w:r>
      </w:hyperlink>
    </w:p>
    <w:p>
      <w:pPr>
        <w:pStyle w:val="TOC3"/>
      </w:pPr>
      <w:hyperlink w:anchor="v14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33</w:t>
        </w:r>
      </w:hyperlink>
    </w:p>
    <w:p>
      <w:pPr>
        <w:pStyle w:val="TOC3"/>
      </w:pPr>
      <w:hyperlink w:anchor="v14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33</w:t>
        </w:r>
      </w:hyperlink>
    </w:p>
    <w:p>
      <w:pPr>
        <w:pStyle w:val="TOC2"/>
      </w:pPr>
      <w:hyperlink w:anchor="v14_63" w:history="1">
        <w:r>
          <w:rPr>
            <w:rFonts w:ascii="Times New Roman" w:hAnsi="Times New Roman" w:eastAsia="Songti SC"/>
            <w:color w:val="000000"/>
            <w:sz w:val="22"/>
          </w:rPr>
          <w:t>3.7 本章小结</w:t>
        </w:r>
        <w:r>
          <w:rPr>
            <w:rFonts w:ascii="Times New Roman" w:hAnsi="Times New Roman" w:eastAsia="Songti SC"/>
            <w:color w:val="000000"/>
            <w:sz w:val="22"/>
          </w:rPr>
          <w:tab/>
          <w:t>34</w:t>
        </w:r>
      </w:hyperlink>
    </w:p>
    <w:p>
      <w:pPr>
        <w:pStyle w:val="TOC1"/>
        <w:keepNext/>
        <w:spacing w:before="120"/>
      </w:pPr>
      <w:hyperlink w:anchor="v14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35</w:t>
        </w:r>
      </w:hyperlink>
    </w:p>
    <w:p>
      <w:pPr>
        <w:pStyle w:val="TOC2"/>
      </w:pPr>
      <w:hyperlink w:anchor="v14_65" w:history="1">
        <w:r>
          <w:rPr>
            <w:rFonts w:ascii="Times New Roman" w:hAnsi="Times New Roman" w:eastAsia="Songti SC"/>
            <w:color w:val="000000"/>
            <w:sz w:val="22"/>
          </w:rPr>
          <w:t>4.1 引言</w:t>
        </w:r>
        <w:r>
          <w:rPr>
            <w:rFonts w:ascii="Times New Roman" w:hAnsi="Times New Roman" w:eastAsia="Songti SC"/>
            <w:color w:val="000000"/>
            <w:sz w:val="22"/>
          </w:rPr>
          <w:tab/>
          <w:t>35</w:t>
        </w:r>
      </w:hyperlink>
    </w:p>
    <w:p>
      <w:pPr>
        <w:pStyle w:val="TOC2"/>
      </w:pPr>
      <w:hyperlink w:anchor="v14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37</w:t>
        </w:r>
      </w:hyperlink>
    </w:p>
    <w:p>
      <w:pPr>
        <w:pStyle w:val="TOC3"/>
      </w:pPr>
      <w:hyperlink w:anchor="v14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37</w:t>
        </w:r>
      </w:hyperlink>
    </w:p>
    <w:p>
      <w:pPr>
        <w:pStyle w:val="TOC3"/>
      </w:pPr>
      <w:hyperlink w:anchor="v14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37</w:t>
        </w:r>
      </w:hyperlink>
    </w:p>
    <w:p>
      <w:pPr>
        <w:pStyle w:val="TOC3"/>
      </w:pPr>
      <w:hyperlink w:anchor="v14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38</w:t>
        </w:r>
      </w:hyperlink>
    </w:p>
    <w:p>
      <w:pPr>
        <w:pStyle w:val="TOC3"/>
      </w:pPr>
      <w:hyperlink w:anchor="v14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38</w:t>
        </w:r>
      </w:hyperlink>
    </w:p>
    <w:p>
      <w:pPr>
        <w:pStyle w:val="TOC3"/>
      </w:pPr>
      <w:hyperlink w:anchor="v14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39</w:t>
        </w:r>
      </w:hyperlink>
    </w:p>
    <w:p>
      <w:pPr>
        <w:pStyle w:val="TOC2"/>
      </w:pPr>
      <w:hyperlink w:anchor="v14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39</w:t>
        </w:r>
      </w:hyperlink>
    </w:p>
    <w:p>
      <w:pPr>
        <w:pStyle w:val="TOC3"/>
      </w:pPr>
      <w:hyperlink w:anchor="v14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40</w:t>
        </w:r>
      </w:hyperlink>
    </w:p>
    <w:p>
      <w:pPr>
        <w:pStyle w:val="TOC3"/>
      </w:pPr>
      <w:hyperlink w:anchor="v14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40</w:t>
        </w:r>
      </w:hyperlink>
    </w:p>
    <w:p>
      <w:pPr>
        <w:pStyle w:val="TOC2"/>
      </w:pPr>
      <w:hyperlink w:anchor="v14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41</w:t>
        </w:r>
      </w:hyperlink>
    </w:p>
    <w:p>
      <w:pPr>
        <w:pStyle w:val="TOC3"/>
      </w:pPr>
      <w:hyperlink w:anchor="v14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42</w:t>
        </w:r>
      </w:hyperlink>
    </w:p>
    <w:p>
      <w:pPr>
        <w:pStyle w:val="TOC3"/>
      </w:pPr>
      <w:hyperlink w:anchor="v14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42</w:t>
        </w:r>
      </w:hyperlink>
    </w:p>
    <w:p>
      <w:pPr>
        <w:pStyle w:val="TOC3"/>
      </w:pPr>
      <w:hyperlink w:anchor="v14_78" w:history="1">
        <w:r>
          <w:rPr>
            <w:rFonts w:ascii="Times New Roman" w:hAnsi="Times New Roman" w:eastAsia="Songti SC"/>
            <w:color w:val="000000"/>
            <w:sz w:val="22"/>
          </w:rPr>
          <w:t>4.4.3 固定计数效用</w:t>
        </w:r>
        <w:r>
          <w:rPr>
            <w:rFonts w:ascii="Times New Roman" w:hAnsi="Times New Roman" w:eastAsia="Songti SC"/>
            <w:color w:val="000000"/>
            <w:sz w:val="22"/>
          </w:rPr>
          <w:tab/>
          <w:t>43</w:t>
        </w:r>
      </w:hyperlink>
    </w:p>
    <w:p>
      <w:pPr>
        <w:pStyle w:val="TOC3"/>
      </w:pPr>
      <w:hyperlink w:anchor="v14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43</w:t>
        </w:r>
      </w:hyperlink>
    </w:p>
    <w:p>
      <w:pPr>
        <w:pStyle w:val="TOC3"/>
      </w:pPr>
      <w:hyperlink w:anchor="v14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44</w:t>
        </w:r>
      </w:hyperlink>
    </w:p>
    <w:p>
      <w:pPr>
        <w:pStyle w:val="TOC2"/>
      </w:pPr>
      <w:hyperlink w:anchor="v14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45</w:t>
        </w:r>
      </w:hyperlink>
    </w:p>
    <w:p>
      <w:pPr>
        <w:pStyle w:val="TOC3"/>
      </w:pPr>
      <w:hyperlink w:anchor="v14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45</w:t>
        </w:r>
      </w:hyperlink>
    </w:p>
    <w:p>
      <w:pPr>
        <w:pStyle w:val="TOC3"/>
      </w:pPr>
      <w:hyperlink w:anchor="v14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46</w:t>
        </w:r>
      </w:hyperlink>
    </w:p>
    <w:p>
      <w:pPr>
        <w:pStyle w:val="TOC3"/>
      </w:pPr>
      <w:hyperlink w:anchor="v14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48</w:t>
        </w:r>
      </w:hyperlink>
    </w:p>
    <w:p>
      <w:pPr>
        <w:pStyle w:val="TOC3"/>
      </w:pPr>
      <w:hyperlink w:anchor="v14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49</w:t>
        </w:r>
      </w:hyperlink>
    </w:p>
    <w:p>
      <w:pPr>
        <w:pStyle w:val="TOC3"/>
      </w:pPr>
      <w:hyperlink w:anchor="v14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49</w:t>
        </w:r>
      </w:hyperlink>
    </w:p>
    <w:p>
      <w:pPr>
        <w:pStyle w:val="TOC2"/>
      </w:pPr>
      <w:hyperlink w:anchor="v14_87" w:history="1">
        <w:r>
          <w:rPr>
            <w:rFonts w:ascii="Times New Roman" w:hAnsi="Times New Roman" w:eastAsia="Songti SC"/>
            <w:color w:val="000000"/>
            <w:sz w:val="22"/>
          </w:rPr>
          <w:t>4.6 实验与分析</w:t>
        </w:r>
        <w:r>
          <w:rPr>
            <w:rFonts w:ascii="Times New Roman" w:hAnsi="Times New Roman" w:eastAsia="Songti SC"/>
            <w:color w:val="000000"/>
            <w:sz w:val="22"/>
          </w:rPr>
          <w:tab/>
          <w:t>49</w:t>
        </w:r>
      </w:hyperlink>
    </w:p>
    <w:p>
      <w:pPr>
        <w:pStyle w:val="TOC3"/>
      </w:pPr>
      <w:hyperlink w:anchor="v14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50</w:t>
        </w:r>
      </w:hyperlink>
    </w:p>
    <w:p>
      <w:pPr>
        <w:pStyle w:val="TOC3"/>
      </w:pPr>
      <w:hyperlink w:anchor="v14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53</w:t>
        </w:r>
      </w:hyperlink>
    </w:p>
    <w:p>
      <w:pPr>
        <w:pStyle w:val="TOC3"/>
      </w:pPr>
      <w:hyperlink w:anchor="v14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55</w:t>
        </w:r>
      </w:hyperlink>
    </w:p>
    <w:p>
      <w:pPr>
        <w:pStyle w:val="TOC3"/>
      </w:pPr>
      <w:hyperlink w:anchor="v14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56</w:t>
        </w:r>
      </w:hyperlink>
    </w:p>
    <w:p>
      <w:pPr>
        <w:pStyle w:val="TOC3"/>
      </w:pPr>
      <w:hyperlink w:anchor="v14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57</w:t>
        </w:r>
      </w:hyperlink>
    </w:p>
    <w:p>
      <w:pPr>
        <w:pStyle w:val="TOC3"/>
      </w:pPr>
      <w:hyperlink w:anchor="v14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59</w:t>
        </w:r>
      </w:hyperlink>
    </w:p>
    <w:p>
      <w:pPr>
        <w:pStyle w:val="TOC3"/>
      </w:pPr>
      <w:hyperlink w:anchor="v14_94" w:history="1">
        <w:r>
          <w:rPr>
            <w:rFonts w:ascii="Times New Roman" w:hAnsi="Times New Roman" w:eastAsia="Songti SC"/>
            <w:color w:val="000000"/>
            <w:sz w:val="22"/>
          </w:rPr>
          <w:t>4.6.7 案例分析</w:t>
        </w:r>
        <w:r>
          <w:rPr>
            <w:rFonts w:ascii="Times New Roman" w:hAnsi="Times New Roman" w:eastAsia="Songti SC"/>
            <w:color w:val="000000"/>
            <w:sz w:val="22"/>
          </w:rPr>
          <w:tab/>
          <w:t>59</w:t>
        </w:r>
      </w:hyperlink>
    </w:p>
    <w:p>
      <w:pPr>
        <w:pStyle w:val="TOC2"/>
      </w:pPr>
      <w:hyperlink w:anchor="v14_95" w:history="1">
        <w:r>
          <w:rPr>
            <w:rFonts w:ascii="Times New Roman" w:hAnsi="Times New Roman" w:eastAsia="Songti SC"/>
            <w:color w:val="000000"/>
            <w:sz w:val="22"/>
          </w:rPr>
          <w:t>4.7 本章小结</w:t>
        </w:r>
        <w:r>
          <w:rPr>
            <w:rFonts w:ascii="Times New Roman" w:hAnsi="Times New Roman" w:eastAsia="Songti SC"/>
            <w:color w:val="000000"/>
            <w:sz w:val="22"/>
          </w:rPr>
          <w:tab/>
          <w:t>60</w:t>
        </w:r>
      </w:hyperlink>
    </w:p>
    <w:p>
      <w:pPr>
        <w:pStyle w:val="TOC1"/>
        <w:keepNext/>
        <w:spacing w:before="120"/>
      </w:pPr>
      <w:hyperlink w:anchor="v14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61</w:t>
        </w:r>
      </w:hyperlink>
    </w:p>
    <w:p>
      <w:pPr>
        <w:pStyle w:val="TOC2"/>
      </w:pPr>
      <w:hyperlink w:anchor="v14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61</w:t>
        </w:r>
      </w:hyperlink>
    </w:p>
    <w:p>
      <w:pPr>
        <w:pStyle w:val="TOC2"/>
      </w:pPr>
      <w:hyperlink w:anchor="v14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62</w:t>
        </w:r>
      </w:hyperlink>
    </w:p>
    <w:p>
      <w:pPr>
        <w:pStyle w:val="TOC2"/>
      </w:pPr>
      <w:hyperlink w:anchor="v14_99" w:history="1">
        <w:r>
          <w:rPr>
            <w:rFonts w:ascii="Times New Roman" w:hAnsi="Times New Roman" w:eastAsia="Songti SC"/>
            <w:color w:val="000000"/>
            <w:sz w:val="22"/>
          </w:rPr>
          <w:t>5.3 训练完成后的在线配置取舍</w:t>
        </w:r>
        <w:r>
          <w:rPr>
            <w:rFonts w:ascii="Times New Roman" w:hAnsi="Times New Roman" w:eastAsia="Songti SC"/>
            <w:color w:val="000000"/>
            <w:sz w:val="22"/>
          </w:rPr>
          <w:tab/>
          <w:t>63</w:t>
        </w:r>
      </w:hyperlink>
    </w:p>
    <w:p>
      <w:pPr>
        <w:pStyle w:val="TOC2"/>
      </w:pPr>
      <w:hyperlink w:anchor="v14_100" w:history="1">
        <w:r>
          <w:rPr>
            <w:rFonts w:ascii="Times New Roman" w:hAnsi="Times New Roman" w:eastAsia="Songti SC"/>
            <w:color w:val="000000"/>
            <w:sz w:val="22"/>
          </w:rPr>
          <w:t>5.4 本章小结</w:t>
        </w:r>
        <w:r>
          <w:rPr>
            <w:rFonts w:ascii="Times New Roman" w:hAnsi="Times New Roman" w:eastAsia="Songti SC"/>
            <w:color w:val="000000"/>
            <w:sz w:val="22"/>
          </w:rPr>
          <w:tab/>
          <w:t>64</w:t>
        </w:r>
      </w:hyperlink>
    </w:p>
    <w:p>
      <w:pPr>
        <w:pStyle w:val="TOC1"/>
        <w:keepNext/>
        <w:spacing w:before="120"/>
      </w:pPr>
      <w:hyperlink w:anchor="v14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65</w:t>
        </w:r>
      </w:hyperlink>
    </w:p>
    <w:p>
      <w:pPr>
        <w:pStyle w:val="TOC2"/>
      </w:pPr>
      <w:hyperlink w:anchor="v14_102" w:history="1">
        <w:r>
          <w:rPr>
            <w:rFonts w:ascii="Times New Roman" w:hAnsi="Times New Roman" w:eastAsia="Songti SC"/>
            <w:color w:val="000000"/>
            <w:sz w:val="22"/>
          </w:rPr>
          <w:t>6.1 研究总结</w:t>
        </w:r>
        <w:r>
          <w:rPr>
            <w:rFonts w:ascii="Times New Roman" w:hAnsi="Times New Roman" w:eastAsia="Songti SC"/>
            <w:color w:val="000000"/>
            <w:sz w:val="22"/>
          </w:rPr>
          <w:tab/>
          <w:t>65</w:t>
        </w:r>
      </w:hyperlink>
    </w:p>
    <w:p>
      <w:pPr>
        <w:pStyle w:val="TOC2"/>
      </w:pPr>
      <w:hyperlink w:anchor="v14_103" w:history="1">
        <w:r>
          <w:rPr>
            <w:rFonts w:ascii="Times New Roman" w:hAnsi="Times New Roman" w:eastAsia="Songti SC"/>
            <w:color w:val="000000"/>
            <w:sz w:val="22"/>
          </w:rPr>
          <w:t>6.2 研究局限</w:t>
        </w:r>
        <w:r>
          <w:rPr>
            <w:rFonts w:ascii="Times New Roman" w:hAnsi="Times New Roman" w:eastAsia="Songti SC"/>
            <w:color w:val="000000"/>
            <w:sz w:val="22"/>
          </w:rPr>
          <w:tab/>
          <w:t>65</w:t>
        </w:r>
      </w:hyperlink>
    </w:p>
    <w:p>
      <w:pPr>
        <w:pStyle w:val="TOC2"/>
      </w:pPr>
      <w:hyperlink w:anchor="v14_104" w:history="1">
        <w:r>
          <w:rPr>
            <w:rFonts w:ascii="Times New Roman" w:hAnsi="Times New Roman" w:eastAsia="Songti SC"/>
            <w:color w:val="000000"/>
            <w:sz w:val="22"/>
          </w:rPr>
          <w:t>6.3 后续研究方向</w:t>
        </w:r>
        <w:r>
          <w:rPr>
            <w:rFonts w:ascii="Times New Roman" w:hAnsi="Times New Roman" w:eastAsia="Songti SC"/>
            <w:color w:val="000000"/>
            <w:sz w:val="22"/>
          </w:rPr>
          <w:tab/>
          <w:t>66</w:t>
        </w:r>
      </w:hyperlink>
    </w:p>
    <w:p>
      <w:pPr>
        <w:pStyle w:val="TOC1"/>
        <w:keepNext/>
        <w:spacing w:before="120"/>
      </w:pPr>
      <w:hyperlink w:anchor="v14_105" w:history="1">
        <w:r>
          <w:rPr>
            <w:rFonts w:ascii="Times New Roman" w:hAnsi="Times New Roman" w:eastAsia="Songti SC"/>
            <w:color w:val="000000"/>
            <w:sz w:val="22"/>
          </w:rPr>
          <w:t>参考文献</w:t>
        </w:r>
        <w:r>
          <w:rPr>
            <w:rFonts w:ascii="Times New Roman" w:hAnsi="Times New Roman" w:eastAsia="Songti SC"/>
            <w:color w:val="000000"/>
            <w:sz w:val="22"/>
          </w:rPr>
          <w:tab/>
          <w:t>67</w:t>
        </w:r>
      </w:hyperlink>
    </w:p>
    <w:p>
      <w:pPr>
        <w:pStyle w:val="TOC1"/>
        <w:keepNext/>
        <w:spacing w:before="120"/>
      </w:pPr>
      <w:hyperlink w:anchor="v14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71</w:t>
        </w:r>
      </w:hyperlink>
    </w:p>
    <w:p>
      <w:pPr>
        <w:pStyle w:val="TOC2"/>
      </w:pPr>
      <w:hyperlink w:anchor="v14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71</w:t>
        </w:r>
      </w:hyperlink>
    </w:p>
    <w:p>
      <w:pPr>
        <w:pStyle w:val="TOC2"/>
      </w:pPr>
      <w:hyperlink w:anchor="v14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71</w:t>
        </w:r>
      </w:hyperlink>
    </w:p>
    <w:p>
      <w:pPr>
        <w:pStyle w:val="TOC2"/>
      </w:pPr>
      <w:hyperlink w:anchor="v14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72</w:t>
        </w:r>
      </w:hyperlink>
    </w:p>
    <w:p>
      <w:pPr>
        <w:pStyle w:val="TOC2"/>
      </w:pPr>
      <w:hyperlink w:anchor="v14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72</w:t>
        </w:r>
      </w:hyperlink>
    </w:p>
    <w:p>
      <w:pPr>
        <w:pStyle w:val="TOC2"/>
      </w:pPr>
      <w:hyperlink w:anchor="v14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73</w:t>
        </w:r>
      </w:hyperlink>
    </w:p>
    <w:p>
      <w:pPr>
        <w:pStyle w:val="TOC2"/>
      </w:pPr>
      <w:hyperlink w:anchor="v14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74</w:t>
        </w:r>
      </w:hyperlink>
    </w:p>
    <w:p>
      <w:pPr>
        <w:pStyle w:val="TOC1"/>
        <w:keepNext/>
        <w:spacing w:before="120"/>
      </w:pPr>
      <w:hyperlink w:anchor="v14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75</w:t>
        </w:r>
      </w:hyperlink>
    </w:p>
    <w:p>
      <w:pPr>
        <w:pStyle w:val="TOC2"/>
      </w:pPr>
      <w:hyperlink w:anchor="v14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75</w:t>
        </w:r>
      </w:hyperlink>
    </w:p>
    <w:p>
      <w:pPr>
        <w:pStyle w:val="TOC2"/>
      </w:pPr>
      <w:hyperlink w:anchor="v14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75</w:t>
        </w:r>
      </w:hyperlink>
    </w:p>
    <w:p>
      <w:pPr>
        <w:pStyle w:val="TOC2"/>
      </w:pPr>
      <w:hyperlink w:anchor="v14_116" w:history="1">
        <w:r>
          <w:rPr>
            <w:rFonts w:ascii="Times New Roman" w:hAnsi="Times New Roman" w:eastAsia="Songti SC"/>
            <w:color w:val="000000"/>
            <w:sz w:val="22"/>
          </w:rPr>
          <w:t>B.3 回退与预算</w:t>
        </w:r>
        <w:r>
          <w:rPr>
            <w:rFonts w:ascii="Times New Roman" w:hAnsi="Times New Roman" w:eastAsia="Songti SC"/>
            <w:color w:val="000000"/>
            <w:sz w:val="22"/>
          </w:rPr>
          <w:tab/>
          <w:t>75</w:t>
        </w:r>
      </w:hyperlink>
    </w:p>
    <w:p>
      <w:pPr>
        <w:pStyle w:val="TOC2"/>
      </w:pPr>
      <w:hyperlink w:anchor="v14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76</w:t>
        </w:r>
      </w:hyperlink>
    </w:p>
    <w:p>
      <w:pPr>
        <w:pStyle w:val="TOC3"/>
      </w:pPr>
      <w:hyperlink w:anchor="v14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76</w:t>
        </w:r>
      </w:hyperlink>
    </w:p>
    <w:p>
      <w:pPr>
        <w:pStyle w:val="TOC3"/>
      </w:pPr>
      <w:hyperlink w:anchor="v14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76</w:t>
        </w:r>
      </w:hyperlink>
    </w:p>
    <w:p>
      <w:pPr>
        <w:pStyle w:val="TOC3"/>
      </w:pPr>
      <w:hyperlink w:anchor="v14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76</w:t>
        </w:r>
      </w:hyperlink>
    </w:p>
    <w:p>
      <w:pPr>
        <w:pStyle w:val="TOC2"/>
      </w:pPr>
      <w:hyperlink w:anchor="v14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77</w:t>
        </w:r>
      </w:hyperlink>
    </w:p>
    <w:p>
      <w:pPr>
        <w:pStyle w:val="TOC2"/>
      </w:pPr>
      <w:hyperlink w:anchor="v14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78</w:t>
        </w:r>
      </w:hyperlink>
    </w:p>
    <w:p>
      <w:pPr>
        <w:pStyle w:val="TOC1"/>
        <w:keepNext/>
        <w:spacing w:before="120"/>
      </w:pPr>
      <w:hyperlink w:anchor="v14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79</w:t>
        </w:r>
      </w:hyperlink>
    </w:p>
    <w:p>
      <w:pPr>
        <w:pStyle w:val="TOC2"/>
      </w:pPr>
      <w:hyperlink w:anchor="v14_124" w:history="1">
        <w:r>
          <w:rPr>
            <w:rFonts w:ascii="Times New Roman" w:hAnsi="Times New Roman" w:eastAsia="Songti SC"/>
            <w:color w:val="000000"/>
            <w:sz w:val="22"/>
          </w:rPr>
          <w:t>C.1 前期共同成果</w:t>
        </w:r>
        <w:r>
          <w:rPr>
            <w:rFonts w:ascii="Times New Roman" w:hAnsi="Times New Roman" w:eastAsia="Songti SC"/>
            <w:color w:val="000000"/>
            <w:sz w:val="22"/>
          </w:rPr>
          <w:tab/>
          <w:t>79</w:t>
        </w:r>
      </w:hyperlink>
    </w:p>
    <w:p>
      <w:pPr>
        <w:pStyle w:val="TOC2"/>
      </w:pPr>
      <w:hyperlink w:anchor="v14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79</w:t>
        </w:r>
      </w:hyperlink>
    </w:p>
    <w:p>
      <w:pPr>
        <w:pStyle w:val="TOC2"/>
      </w:pPr>
      <w:hyperlink w:anchor="v14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79</w:t>
        </w:r>
      </w:hyperlink>
    </w:p>
    <w:p>
      <w:pPr>
        <w:pStyle w:val="TOC2"/>
      </w:pPr>
      <w:hyperlink w:anchor="v14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79</w:t>
        </w:r>
      </w:hyperlink>
    </w:p>
    <w:p>
      <w:pPr>
        <w:pStyle w:val="TOC1"/>
        <w:keepNext/>
        <w:spacing w:before="120"/>
      </w:pPr>
      <w:hyperlink w:anchor="v14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80</w:t>
        </w:r>
      </w:hyperlink>
    </w:p>
    <w:p>
      <w:pPr>
        <w:pStyle w:val="TOC2"/>
      </w:pPr>
      <w:hyperlink w:anchor="v14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80</w:t>
        </w:r>
      </w:hyperlink>
    </w:p>
    <w:p>
      <w:pPr>
        <w:pStyle w:val="TOC2"/>
      </w:pPr>
      <w:hyperlink w:anchor="v14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80</w:t>
        </w:r>
      </w:hyperlink>
    </w:p>
    <w:p>
      <w:pPr>
        <w:pStyle w:val="TOC2"/>
      </w:pPr>
      <w:hyperlink w:anchor="v14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80</w:t>
        </w:r>
      </w:hyperlink>
    </w:p>
    <w:p>
      <w:pPr>
        <w:pStyle w:val="TOC2"/>
      </w:pPr>
      <w:hyperlink w:anchor="v14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80</w:t>
        </w:r>
      </w:hyperlink>
    </w:p>
    <w:p>
      <w:pPr>
        <w:pStyle w:val="TOC2"/>
      </w:pPr>
      <w:hyperlink w:anchor="v14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81</w:t>
        </w:r>
      </w:hyperlink>
    </w:p>
    <w:p>
      <w:pPr>
        <w:pStyle w:val="TOC2"/>
      </w:pPr>
      <w:hyperlink w:anchor="v14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81</w:t>
        </w:r>
      </w:hyperlink>
    </w:p>
    <w:p>
      <w:pPr>
        <w:pStyle w:val="TOC1"/>
        <w:keepNext/>
        <w:spacing w:before="120"/>
      </w:pPr>
      <w:hyperlink w:anchor="v14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83</w:t>
        </w:r>
      </w:hyperlink>
    </w:p>
    <w:p>
      <w:pPr>
        <w:pStyle w:val="TOC2"/>
      </w:pPr>
      <w:hyperlink w:anchor="v14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83</w:t>
        </w:r>
      </w:hyperlink>
    </w:p>
    <w:p>
      <w:pPr>
        <w:pStyle w:val="TOC2"/>
      </w:pPr>
      <w:hyperlink w:anchor="v14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83</w:t>
        </w:r>
      </w:hyperlink>
    </w:p>
    <w:p>
      <w:pPr>
        <w:pStyle w:val="TOC2"/>
      </w:pPr>
      <w:hyperlink w:anchor="v14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84</w:t>
        </w:r>
      </w:hyperlink>
    </w:p>
    <w:p>
      <w:pPr>
        <w:pStyle w:val="TOC2"/>
      </w:pPr>
      <w:hyperlink w:anchor="v14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84</w:t>
        </w:r>
      </w:hyperlink>
    </w:p>
    <w:p>
      <w:pPr>
        <w:pStyle w:val="TOC2"/>
      </w:pPr>
      <w:hyperlink w:anchor="v14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85</w:t>
        </w:r>
      </w:hyperlink>
    </w:p>
    <w:p>
      <w:pPr>
        <w:pStyle w:val="TOC2"/>
      </w:pPr>
      <w:hyperlink w:anchor="v14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85</w:t>
        </w:r>
      </w:hyperlink>
    </w:p>
    <w:p>
      <w:pPr>
        <w:pStyle w:val="TOC2"/>
      </w:pPr>
      <w:hyperlink w:anchor="v14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85</w:t>
        </w:r>
      </w:hyperlink>
    </w:p>
    <w:p>
      <w:pPr>
        <w:pStyle w:val="TOC2"/>
      </w:pPr>
      <w:hyperlink w:anchor="v14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86</w:t>
        </w:r>
      </w:hyperlink>
    </w:p>
    <w:p>
      <w:pPr>
        <w:pStyle w:val="TOC2"/>
      </w:pPr>
      <w:hyperlink w:anchor="v14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87</w:t>
        </w:r>
      </w:hyperlink>
    </w:p>
    <w:p>
      <w:pPr>
        <w:pStyle w:val="TOC1"/>
        <w:keepNext/>
        <w:spacing w:before="120"/>
      </w:pPr>
      <w:hyperlink w:anchor="v14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88</w:t>
        </w:r>
      </w:hyperlink>
    </w:p>
    <w:p>
      <w:pPr>
        <w:pStyle w:val="TOC2"/>
      </w:pPr>
      <w:hyperlink w:anchor="v14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88</w:t>
        </w:r>
      </w:hyperlink>
    </w:p>
    <w:p>
      <w:pPr>
        <w:pStyle w:val="TOC2"/>
      </w:pPr>
      <w:hyperlink w:anchor="v14_147" w:history="1">
        <w:r>
          <w:rPr>
            <w:rFonts w:ascii="Times New Roman" w:hAnsi="Times New Roman" w:eastAsia="Songti SC"/>
            <w:color w:val="000000"/>
            <w:sz w:val="22"/>
          </w:rPr>
          <w:t>F.2 实现接口补充</w:t>
        </w:r>
        <w:r>
          <w:rPr>
            <w:rFonts w:ascii="Times New Roman" w:hAnsi="Times New Roman" w:eastAsia="Songti SC"/>
            <w:color w:val="000000"/>
            <w:sz w:val="22"/>
          </w:rPr>
          <w:tab/>
          <w:t>89</w:t>
        </w:r>
      </w:hyperlink>
    </w:p>
    <w:p>
      <w:pPr>
        <w:pStyle w:val="TOC2"/>
      </w:pPr>
      <w:hyperlink w:anchor="v14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90</w:t>
        </w:r>
      </w:hyperlink>
    </w:p>
    <w:p>
      <w:pPr>
        <w:pStyle w:val="TOC1"/>
        <w:keepNext/>
        <w:spacing w:before="120"/>
      </w:pPr>
      <w:hyperlink w:anchor="v14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91</w:t>
        </w:r>
      </w:hyperlink>
    </w:p>
    <w:p>
      <w:pPr>
        <w:pStyle w:val="TOC2"/>
      </w:pPr>
      <w:hyperlink w:anchor="v14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91</w:t>
        </w:r>
      </w:hyperlink>
    </w:p>
    <w:p>
      <w:pPr>
        <w:pStyle w:val="TOC2"/>
      </w:pPr>
      <w:hyperlink w:anchor="v14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92</w:t>
        </w:r>
      </w:hyperlink>
    </w:p>
    <w:p>
      <w:pPr>
        <w:pStyle w:val="TOC2"/>
      </w:pPr>
      <w:hyperlink w:anchor="v14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92</w:t>
        </w:r>
      </w:hyperlink>
    </w:p>
    <w:p>
      <w:pPr>
        <w:pStyle w:val="TOC2"/>
      </w:pPr>
      <w:hyperlink w:anchor="v14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93</w:t>
        </w:r>
      </w:hyperlink>
    </w:p>
    <w:p>
      <w:pPr>
        <w:pStyle w:val="TOC1"/>
        <w:keepNext/>
        <w:spacing w:before="120"/>
      </w:pPr>
      <w:hyperlink w:anchor="v14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94</w:t>
        </w:r>
      </w:hyperlink>
    </w:p>
    <w:p>
      <w:pPr>
        <w:pStyle w:val="TOC2"/>
      </w:pPr>
      <w:hyperlink w:anchor="v14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94</w:t>
        </w:r>
      </w:hyperlink>
    </w:p>
    <w:p>
      <w:pPr>
        <w:pStyle w:val="TOC2"/>
      </w:pPr>
      <w:hyperlink w:anchor="v14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94</w:t>
        </w:r>
      </w:hyperlink>
    </w:p>
    <w:p>
      <w:pPr>
        <w:pStyle w:val="TOC2"/>
      </w:pPr>
      <w:hyperlink w:anchor="v14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95</w:t>
        </w:r>
      </w:hyperlink>
    </w:p>
    <w:p>
      <w:pPr>
        <w:pStyle w:val="TOC2"/>
      </w:pPr>
      <w:hyperlink w:anchor="v14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96</w:t>
        </w:r>
      </w:hyperlink>
    </w:p>
    <w:p>
      <w:pPr>
        <w:pStyle w:val="TOC2"/>
      </w:pPr>
      <w:hyperlink w:anchor="v14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96</w:t>
        </w:r>
      </w:hyperlink>
    </w:p>
    <w:p>
      <w:pPr>
        <w:pStyle w:val="TOC2"/>
      </w:pPr>
      <w:hyperlink w:anchor="v14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97</w:t>
        </w:r>
      </w:hyperlink>
    </w:p>
    <w:p>
      <w:pPr>
        <w:pStyle w:val="TOC2"/>
      </w:pPr>
      <w:hyperlink w:anchor="v14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98</w:t>
        </w:r>
      </w:hyperlink>
    </w:p>
    <w:p>
      <w:pPr>
        <w:pStyle w:val="TOC2"/>
      </w:pPr>
      <w:hyperlink w:anchor="v14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100</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4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4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14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16</w:t>
        </w:r>
      </w:hyperlink>
    </w:p>
    <w:p>
      <w:pPr>
        <w:pStyle w:val="FigureList"/>
      </w:pPr>
      <w:hyperlink w:anchor="v14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19</w:t>
        </w:r>
      </w:hyperlink>
    </w:p>
    <w:p>
      <w:pPr>
        <w:pStyle w:val="FigureList"/>
      </w:pPr>
      <w:hyperlink w:anchor="v14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23</w:t>
        </w:r>
      </w:hyperlink>
    </w:p>
    <w:p>
      <w:pPr>
        <w:pStyle w:val="FigureList"/>
      </w:pPr>
      <w:hyperlink w:anchor="v14_179" w:history="1">
        <w:r>
          <w:rPr>
            <w:rFonts w:ascii="Times New Roman" w:hAnsi="Times New Roman" w:eastAsia="Songti SC"/>
            <w:color w:val="000000"/>
            <w:sz w:val="22"/>
          </w:rPr>
          <w:t>图3-3 训练方案与学习目标的严格关系结果（人工情景）</w:t>
        </w:r>
        <w:r>
          <w:rPr>
            <w:rFonts w:ascii="Times New Roman" w:hAnsi="Times New Roman" w:eastAsia="Songti SC"/>
            <w:color w:val="000000"/>
            <w:sz w:val="22"/>
          </w:rPr>
          <w:tab/>
          <w:t>32</w:t>
        </w:r>
      </w:hyperlink>
    </w:p>
    <w:p>
      <w:pPr>
        <w:pStyle w:val="FigureList"/>
      </w:pPr>
      <w:hyperlink w:anchor="v14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36</w:t>
        </w:r>
      </w:hyperlink>
    </w:p>
    <w:p>
      <w:pPr>
        <w:pStyle w:val="FigureList"/>
      </w:pPr>
      <w:hyperlink w:anchor="v14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48</w:t>
        </w:r>
      </w:hyperlink>
    </w:p>
    <w:p>
      <w:pPr>
        <w:pStyle w:val="FigureList"/>
      </w:pPr>
      <w:hyperlink w:anchor="v14_194" w:history="1">
        <w:r>
          <w:rPr>
            <w:rFonts w:ascii="Times New Roman" w:hAnsi="Times New Roman" w:eastAsia="Songti SC"/>
            <w:color w:val="000000"/>
            <w:sz w:val="22"/>
          </w:rPr>
          <w:t>图4-3 联合修正中的关系恢复与原真阳性损失（人工情景）</w:t>
        </w:r>
        <w:r>
          <w:rPr>
            <w:rFonts w:ascii="Times New Roman" w:hAnsi="Times New Roman" w:eastAsia="Songti SC"/>
            <w:color w:val="000000"/>
            <w:sz w:val="22"/>
          </w:rPr>
          <w:tab/>
          <w:t>58</w:t>
        </w:r>
      </w:hyperlink>
    </w:p>
    <w:p>
      <w:pPr>
        <w:pStyle w:val="FigureList"/>
      </w:pPr>
      <w:hyperlink w:anchor="v14_199" w:history="1">
        <w:r>
          <w:rPr>
            <w:rFonts w:ascii="Times New Roman" w:hAnsi="Times New Roman" w:eastAsia="Songti SC"/>
            <w:color w:val="000000"/>
            <w:sz w:val="22"/>
          </w:rPr>
          <w:t>图5-1 两个训练条件下的推理增量与交互关系（人工情景）</w:t>
        </w:r>
        <w:r>
          <w:rPr>
            <w:rFonts w:ascii="Times New Roman" w:hAnsi="Times New Roman" w:eastAsia="Songti SC"/>
            <w:color w:val="000000"/>
            <w:sz w:val="22"/>
          </w:rPr>
          <w:tab/>
          <w:t>62</w:t>
        </w:r>
      </w:hyperlink>
    </w:p>
    <w:p>
      <w:pPr>
        <w:pStyle w:val="FigureList"/>
      </w:pPr>
      <w:hyperlink w:anchor="v14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100</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4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14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4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14_168" w:history="1">
        <w:r>
          <w:rPr>
            <w:rFonts w:ascii="Times New Roman" w:hAnsi="Times New Roman" w:eastAsia="Songti SC"/>
            <w:color w:val="000000"/>
            <w:sz w:val="22"/>
          </w:rPr>
          <w:t>表2-2 公共配置与评价规模（人工情景）</w:t>
        </w:r>
        <w:r>
          <w:rPr>
            <w:rFonts w:ascii="Times New Roman" w:hAnsi="Times New Roman" w:eastAsia="Songti SC"/>
            <w:color w:val="000000"/>
            <w:sz w:val="22"/>
          </w:rPr>
          <w:tab/>
          <w:t>14</w:t>
        </w:r>
      </w:hyperlink>
    </w:p>
    <w:p>
      <w:pPr>
        <w:pStyle w:val="TableList"/>
      </w:pPr>
      <w:hyperlink w:anchor="v14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14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28</w:t>
        </w:r>
      </w:hyperlink>
    </w:p>
    <w:p>
      <w:pPr>
        <w:pStyle w:val="TableList"/>
      </w:pPr>
      <w:hyperlink w:anchor="v14_175" w:history="1">
        <w:r>
          <w:rPr>
            <w:rFonts w:ascii="Times New Roman" w:hAnsi="Times New Roman" w:eastAsia="Songti SC"/>
            <w:color w:val="000000"/>
            <w:sz w:val="22"/>
          </w:rPr>
          <w:t>表3-3 接受样本的标签漂移率（%）（人工情景）</w:t>
        </w:r>
        <w:r>
          <w:rPr>
            <w:rFonts w:ascii="Times New Roman" w:hAnsi="Times New Roman" w:eastAsia="Songti SC"/>
            <w:color w:val="000000"/>
            <w:sz w:val="22"/>
          </w:rPr>
          <w:tab/>
          <w:t>29</w:t>
        </w:r>
      </w:hyperlink>
    </w:p>
    <w:p>
      <w:pPr>
        <w:pStyle w:val="TableList"/>
      </w:pPr>
      <w:hyperlink w:anchor="v14_176" w:history="1">
        <w:r>
          <w:rPr>
            <w:rFonts w:ascii="Times New Roman" w:hAnsi="Times New Roman" w:eastAsia="Songti SC"/>
            <w:color w:val="000000"/>
            <w:sz w:val="22"/>
          </w:rPr>
          <w:t>表3-4 接受与拒绝样本的因素漂移审计（人工情景）</w:t>
        </w:r>
        <w:r>
          <w:rPr>
            <w:rFonts w:ascii="Times New Roman" w:hAnsi="Times New Roman" w:eastAsia="Songti SC"/>
            <w:color w:val="000000"/>
            <w:sz w:val="22"/>
          </w:rPr>
          <w:tab/>
          <w:t>30</w:t>
        </w:r>
      </w:hyperlink>
    </w:p>
    <w:p>
      <w:pPr>
        <w:pStyle w:val="TableList"/>
      </w:pPr>
      <w:hyperlink w:anchor="v14_177" w:history="1">
        <w:r>
          <w:rPr>
            <w:rFonts w:ascii="Times New Roman" w:hAnsi="Times New Roman" w:eastAsia="Songti SC"/>
            <w:color w:val="000000"/>
            <w:sz w:val="22"/>
          </w:rPr>
          <w:t>表3-5 训练方案的严格抽取结果（匹配训练规模）（人工情景）</w:t>
        </w:r>
        <w:r>
          <w:rPr>
            <w:rFonts w:ascii="Times New Roman" w:hAnsi="Times New Roman" w:eastAsia="Songti SC"/>
            <w:color w:val="000000"/>
            <w:sz w:val="22"/>
          </w:rPr>
          <w:tab/>
          <w:t>31</w:t>
        </w:r>
      </w:hyperlink>
    </w:p>
    <w:p>
      <w:pPr>
        <w:pStyle w:val="TableList"/>
      </w:pPr>
      <w:hyperlink w:anchor="v14_178" w:history="1">
        <w:r>
          <w:rPr>
            <w:rFonts w:ascii="Times New Roman" w:hAnsi="Times New Roman" w:eastAsia="Songti SC"/>
            <w:color w:val="000000"/>
            <w:sz w:val="22"/>
          </w:rPr>
          <w:t>表3-6 相同增强集合上的学习目标比较（匹配训练规模）（人工情景）</w:t>
        </w:r>
        <w:r>
          <w:rPr>
            <w:rFonts w:ascii="Times New Roman" w:hAnsi="Times New Roman" w:eastAsia="Songti SC"/>
            <w:color w:val="000000"/>
            <w:sz w:val="22"/>
          </w:rPr>
          <w:tab/>
          <w:t>31</w:t>
        </w:r>
      </w:hyperlink>
    </w:p>
    <w:p>
      <w:pPr>
        <w:pStyle w:val="TableList"/>
      </w:pPr>
      <w:hyperlink w:anchor="v14_180" w:history="1">
        <w:r>
          <w:rPr>
            <w:rFonts w:ascii="Times New Roman" w:hAnsi="Times New Roman" w:eastAsia="Songti SC"/>
            <w:color w:val="000000"/>
            <w:sz w:val="22"/>
          </w:rPr>
          <w:t>表3-7 中心匹配的有效覆盖与自匹配（人工情景）</w:t>
        </w:r>
        <w:r>
          <w:rPr>
            <w:rFonts w:ascii="Times New Roman" w:hAnsi="Times New Roman" w:eastAsia="Songti SC"/>
            <w:color w:val="000000"/>
            <w:sz w:val="22"/>
          </w:rPr>
          <w:tab/>
          <w:t>32</w:t>
        </w:r>
      </w:hyperlink>
    </w:p>
    <w:p>
      <w:pPr>
        <w:pStyle w:val="TableList"/>
      </w:pPr>
      <w:hyperlink w:anchor="v14_181" w:history="1">
        <w:r>
          <w:rPr>
            <w:rFonts w:ascii="Times New Roman" w:hAnsi="Times New Roman" w:eastAsia="Songti SC"/>
            <w:color w:val="000000"/>
            <w:sz w:val="22"/>
          </w:rPr>
          <w:t>表3-8 结论中心与匹配随机中心的比较（匹配训练规模）（人工情景）</w:t>
        </w:r>
        <w:r>
          <w:rPr>
            <w:rFonts w:ascii="Times New Roman" w:hAnsi="Times New Roman" w:eastAsia="Songti SC"/>
            <w:color w:val="000000"/>
            <w:sz w:val="22"/>
          </w:rPr>
          <w:tab/>
          <w:t>33</w:t>
        </w:r>
      </w:hyperlink>
    </w:p>
    <w:p>
      <w:pPr>
        <w:pStyle w:val="TableList"/>
      </w:pPr>
      <w:hyperlink w:anchor="v14_182" w:history="1">
        <w:r>
          <w:rPr>
            <w:rFonts w:ascii="Times New Roman" w:hAnsi="Times New Roman" w:eastAsia="Songti SC"/>
            <w:color w:val="000000"/>
            <w:sz w:val="22"/>
          </w:rPr>
          <w:t>表3-9 固定尝试预算下的覆盖与构造成本（人工情景）</w:t>
        </w:r>
        <w:r>
          <w:rPr>
            <w:rFonts w:ascii="Times New Roman" w:hAnsi="Times New Roman" w:eastAsia="Songti SC"/>
            <w:color w:val="000000"/>
            <w:sz w:val="22"/>
          </w:rPr>
          <w:tab/>
          <w:t>33</w:t>
        </w:r>
      </w:hyperlink>
    </w:p>
    <w:p>
      <w:pPr>
        <w:pStyle w:val="TableList"/>
      </w:pPr>
      <w:hyperlink w:anchor="v14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51</w:t>
        </w:r>
      </w:hyperlink>
    </w:p>
    <w:p>
      <w:pPr>
        <w:pStyle w:val="TableList"/>
      </w:pPr>
      <w:hyperlink w:anchor="v14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52</w:t>
        </w:r>
      </w:hyperlink>
    </w:p>
    <w:p>
      <w:pPr>
        <w:pStyle w:val="TableList"/>
      </w:pPr>
      <w:hyperlink w:anchor="v14_189" w:history="1">
        <w:r>
          <w:rPr>
            <w:rFonts w:ascii="Times New Roman" w:hAnsi="Times New Roman" w:eastAsia="Songti SC"/>
            <w:color w:val="000000"/>
            <w:sz w:val="22"/>
          </w:rPr>
          <w:t>表4-3 推理方法的严格抽取结果（人工情景）</w:t>
        </w:r>
        <w:r>
          <w:rPr>
            <w:rFonts w:ascii="Times New Roman" w:hAnsi="Times New Roman" w:eastAsia="Songti SC"/>
            <w:color w:val="000000"/>
            <w:sz w:val="22"/>
          </w:rPr>
          <w:tab/>
          <w:t>53</w:t>
        </w:r>
      </w:hyperlink>
    </w:p>
    <w:p>
      <w:pPr>
        <w:pStyle w:val="TableList"/>
      </w:pPr>
      <w:hyperlink w:anchor="v14_190" w:history="1">
        <w:r>
          <w:rPr>
            <w:rFonts w:ascii="Times New Roman" w:hAnsi="Times New Roman" w:eastAsia="Songti SC"/>
            <w:color w:val="000000"/>
            <w:sz w:val="22"/>
          </w:rPr>
          <w:t>表4-4 从完整组件到完整关系的候选覆盖（人工情景）</w:t>
        </w:r>
        <w:r>
          <w:rPr>
            <w:rFonts w:ascii="Times New Roman" w:hAnsi="Times New Roman" w:eastAsia="Songti SC"/>
            <w:color w:val="000000"/>
            <w:sz w:val="22"/>
          </w:rPr>
          <w:tab/>
          <w:t>55</w:t>
        </w:r>
      </w:hyperlink>
    </w:p>
    <w:p>
      <w:pPr>
        <w:pStyle w:val="TableList"/>
      </w:pPr>
      <w:hyperlink w:anchor="v14_191" w:history="1">
        <w:r>
          <w:rPr>
            <w:rFonts w:ascii="Times New Roman" w:hAnsi="Times New Roman" w:eastAsia="Songti SC"/>
            <w:color w:val="000000"/>
            <w:sz w:val="22"/>
          </w:rPr>
          <w:t>表4-5 三类恢复空间的关系计数诊断（人工情景）</w:t>
        </w:r>
        <w:r>
          <w:rPr>
            <w:rFonts w:ascii="Times New Roman" w:hAnsi="Times New Roman" w:eastAsia="Songti SC"/>
            <w:color w:val="000000"/>
            <w:sz w:val="22"/>
          </w:rPr>
          <w:tab/>
          <w:t>55</w:t>
        </w:r>
      </w:hyperlink>
    </w:p>
    <w:p>
      <w:pPr>
        <w:pStyle w:val="TableList"/>
      </w:pPr>
      <w:hyperlink w:anchor="v14_192" w:history="1">
        <w:r>
          <w:rPr>
            <w:rFonts w:ascii="Times New Roman" w:hAnsi="Times New Roman" w:eastAsia="Songti SC"/>
            <w:color w:val="000000"/>
            <w:sz w:val="22"/>
          </w:rPr>
          <w:t>表4-6 完整对象评分的区分与校准（人工情景）</w:t>
        </w:r>
        <w:r>
          <w:rPr>
            <w:rFonts w:ascii="Times New Roman" w:hAnsi="Times New Roman" w:eastAsia="Songti SC"/>
            <w:color w:val="000000"/>
            <w:sz w:val="22"/>
          </w:rPr>
          <w:tab/>
          <w:t>56</w:t>
        </w:r>
      </w:hyperlink>
    </w:p>
    <w:p>
      <w:pPr>
        <w:pStyle w:val="TableList"/>
      </w:pPr>
      <w:hyperlink w:anchor="v14_193" w:history="1">
        <w:r>
          <w:rPr>
            <w:rFonts w:ascii="Times New Roman" w:hAnsi="Times New Roman" w:eastAsia="Songti SC"/>
            <w:color w:val="000000"/>
            <w:sz w:val="22"/>
          </w:rPr>
          <w:t>表4-7 关系恢复与误改的累计计数（人工情景）</w:t>
        </w:r>
        <w:r>
          <w:rPr>
            <w:rFonts w:ascii="Times New Roman" w:hAnsi="Times New Roman" w:eastAsia="Songti SC"/>
            <w:color w:val="000000"/>
            <w:sz w:val="22"/>
          </w:rPr>
          <w:tab/>
          <w:t>57</w:t>
        </w:r>
      </w:hyperlink>
    </w:p>
    <w:p>
      <w:pPr>
        <w:pStyle w:val="TableList"/>
      </w:pPr>
      <w:hyperlink w:anchor="v14_195" w:history="1">
        <w:r>
          <w:rPr>
            <w:rFonts w:ascii="Times New Roman" w:hAnsi="Times New Roman" w:eastAsia="Songti SC"/>
            <w:color w:val="000000"/>
            <w:sz w:val="22"/>
          </w:rPr>
          <w:t>表4-8 推理成本与预算取舍（人工情景）</w:t>
        </w:r>
        <w:r>
          <w:rPr>
            <w:rFonts w:ascii="Times New Roman" w:hAnsi="Times New Roman" w:eastAsia="Songti SC"/>
            <w:color w:val="000000"/>
            <w:sz w:val="22"/>
          </w:rPr>
          <w:tab/>
          <w:t>58</w:t>
        </w:r>
      </w:hyperlink>
    </w:p>
    <w:p>
      <w:pPr>
        <w:pStyle w:val="TableList"/>
      </w:pPr>
      <w:hyperlink w:anchor="v14_196" w:history="1">
        <w:r>
          <w:rPr>
            <w:rFonts w:ascii="Times New Roman" w:hAnsi="Times New Roman" w:eastAsia="Songti SC"/>
            <w:color w:val="000000"/>
            <w:sz w:val="22"/>
          </w:rPr>
          <w:t>表4-9 结构恢复与失败案例（人工情景）</w:t>
        </w:r>
        <w:r>
          <w:rPr>
            <w:rFonts w:ascii="Times New Roman" w:hAnsi="Times New Roman" w:eastAsia="Songti SC"/>
            <w:color w:val="000000"/>
            <w:sz w:val="22"/>
          </w:rPr>
          <w:tab/>
          <w:t>60</w:t>
        </w:r>
      </w:hyperlink>
    </w:p>
    <w:p>
      <w:pPr>
        <w:pStyle w:val="TableList"/>
      </w:pPr>
      <w:hyperlink w:anchor="v14_197" w:history="1">
        <w:r>
          <w:rPr>
            <w:rFonts w:ascii="Times New Roman" w:hAnsi="Times New Roman" w:eastAsia="Songti SC"/>
            <w:color w:val="000000"/>
            <w:sz w:val="22"/>
          </w:rPr>
          <w:t>表5-1 两阶段组合的四格结果（人工情景）</w:t>
        </w:r>
        <w:r>
          <w:rPr>
            <w:rFonts w:ascii="Times New Roman" w:hAnsi="Times New Roman" w:eastAsia="Songti SC"/>
            <w:color w:val="000000"/>
            <w:sz w:val="22"/>
          </w:rPr>
          <w:tab/>
          <w:t>61</w:t>
        </w:r>
      </w:hyperlink>
    </w:p>
    <w:p>
      <w:pPr>
        <w:pStyle w:val="TableList"/>
      </w:pPr>
      <w:hyperlink w:anchor="v14_198" w:history="1">
        <w:r>
          <w:rPr>
            <w:rFonts w:ascii="Times New Roman" w:hAnsi="Times New Roman" w:eastAsia="Songti SC"/>
            <w:color w:val="000000"/>
            <w:sz w:val="22"/>
          </w:rPr>
          <w:t>表5-2 条件增量与交互差（人工情景）</w:t>
        </w:r>
        <w:r>
          <w:rPr>
            <w:rFonts w:ascii="Times New Roman" w:hAnsi="Times New Roman" w:eastAsia="Songti SC"/>
            <w:color w:val="000000"/>
            <w:sz w:val="22"/>
          </w:rPr>
          <w:tab/>
          <w:t>61</w:t>
        </w:r>
      </w:hyperlink>
    </w:p>
    <w:p>
      <w:pPr>
        <w:pStyle w:val="TableList"/>
      </w:pPr>
      <w:hyperlink w:anchor="v14_200" w:history="1">
        <w:r>
          <w:rPr>
            <w:rFonts w:ascii="Times New Roman" w:hAnsi="Times New Roman" w:eastAsia="Songti SC"/>
            <w:color w:val="000000"/>
            <w:sz w:val="22"/>
          </w:rPr>
          <w:t>表5-3 四格比较的净错误计数变化（人工情景）</w:t>
        </w:r>
        <w:r>
          <w:rPr>
            <w:rFonts w:ascii="Times New Roman" w:hAnsi="Times New Roman" w:eastAsia="Songti SC"/>
            <w:color w:val="000000"/>
            <w:sz w:val="22"/>
          </w:rPr>
          <w:tab/>
          <w:t>62</w:t>
        </w:r>
      </w:hyperlink>
    </w:p>
    <w:p>
      <w:pPr>
        <w:pStyle w:val="TableList"/>
      </w:pPr>
      <w:hyperlink w:anchor="v14_201" w:history="1">
        <w:r>
          <w:rPr>
            <w:rFonts w:ascii="Times New Roman" w:hAnsi="Times New Roman" w:eastAsia="Songti SC"/>
            <w:color w:val="000000"/>
            <w:sz w:val="22"/>
          </w:rPr>
          <w:t>表5-4 CDCP完整关系的源成员数分组（人工情景）</w:t>
        </w:r>
        <w:r>
          <w:rPr>
            <w:rFonts w:ascii="Times New Roman" w:hAnsi="Times New Roman" w:eastAsia="Songti SC"/>
            <w:color w:val="000000"/>
            <w:sz w:val="22"/>
          </w:rPr>
          <w:tab/>
          <w:t>63</w:t>
        </w:r>
      </w:hyperlink>
    </w:p>
    <w:p>
      <w:pPr>
        <w:pStyle w:val="TableList"/>
      </w:pPr>
      <w:hyperlink w:anchor="v14_202" w:history="1">
        <w:r>
          <w:rPr>
            <w:rFonts w:ascii="Times New Roman" w:hAnsi="Times New Roman" w:eastAsia="Songti SC"/>
            <w:color w:val="000000"/>
            <w:sz w:val="22"/>
          </w:rPr>
          <w:t>表5-5 相对共同起点的关系增量与在线额外时间（人工情景）</w:t>
        </w:r>
        <w:r>
          <w:rPr>
            <w:rFonts w:ascii="Times New Roman" w:hAnsi="Times New Roman" w:eastAsia="Songti SC"/>
            <w:color w:val="000000"/>
            <w:sz w:val="22"/>
          </w:rPr>
          <w:tab/>
          <w:t>64</w:t>
        </w:r>
      </w:hyperlink>
    </w:p>
    <w:p>
      <w:pPr>
        <w:pStyle w:val="TableList"/>
      </w:pPr>
      <w:hyperlink w:anchor="v14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71</w:t>
        </w:r>
      </w:hyperlink>
    </w:p>
    <w:p>
      <w:pPr>
        <w:pStyle w:val="TableList"/>
      </w:pPr>
      <w:hyperlink w:anchor="v14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72</w:t>
        </w:r>
      </w:hyperlink>
    </w:p>
    <w:p>
      <w:pPr>
        <w:pStyle w:val="TableList"/>
      </w:pPr>
      <w:hyperlink w:anchor="v14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77</w:t>
        </w:r>
      </w:hyperlink>
    </w:p>
    <w:p>
      <w:pPr>
        <w:pStyle w:val="TableList"/>
      </w:pPr>
      <w:hyperlink w:anchor="v14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83</w:t>
        </w:r>
      </w:hyperlink>
    </w:p>
    <w:p>
      <w:pPr>
        <w:pStyle w:val="TableList"/>
      </w:pPr>
      <w:hyperlink w:anchor="v14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83</w:t>
        </w:r>
      </w:hyperlink>
    </w:p>
    <w:p>
      <w:pPr>
        <w:pStyle w:val="TableList"/>
      </w:pPr>
      <w:hyperlink w:anchor="v14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84</w:t>
        </w:r>
      </w:hyperlink>
    </w:p>
    <w:p>
      <w:pPr>
        <w:pStyle w:val="TableList"/>
      </w:pPr>
      <w:hyperlink w:anchor="v14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84</w:t>
        </w:r>
      </w:hyperlink>
    </w:p>
    <w:p>
      <w:pPr>
        <w:pStyle w:val="TableList"/>
      </w:pPr>
      <w:hyperlink w:anchor="v14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85</w:t>
        </w:r>
      </w:hyperlink>
    </w:p>
    <w:p>
      <w:pPr>
        <w:pStyle w:val="TableList"/>
      </w:pPr>
      <w:hyperlink w:anchor="v14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85</w:t>
        </w:r>
      </w:hyperlink>
    </w:p>
    <w:p>
      <w:pPr>
        <w:pStyle w:val="TableList"/>
      </w:pPr>
      <w:hyperlink w:anchor="v14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85</w:t>
        </w:r>
      </w:hyperlink>
    </w:p>
    <w:p>
      <w:pPr>
        <w:pStyle w:val="TableList"/>
      </w:pPr>
      <w:hyperlink w:anchor="v14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86</w:t>
        </w:r>
      </w:hyperlink>
    </w:p>
    <w:p>
      <w:pPr>
        <w:pStyle w:val="TableList"/>
      </w:pPr>
      <w:hyperlink w:anchor="v14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87</w:t>
        </w:r>
      </w:hyperlink>
    </w:p>
    <w:p>
      <w:pPr>
        <w:pStyle w:val="TableList"/>
      </w:pPr>
      <w:hyperlink w:anchor="v14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88</w:t>
        </w:r>
      </w:hyperlink>
    </w:p>
    <w:p>
      <w:pPr>
        <w:pStyle w:val="TableList"/>
      </w:pPr>
      <w:hyperlink w:anchor="v14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90</w:t>
        </w:r>
      </w:hyperlink>
    </w:p>
    <w:p>
      <w:pPr>
        <w:pStyle w:val="TableList"/>
      </w:pPr>
      <w:hyperlink w:anchor="v14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91</w:t>
        </w:r>
      </w:hyperlink>
    </w:p>
    <w:p>
      <w:pPr>
        <w:pStyle w:val="TableList"/>
      </w:pPr>
      <w:hyperlink w:anchor="v14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92</w:t>
        </w:r>
      </w:hyperlink>
    </w:p>
    <w:p>
      <w:pPr>
        <w:pStyle w:val="TableList"/>
      </w:pPr>
      <w:hyperlink w:anchor="v14_219" w:history="1">
        <w:r>
          <w:rPr>
            <w:rFonts w:ascii="Times New Roman" w:hAnsi="Times New Roman" w:eastAsia="Songti SC"/>
            <w:color w:val="000000"/>
            <w:sz w:val="22"/>
          </w:rPr>
          <w:t>表H-1 固定尝试轨训练成本存档（人工情景）</w:t>
        </w:r>
        <w:r>
          <w:rPr>
            <w:rFonts w:ascii="Times New Roman" w:hAnsi="Times New Roman" w:eastAsia="Songti SC"/>
            <w:color w:val="000000"/>
            <w:sz w:val="22"/>
          </w:rPr>
          <w:tab/>
          <w:t>95</w:t>
        </w:r>
      </w:hyperlink>
    </w:p>
    <w:p>
      <w:pPr>
        <w:pStyle w:val="TableList"/>
      </w:pPr>
      <w:hyperlink w:anchor="v14_220" w:history="1">
        <w:r>
          <w:rPr>
            <w:rFonts w:ascii="Times New Roman" w:hAnsi="Times New Roman" w:eastAsia="Songti SC"/>
            <w:color w:val="000000"/>
            <w:sz w:val="22"/>
          </w:rPr>
          <w:t>表H-2 共同池的变化与覆盖诊断（指标演示的人工情景）</w:t>
        </w:r>
        <w:r>
          <w:rPr>
            <w:rFonts w:ascii="Times New Roman" w:hAnsi="Times New Roman" w:eastAsia="Songti SC"/>
            <w:color w:val="000000"/>
            <w:sz w:val="22"/>
          </w:rPr>
          <w:tab/>
          <w:t>97</w:t>
        </w:r>
      </w:hyperlink>
    </w:p>
    <w:p>
      <w:pPr>
        <w:pStyle w:val="TableList"/>
      </w:pPr>
      <w:hyperlink w:anchor="v14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98</w:t>
        </w:r>
      </w:hyperlink>
    </w:p>
    <w:p>
      <w:pPr>
        <w:pStyle w:val="TableList"/>
      </w:pPr>
      <w:hyperlink w:anchor="v14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99</w:t>
        </w:r>
      </w:hyperlink>
      <w:r>
        <w:fldChar w:fldCharType="end"/>
      </w:r>
    </w:p>
    <w:p>
      <w:pPr>
        <w:sectPr>
          <w:headerReference w:type="default" r:id="rId161"/>
          <w:footerReference w:type="default" r:id="rId16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4_12"/>
      <w:bookmarkEnd w:id="12"/>
    </w:p>
    <w:p>
      <w:pPr>
        <w:pStyle w:val="Heading2"/>
      </w:pPr>
      <w:r>
        <w:t>1.1 研究背景与问题提出</w:t>
      </w:r>
      <w:bookmarkStart w:id="13" w:name="v1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4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当前人工情景不建立真实问题发生率，诊断方案集中于附录H.1。</w:t>
      </w:r>
    </w:p>
    <w:p>
      <w:pPr>
        <w:pStyle w:val="Heading2"/>
      </w:pPr>
      <w:r>
        <w:t>1.2 国内外研究现状</w:t>
      </w:r>
      <w:bookmarkStart w:id="14" w:name="v1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4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4_165"/>
      <w:bookmarkEnd w:id="165"/>
    </w:p>
    <w:p>
      <w:pPr>
        <w:pStyle w:val="Heading3"/>
      </w:pPr>
      <w:r>
        <w:t>1.3.1 研究问题</w:t>
      </w:r>
      <w:bookmarkStart w:id="20" w:name="v14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4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4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4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训练完成后的在线配置选择展开。第六章总结两项设计及尚未完成的核心验证。</w:t>
      </w:r>
    </w:p>
    <w:p>
      <w:r>
        <w:rPr>
          <w:rFonts w:ascii="Times New Roman" w:hAnsi="Times New Roman" w:eastAsia="Songti SC"/>
          <w:color w:val="000000"/>
        </w:rPr>
        <w:t>附录A、B集中保存坐标、序列化、队列调度、日志字段与性质证明，附录C、D说明成果和构造材料，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4_25"/>
      <w:bookmarkEnd w:id="25"/>
    </w:p>
    <w:p>
      <w:pPr>
        <w:pStyle w:val="Heading3"/>
      </w:pPr>
      <w:r>
        <w:t>2.1.1 组件及二元关系</w:t>
      </w:r>
      <w:bookmarkStart w:id="26" w:name="v1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4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4_28"/>
      <w:bookmarkEnd w:id="28"/>
    </w:p>
    <w:p>
      <w:pPr>
        <w:pStyle w:val="Heading3"/>
      </w:pPr>
      <w:r>
        <w:t>2.2.1 语料约束与候选范围</w:t>
      </w:r>
      <w:bookmarkStart w:id="29" w:name="v1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正式运行前将按2.6节登记具体权重revision、分词器及环境；当前骨干名称仅为参考设置。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4_34"/>
      <w:bookmarkEnd w:id="34"/>
    </w:p>
    <w:p>
      <w:pPr>
        <w:pStyle w:val="Heading3"/>
      </w:pPr>
      <w:r>
        <w:t>2.6.1 数据划分与使用范围</w:t>
      </w:r>
      <w:bookmarkStart w:id="35" w:name="v1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4_36"/>
      <w:bookmarkEnd w:id="36"/>
    </w:p>
    <w:p>
      <w:r>
        <w:rPr>
          <w:rFonts w:ascii="Times New Roman" w:hAnsi="Times New Roman" w:eastAsia="Songti SC"/>
          <w:color w:val="000000"/>
        </w:rPr>
        <w:t>比较方案统一骨干、源文档分组与严格评价，方法间仅改变声明的增强条件、学习目标或修正策略。表2-2列出人工情景的参考设置与规模，不构成可执行配置；情景结果按语料、方法和种子关联，跨章复用同一记录。</w:t>
      </w:r>
    </w:p>
    <w:p>
      <w:pPr>
        <w:pStyle w:val="TableCaption"/>
      </w:pPr>
      <w:r>
        <w:rPr>
          <w:rFonts w:ascii="Times New Roman" w:hAnsi="Times New Roman" w:eastAsia="Songti SC"/>
          <w:color w:val="000000"/>
          <w:sz w:val="21"/>
        </w:rPr>
        <w:t>表2-2 公共配置与评价规模（人工情景）</w:t>
      </w:r>
      <w:bookmarkStart w:id="168" w:name="v14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正式运行前须冻结数据与折清单、各模型及分词器版本、生成与审核提示、采样参数、损失系数、校准方式、求解器和资源上限。当前增强模型、语义验证器、文本编码器、跨度头及评分器尚未绑定具体检查点；</w:t>
      </w:r>
      <m:oMath>
        <m:r>
          <m:t xml:space="preserve">ρ</m:t>
        </m:r>
      </m:oMath>
      <w:r>
        <w:rPr>
          <w:rFonts w:ascii="Times New Roman" w:hAnsi="Times New Roman" w:eastAsia="Songti SC"/>
          <w:color w:val="000000"/>
        </w:rPr>
        <w:t>、</w:t>
      </w:r>
      <m:oMath>
        <m:sSub>
          <m:e>
            <m:r>
              <m:t xml:space="preserve">λ</m:t>
            </m:r>
          </m:e>
          <m:sub>
            <m:r>
              <m:t xml:space="preserve">s</m:t>
            </m:r>
            <m:r>
              <m:t xml:space="preserve">u</m:t>
            </m:r>
            <m:r>
              <m:t xml:space="preserve">p</m:t>
            </m:r>
          </m:sub>
        </m:sSub>
      </m:oMath>
      <w:r>
        <w:rPr>
          <w:rFonts w:ascii="Times New Roman" w:hAnsi="Times New Roman" w:eastAsia="Songti SC"/>
          <w:color w:val="000000"/>
        </w:rPr>
        <w:t>、</w:t>
      </w:r>
      <m:oMath>
        <m:sSub>
          <m:e>
            <m:r>
              <m:t xml:space="preserve">λ</m:t>
            </m:r>
          </m:e>
          <m:sub>
            <m:r>
              <m:t xml:space="preserve">C</m:t>
            </m:r>
          </m:sub>
        </m:sSub>
      </m:oMath>
      <w:r>
        <w:rPr>
          <w:rFonts w:ascii="Times New Roman" w:hAnsi="Times New Roman" w:eastAsia="Songti SC"/>
          <w:color w:val="000000"/>
        </w:rPr>
        <w:t>、</w:t>
      </w:r>
      <m:oMath>
        <m:sSub>
          <m:e>
            <m:r>
              <m:t xml:space="preserve">λ</m:t>
            </m:r>
          </m:e>
          <m:sub>
            <m:r>
              <m:t xml:space="preserve">R</m:t>
            </m:r>
          </m:sub>
        </m:sSub>
      </m:oMath>
      <w:r>
        <w:rPr>
          <w:rFonts w:ascii="Times New Roman" w:hAnsi="Times New Roman" w:eastAsia="Songti SC"/>
          <w:color w:val="000000"/>
        </w:rPr>
        <w:t>的取值及选择方案也未登记。配套配置单列未绑定字段，表中参考值不代替实测环境。运行后按附录A关联配置、候选与逐文档计数，分开保存生成、评分和求解成本。</w:t>
      </w:r>
    </w:p>
    <w:p>
      <w:pPr>
        <w:pStyle w:val="Heading3"/>
      </w:pPr>
      <w:r>
        <w:t>2.6.3 统计分析与计算成本</w:t>
      </w:r>
      <w:bookmarkStart w:id="37" w:name="v14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正式运行前，训练侧将T-B的数据构造整体比较和T-E的同数据学习比较列为关键对照；推理侧以RelationOnly和单对象动作分别检验组件可变性与集合表达，以同目标全局ILP检验求解策略取舍。组件优先分步策略补充检验共同决策，其余消融和交互用于机制解释。各关键比较统一报告效应量、文档配对区间、错误代价和完整成本，不因现有人工材料只为部分比较提供区间而改变职责。</w:t>
      </w:r>
    </w:p>
    <w:p>
      <w:r>
        <w:rPr>
          <w:rFonts w:ascii="Times New Roman" w:hAnsi="Times New Roman" w:eastAsia="Songti SC"/>
          <w:color w:val="000000"/>
        </w:rPr>
        <w:t>局部与全局ILP先比较相同逐文档总求解预算，另以相同端到端时限评价部署条件；软件、线程、缓存条件和共同准备开销保持一致，大预算结果不自动视为最优。95%区间为固定三种子条件下逐比较的文档配对区间，未作多重比较校正；区间跨零不能解释为等效，也不以多个未校正区间共同确认全部机制。求解状态、成本及失败记录见附录H.3。</w:t>
      </w:r>
    </w:p>
    <w:p>
      <w:pPr>
        <w:pStyle w:val="Heading2"/>
      </w:pPr>
      <w:r>
        <w:t>2.7 训练与推理的接口</w:t>
      </w:r>
      <w:bookmarkStart w:id="38" w:name="v1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4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4_40"/>
      <w:bookmarkEnd w:id="40"/>
    </w:p>
    <w:p>
      <w:pPr>
        <w:pStyle w:val="Heading2"/>
      </w:pPr>
      <w:r>
        <w:t>3.1 引言</w:t>
      </w:r>
      <w:bookmarkStart w:id="41" w:name="v14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4_42"/>
      <w:bookmarkEnd w:id="42"/>
    </w:p>
    <w:p>
      <w:pPr>
        <w:pStyle w:val="Heading3"/>
      </w:pPr>
      <w:r>
        <w:t>3.2.1 类型条件低秩适配</w:t>
      </w:r>
      <w:bookmarkStart w:id="43" w:name="v14_43"/>
      <w:bookmarkEnd w:id="43"/>
    </w:p>
    <w:p>
      <w:r>
        <w:rPr>
          <w:rFonts w:ascii="Times New Roman" w:hAnsi="Times New Roman" w:eastAsia="Songti SC"/>
          <w:color w:val="000000"/>
        </w:rPr>
        <w:t xml:space="preserve">本节说明前期专项建模与新增学习目标的接口。参考骨干为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4_45"/>
      <w:bookmarkEnd w:id="45"/>
    </w:p>
    <w:p>
      <w:pPr>
        <w:pStyle w:val="Heading3"/>
      </w:pPr>
      <w:r>
        <w:t>3.3.1 改写区域与关系因素</w:t>
      </w:r>
      <w:bookmarkStart w:id="46" w:name="v1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4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4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4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正式运行须在训练侧预先登记系数候选范围与选择规则，经开发选择后冻结；本版未绑定的系数见2.6.2节，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4_53"/>
      <w:bookmarkEnd w:id="53"/>
    </w:p>
    <w:p>
      <w:pPr>
        <w:pStyle w:val="Heading3"/>
      </w:pPr>
      <w:r>
        <w:t>3.5.1 数据构造与参数学习</w:t>
      </w:r>
      <w:bookmarkStart w:id="54" w:name="v1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4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按源文档等频取训练批次；读取原文及其已接受视图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4_56"/>
      <w:bookmarkEnd w:id="56"/>
    </w:p>
    <w:p>
      <w:r>
        <w:rPr>
          <w:rFonts w:ascii="Times New Roman" w:hAnsi="Times New Roman" w:eastAsia="Songti SC"/>
          <w:color w:val="000000"/>
        </w:rPr>
        <w:t>本节数值、审计判断和成本为人工情景，用于展示比较与分析；正式结果须由对应原始文本和运行记录整体替换。</w:t>
      </w:r>
    </w:p>
    <w:p>
      <w:r>
        <w:rPr>
          <w:rFonts w:ascii="Times New Roman" w:hAnsi="Times New Roman" w:eastAsia="Songti SC"/>
          <w:color w:val="000000"/>
        </w:rPr>
        <w:t>本章以监督可靠性诊断为前提，按2.6.3预定的T-B、T-E分别评价数据构造整体及同数据学习增量；中心策略和过滤消融补充解释其条件。可靠性诊断关注改写后的标签，任务比较关注原始测试文本上的严格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4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4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普通增强的整体作用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4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接受样本的标签漂移率（%）（人工情景）</w:t>
      </w:r>
      <w:bookmarkStart w:id="175" w:name="v14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接受与拒绝样本的因素漂移审计（人工情景）</w:t>
      </w:r>
      <w:bookmarkStart w:id="176" w:name="v14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4_59"/>
      <w:bookmarkEnd w:id="59"/>
    </w:p>
    <w:p>
      <w:pPr>
        <w:pStyle w:val="TableCaption"/>
      </w:pPr>
      <w:r>
        <w:rPr>
          <w:rFonts w:ascii="Times New Roman" w:hAnsi="Times New Roman" w:eastAsia="Songti SC"/>
          <w:color w:val="000000"/>
          <w:sz w:val="21"/>
        </w:rPr>
        <w:t>表3-5 训练方案的严格抽取结果（匹配训练规模）（人工情景）</w:t>
      </w:r>
      <w:bookmarkStart w:id="177" w:name="v14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78.68±0.37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53.86±0.45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70.56±0.31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48.56±0.27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54.06±0.53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48.84±0.21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79.77±0.42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55.68±0.28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71.58±0.25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50.25±0.44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81.38±0.47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57.96±0.22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73.47±0.29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52.06±0.49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81.68±0.43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58.37±0.17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73.78±0.45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52.67±0.35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T1相对T0的严格关系F1分别增加7.32和7.21个百分点，这一总差值包含数据构造、头监督和成对学习。T-B中QOS式适配与完整增强均采用基础损失：对照表3-6首行，AAEC为55.68对57.47，CDCP为50.25对52.08，差值为1.79和1.83个百分点。该差值同时包含文本、接受源分布与源重加权，故解释为数据构造整体效应。过滤消融固定生成池与学习配置，仍可能改变接受覆盖；其情景差值也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相同增强集合上的学习目标比较（匹配训练规模）（人工情景）</w:t>
      </w:r>
      <w:bookmarkStart w:id="178" w:name="v14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80.78±0.32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57.47±0.48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72.87±0.42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52.08±0.33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81.56±0.02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58.65±0.62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73.47±0.65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55.25±0.34</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表3-6的三行使用完全相同的增强文本、来源权重和更新条件。增加头监督先建立组件与完整关系因素的输入表示；加入成对对齐后，AAEC与CDCP的关系F1分别再增加1.92和1.88个百分点，文档配对95%区间为[+1.17, +2.72]和[+0.81, +2.85]。因此，在这组相同数据的比较中，完整结果的提升同时包含数据构造、辅助监督和成对目标三部分，不能将总增量全部归给对齐项。</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训练方案与学习目标的严格关系结果（人工情景）</w:t>
      </w:r>
      <w:bookmarkStart w:id="179" w:name="v14_179"/>
      <w:bookmarkEnd w:id="179"/>
    </w:p>
    <w:p>
      <w:pPr>
        <w:pStyle w:val="Heading3"/>
      </w:pPr>
      <w:r>
        <w:t>3.6.4 中心选择与适用条件</w:t>
      </w:r>
      <w:bookmarkStart w:id="60" w:name="v14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中心匹配的有效覆盖与自匹配（人工情景）</w:t>
      </w:r>
      <w:bookmarkStart w:id="180" w:name="v14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结论中心与匹配随机中心的比较（匹配训练规模）（人工情景）</w:t>
      </w:r>
      <w:bookmarkStart w:id="181" w:name="v14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82.07±0.39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60.07±0.45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54.75±0.42</w:t>
            </w:r>
          </w:p>
        </w:tc>
      </w:tr>
    </w:tbl>
    <w:p>
      <w:pPr>
        <w:spacing w:after="0" w:line="240" w:lineRule="auto"/>
      </w:pPr>
    </w:p>
    <w:p>
      <w:r>
        <w:rPr>
          <w:rFonts w:ascii="Times New Roman" w:hAnsi="Times New Roman" w:eastAsia="Songti SC"/>
          <w:color w:val="000000"/>
        </w:rPr>
        <w:t>结论中心相对匹配随机中心的关系差值为AAEC 0.50、CDCP 0.51个百分点，配对95%区间分别为[-0.22, +1.19]、[-0.48, +1.47]。区间均含0，未建立稳定的结论中心优势，完整方案增量不能归因于中心角色。</w:t>
      </w:r>
    </w:p>
    <w:p>
      <w:pPr>
        <w:pStyle w:val="Heading3"/>
      </w:pPr>
      <w:r>
        <w:t>3.6.5 生成覆盖与计算成本</w:t>
      </w:r>
      <w:bookmarkStart w:id="61" w:name="v14_61"/>
      <w:bookmarkEnd w:id="61"/>
    </w:p>
    <w:p>
      <w:pPr>
        <w:pStyle w:val="TableCaption"/>
      </w:pPr>
      <w:r>
        <w:rPr>
          <w:rFonts w:ascii="Times New Roman" w:hAnsi="Times New Roman" w:eastAsia="Songti SC"/>
          <w:color w:val="000000"/>
          <w:sz w:val="21"/>
        </w:rPr>
        <w:t>表3-9 固定尝试预算下的覆盖与构造成本（人工情景）</w:t>
      </w:r>
      <w:bookmarkStart w:id="182" w:name="v14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4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2"/>
      </w:pPr>
      <w:r>
        <w:t>3.7 本章小结</w:t>
      </w:r>
      <w:bookmarkStart w:id="63" w:name="v14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真实语义风险、源选择偏移和训练增量仍需同源记录验证，现阶段不由低漂移或字面变化推定方法有效。</w:t>
      </w:r>
    </w:p>
    <w:p>
      <w:pPr>
        <w:pStyle w:val="Heading1"/>
      </w:pPr>
      <w:r>
        <w:t>第四章 多候选驱动的依赖闭合论辩图修正</w:t>
      </w:r>
      <w:bookmarkStart w:id="64" w:name="v14_64"/>
      <w:bookmarkEnd w:id="64"/>
    </w:p>
    <w:p>
      <w:pPr>
        <w:pStyle w:val="Heading2"/>
      </w:pPr>
      <w:r>
        <w:t>4.1 引言</w:t>
      </w:r>
      <w:bookmarkStart w:id="65" w:name="v14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当前材料没有真实错误分布，完整诊断方案见附录H.1。</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4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4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4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4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4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4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pStyle w:val="Heading3"/>
      </w:pPr>
      <w:r>
        <w:t>4.2.5 裁剪前规模与资源预检</w:t>
      </w:r>
      <w:bookmarkStart w:id="71" w:name="v14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4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4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4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4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4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7" w:name="v14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4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4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4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4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4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4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4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4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4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4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4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4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4_87"/>
      <w:bookmarkEnd w:id="87"/>
    </w:p>
    <w:p>
      <w:r>
        <w:rPr>
          <w:rFonts w:ascii="Times New Roman" w:hAnsi="Times New Roman" w:eastAsia="Songti SC"/>
          <w:color w:val="000000"/>
        </w:rPr>
        <w:t>本节表图和案例使用人工情景；求解状态、错误分布与真实延迟的新增诊断按附录H执行后另行报告。</w:t>
      </w:r>
    </w:p>
    <w:p>
      <w:r>
        <w:rPr>
          <w:rFonts w:ascii="Times New Roman" w:hAnsi="Times New Roman" w:eastAsia="Songti SC"/>
          <w:color w:val="000000"/>
        </w:rPr>
        <w:t>本章固定T1训练条件，以I0为共同起点，按2.6.3区分贡献检验与求解策略比较。RelationOnly和单对象动作直接检验组件可变性与集合表达，同目标全局ILP检验局部策略的采用价值，组件优先分步策略补充检验共同决策。组件及完整关系计数评价最终输出，覆盖、Oracle、对象评分和恢复风险解释增量来源。数学构造保留在方法说明与附录D，用于展示边界情形，不代替完整对照。</w:t>
      </w:r>
    </w:p>
    <w:p>
      <w:pPr>
        <w:pStyle w:val="Heading3"/>
      </w:pPr>
      <w:r>
        <w:t>4.6.1 推理协议与方法对照</w:t>
      </w:r>
      <w:bookmarkStart w:id="88" w:name="v14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4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4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4_89"/>
      <w:bookmarkEnd w:id="89"/>
    </w:p>
    <w:p>
      <w:pPr>
        <w:pStyle w:val="TableCaption"/>
      </w:pPr>
      <w:r>
        <w:rPr>
          <w:rFonts w:ascii="Times New Roman" w:hAnsi="Times New Roman" w:eastAsia="Songti SC"/>
          <w:color w:val="000000"/>
          <w:sz w:val="21"/>
        </w:rPr>
        <w:t>表4-3 推理方法的严格抽取结果（人工情景）</w:t>
      </w:r>
      <w:bookmarkStart w:id="189" w:name="v14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61.97±0.48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75.07±0.40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56.76±0.26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56.97±0.32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62.97±0.44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57.57±0.52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82.98±0.28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63.15±0.33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57.68±0.26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83.66±0.33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64.57±0.33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75.76±0.33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58.95±0.27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84.18±0.48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64.25±0.44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76.57±0.30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59.06±0.39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84.47±0.21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76.97±0.28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62.47±0.25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84.77±0.38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67.87±0.45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77.37±0.53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63.36±0.29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63.67±0.33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75.46±0.45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58.05±0.42</w:t>
            </w:r>
          </w:p>
        </w:tc>
      </w:tr>
    </w:tbl>
    <w:p>
      <w:pPr>
        <w:spacing w:after="0" w:line="240" w:lineRule="auto"/>
      </w:pPr>
    </w:p>
    <w:p>
      <w:r>
        <w:rPr>
          <w:rFonts w:ascii="Times New Roman" w:hAnsi="Times New Roman" w:eastAsia="Songti SC"/>
          <w:color w:val="000000"/>
        </w:rPr>
        <w:t>BR-J相对I0在AAEC和CDCP上的关系F1分别增加5.99和6.71个百分点。更直接的组件可变性对照是RelationOnly：BR-J的关系F1高3.59和4.39个百分点；相对单对象动作，高1.99和3.01个百分点。前一比较检验允许组件变化的联合修正，后一比较检验集合动作的额外表达范围，均需与编辑数量、误改及成本共同解释。当前两项关键比较仅给出人工均值差；正式运行须按2.6.3一并报告配对区间、错误代价和成本。本文不据现有差值确认真实端点错误上的收益，也不由对I0的总增量确认各机制均有必要。</w:t>
      </w:r>
    </w:p>
    <w:p>
      <w:r>
        <w:rPr>
          <w:rFonts w:ascii="Times New Roman" w:hAnsi="Times New Roman" w:eastAsia="Songti SC"/>
          <w:color w:val="000000"/>
        </w:rPr>
        <w:t>作为共同决策的补充比较，BR-J相对于组件优先分步策略的关系增量为3.41和4.28个百分点，文档配对95%区间分别为[+2.58, +4.16]和[+3.39, +5.14]。这些人工结果演示两种策略整体差异的报告方式。两者同时改变信息使用、接受条件和批内排序，因而结果不能单独识别纯执行顺序的因果作用。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4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从完整组件到完整关系的候选覆盖（人工情景）</w:t>
      </w:r>
      <w:bookmarkStart w:id="190" w:name="v14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三类恢复空间的关系计数诊断（人工情景）</w:t>
      </w:r>
      <w:bookmarkStart w:id="191" w:name="v14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4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完整对象评分的区分与校准（人工情景）</w:t>
      </w:r>
      <w:bookmarkStart w:id="192" w:name="v14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4_92"/>
      <w:bookmarkEnd w:id="92"/>
    </w:p>
    <w:p>
      <w:pPr>
        <w:pStyle w:val="TableCaption"/>
      </w:pPr>
      <w:r>
        <w:rPr>
          <w:rFonts w:ascii="Times New Roman" w:hAnsi="Times New Roman" w:eastAsia="Songti SC"/>
          <w:color w:val="000000"/>
          <w:sz w:val="21"/>
        </w:rPr>
        <w:t>表4-7 关系恢复与误改的累计计数（人工情景）</w:t>
      </w:r>
      <w:bookmarkStart w:id="193" w:name="v14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267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95.35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327</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97.06</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97.65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94.40</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144</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96.93</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97.20</w:t>
            </w:r>
          </w:p>
        </w:tc>
      </w:tr>
    </w:tbl>
    <w:p>
      <w:pPr>
        <w:spacing w:after="0" w:line="240" w:lineRule="auto"/>
      </w:pPr>
    </w:p>
    <w:p>
      <w:r>
        <w:rPr>
          <w:rFonts w:ascii="Times New Roman" w:hAnsi="Times New Roman" w:eastAsia="Songti SC"/>
          <w:color w:val="000000"/>
        </w:rPr>
        <w:t>表4-7累加三种子的关系对象变化，恢复为新增真阳性，损失为初始真阳性消失；FP移除与新增分别计数。BR-J在AAEC和CDCP保留了97.06%和96.93%的初始关系真阳性，高于本比较中的分步策略。尽管最终关系F1提高，仍有28和60个文档与种子配对的关系F1下降，分别占11.67%和13.51%。因此，分项代理门控制的是代理分量，不能保证每篇文档的真实指标非下降。</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联合修正中的关系恢复与原真阳性损失（人工情景）</w:t>
      </w:r>
      <w:bookmarkStart w:id="194" w:name="v14_194"/>
      <w:bookmarkEnd w:id="194"/>
    </w:p>
    <w:p>
      <w:pPr>
        <w:pStyle w:val="TableCaption"/>
      </w:pPr>
      <w:r>
        <w:rPr>
          <w:rFonts w:ascii="Times New Roman" w:hAnsi="Times New Roman" w:eastAsia="Songti SC"/>
          <w:color w:val="000000"/>
          <w:sz w:val="21"/>
        </w:rPr>
        <w:t>表4-8 推理成本与预算取舍（人工情景）</w:t>
      </w:r>
      <w:bookmarkStart w:id="195" w:name="v14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0.50个百分点，初始关系TP保留率也略低。因局部仍稍快，不能说被全局在所有维度严格支配；但该情景不支持突出的效率或安全优势。BR-J求解仅占总时间的5.00%和5.67%，主要成本仍在生成与评分。上述数值是设定成本下的算术关系，实际采用判断须按附录H.3同时测量准备、求解、失败与尾延迟。</w:t>
      </w:r>
    </w:p>
    <w:p>
      <w:pPr>
        <w:pStyle w:val="Heading3"/>
      </w:pPr>
      <w:r>
        <w:t>4.6.6 预算条件的分析示例</w:t>
      </w:r>
      <w:bookmarkStart w:id="93" w:name="v14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4_94"/>
      <w:bookmarkEnd w:id="94"/>
    </w:p>
    <w:p>
      <w:r>
        <w:rPr>
          <w:rFonts w:ascii="Times New Roman" w:hAnsi="Times New Roman" w:eastAsia="Songti SC"/>
          <w:color w:val="000000"/>
        </w:rPr>
        <w:t>表4-9仅以人工机制片段说明四种决策情形。真实同文档前后案例尚未取得，取例与复核要求见附录B.5及H.4。</w:t>
      </w:r>
    </w:p>
    <w:p>
      <w:pPr>
        <w:pStyle w:val="TableCaption"/>
      </w:pPr>
      <w:r>
        <w:rPr>
          <w:rFonts w:ascii="Times New Roman" w:hAnsi="Times New Roman" w:eastAsia="Songti SC"/>
          <w:color w:val="000000"/>
          <w:sz w:val="21"/>
        </w:rPr>
        <w:t>表4-9 结构恢复与失败案例（人工情景）</w:t>
      </w:r>
      <w:bookmarkStart w:id="196" w:name="v14_196"/>
      <w:bookmarkEnd w:id="19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2835"/>
        <w:gridCol w:w="2409"/>
        <w:gridCol w:w="2409"/>
      </w:tblGrid>
      <w:tr>
        <w:trPr>
          <w:cantSplit/>
          <w:tblHeader/>
        </w:trPr>
        <w:tc>
          <w:tcPr>
            <w:tcW w:type="dxa" w:w="124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类别</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原文及金标要点</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初始状态与候选</w:t>
            </w:r>
          </w:p>
        </w:tc>
        <w:tc>
          <w:tcPr>
            <w:tcW w:type="dxa" w:w="240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决策与解释</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拆分恢复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library needs more seats. It should also stay open later.”包含两个主张</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初始将两句合成一个组件；池中保留两个独立跨度</w:t>
            </w:r>
          </w:p>
        </w:tc>
        <w:tc>
          <w:tcPr>
            <w:tcW w:type="dxa" w:w="240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拆为两个兼容组件，并重建各自入关系；共同提交避免沿用旧端点</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错误接受</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“More seats may help, but longer hours alone will not solve crowding.”含模态与否定</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候选错误地赋予后半句肯定支持关系；对象分偏高</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联合代理门通过但严格关系变差，体现评分偏差的影响</w:t>
            </w:r>
          </w:p>
        </w:tc>
      </w:tr>
      <w:tr>
        <w:trPr>
          <w:cantSplit/>
        </w:trPr>
        <w:tc>
          <w:tcPr>
            <w:tcW w:type="dxa" w:w="124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错误拒绝</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“The schedule is too short to serve evening students.”支持延时开放</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正确替代跨度和关系均在池中，关系对象分偏低</w:t>
            </w:r>
          </w:p>
        </w:tc>
        <w:tc>
          <w:tcPr>
            <w:tcW w:type="dxa" w:w="240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组件增益不能补偿关系代理下降，分项门拒绝真实有益提议</w:t>
            </w:r>
          </w:p>
        </w:tc>
      </w:tr>
      <w:tr>
        <w:trPr>
          <w:cantSplit/>
        </w:trPr>
        <w:tc>
          <w:tcPr>
            <w:tcW w:type="dxa" w:w="124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候选限制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“Staffing is limited. Buses stop early. Lighting is unsafe.”三条前提共同支持“The library should close early.”</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一个正确源跨度被裁剪，无法形成完整关系对象</w:t>
            </w:r>
          </w:p>
        </w:tc>
        <w:tc>
          <w:tcPr>
            <w:tcW w:type="dxa" w:w="240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扩大当前事务时间仍不能恢复，需在候选构造层处理</w:t>
            </w:r>
          </w:p>
        </w:tc>
      </w:tr>
    </w:tbl>
    <w:p>
      <w:pPr>
        <w:spacing w:after="0" w:line="240" w:lineRule="auto"/>
      </w:pPr>
    </w:p>
    <w:p>
      <w:r>
        <w:rPr>
          <w:rFonts w:ascii="Times New Roman" w:hAnsi="Times New Roman" w:eastAsia="Songti SC"/>
          <w:color w:val="000000"/>
        </w:rPr>
        <w:t>四类片段分别说明动作表达、评分偏差、接受门和候选限制；真实频率与误改风险由总体运行记录评价。</w:t>
      </w:r>
    </w:p>
    <w:p>
      <w:pPr>
        <w:pStyle w:val="Heading2"/>
      </w:pPr>
      <w:r>
        <w:t>4.7 本章小结</w:t>
      </w:r>
      <w:bookmarkStart w:id="95" w:name="v14_95"/>
      <w:bookmarkEnd w:id="95"/>
    </w:p>
    <w:p>
      <w:r>
        <w:rPr>
          <w:rFonts w:ascii="Times New Roman" w:hAnsi="Times New Roman" w:eastAsia="Songti SC"/>
          <w:color w:val="000000"/>
        </w:rPr>
        <w:t>本章将组件集合替换、完整依赖重建与共同接受组织为结构恢复事务，处理逐个组件修改无法完整评价关系影响的问题。集合动作扩展可表达的修改范围；固定评分下的差值与终止性质说明规约边界，不保证真实F1或全局最优。</w:t>
      </w:r>
    </w:p>
    <w:p>
      <w:r>
        <w:rPr>
          <w:rFonts w:ascii="Times New Roman" w:hAnsi="Times New Roman" w:eastAsia="Songti SC"/>
          <w:color w:val="000000"/>
        </w:rPr>
        <w:t>评价围绕RelationOnly、单对象动作和同目标全局求解展开，分别检验组件可变性、集合表达及所付成本。现有人工计数展示了比较口径，不能确定真实采用条件。预算函数留作附录中的条件分析，外部系统比较仍待按附录G接入；第五章继续讨论同批四格输出能回答和不能回答的问题。</w:t>
      </w:r>
    </w:p>
    <w:p>
      <w:pPr>
        <w:pStyle w:val="Heading1"/>
      </w:pPr>
      <w:r>
        <w:t>第五章 两阶段框架的综合分析</w:t>
      </w:r>
      <w:bookmarkStart w:id="96" w:name="v14_96"/>
      <w:bookmarkEnd w:id="96"/>
    </w:p>
    <w:p>
      <w:r>
        <w:rPr>
          <w:rFonts w:ascii="Times New Roman" w:hAnsi="Times New Roman" w:eastAsia="Songti SC"/>
          <w:color w:val="000000"/>
        </w:rPr>
        <w:t>本章复用同一批四格人工计数，依次讨论组合增量、对象作用的可识别性，以及训练完成后各配置的在线质量与时间取舍。统计口径的变化不另计为研究发现；对象补全仅作为附录H.8的非唯一性示例，不充当模型输出。</w:t>
      </w:r>
    </w:p>
    <w:p>
      <w:pPr>
        <w:pStyle w:val="Heading2"/>
      </w:pPr>
      <w:r>
        <w:t>5.1 两阶段的条件增量</w:t>
      </w:r>
      <w:bookmarkStart w:id="97" w:name="v14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两阶段组合的四格结果（人工情景）</w:t>
      </w:r>
      <w:bookmarkStart w:id="197" w:name="v14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82.37±0.26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74.56±0.50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55.25±0.34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80.77±0.51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59.87±0.35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54.35±0.40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84.17±0.51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76.57±0.42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61.96±0.51</w:t>
            </w:r>
          </w:p>
        </w:tc>
      </w:tr>
    </w:tbl>
    <w:p>
      <w:pPr>
        <w:spacing w:after="0" w:line="240" w:lineRule="auto"/>
      </w:pPr>
    </w:p>
    <w:p>
      <w:r>
        <w:rPr>
          <w:rFonts w:ascii="Times New Roman" w:hAnsi="Times New Roman" w:eastAsia="Songti SC"/>
          <w:color w:val="000000"/>
        </w:rPr>
        <w:t>完整组合相对T0＋I0的关系增量为13.31和13.92个百分点。令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条件增量与交互差（人工情景）</w:t>
      </w:r>
      <w:bookmarkStart w:id="198" w:name="v14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+0.40</w:t>
            </w:r>
          </w:p>
        </w:tc>
      </w:tr>
    </w:tbl>
    <w:p>
      <w:pPr>
        <w:spacing w:after="0" w:line="240" w:lineRule="auto"/>
      </w:pPr>
    </w:p>
    <w:p>
      <w:r>
        <w:rPr>
          <w:rFonts w:ascii="Times New Roman" w:hAnsi="Times New Roman" w:eastAsia="Songti SC"/>
          <w:color w:val="000000"/>
        </w:rPr>
        <w:t>AAEC关系交互差为−0.64，配对95%区间为[−1.71, +0.41]；CDCP为+0.40，区间为[−1.01, +1.80]。两者均包含0，因此组合增量与稳定超加性应分别判断。AAEC组件交互为负，与收益重叠相容，但不能据此确定两阶段改变的是哪些对象。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两个训练条件下的推理增量与交互关系（人工情景）</w:t>
      </w:r>
      <w:bookmarkStart w:id="199" w:name="v14_199"/>
      <w:bookmarkEnd w:id="199"/>
    </w:p>
    <w:p>
      <w:pPr>
        <w:pStyle w:val="Heading2"/>
      </w:pPr>
      <w:r>
        <w:t>5.2 对象作用与聚合成绩的解释边界</w:t>
      </w:r>
      <w:bookmarkStart w:id="98" w:name="v14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四格比较的净错误计数变化（人工情景）</w:t>
      </w:r>
      <w:bookmarkStart w:id="200" w:name="v14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+211／-202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+130／-126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+90／-89</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+274／-250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+248／-225</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+224／-208</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+203／-193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+115／-110</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+201／-179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+176／-156</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+187／-171</w:t>
            </w:r>
          </w:p>
        </w:tc>
      </w:tr>
    </w:tbl>
    <w:p>
      <w:pPr>
        <w:spacing w:after="0" w:line="240" w:lineRule="auto"/>
      </w:pPr>
    </w:p>
    <w:p>
      <w:r>
        <w:rPr>
          <w:rFonts w:ascii="Times New Roman" w:hAnsi="Times New Roman" w:eastAsia="Songti SC"/>
          <w:color w:val="000000"/>
        </w:rPr>
        <w:t>AAEC在T1下修正的关系净TP增加224，小于T0下的248；CDCP则为187与176。训练后剩余修正空间并非在两个语料上同幅度收缩。表4-7中BR-J的恢复与损失分别为289−65、233−46，恰好对应上述净增量；图4-3保留两类数量，第五章不重复绘制同一风险。</w:t>
      </w:r>
    </w:p>
    <w:p>
      <w:r>
        <w:rPr>
          <w:rFonts w:ascii="Times New Roman" w:hAnsi="Times New Roman" w:eastAsia="Songti SC"/>
          <w:color w:val="000000"/>
        </w:rPr>
        <w:t>上述净变化不确定共同修复、独有修复或损害的对象身份。同一组四格TP、FP、FN可对应不同的新增对象交集；附录H.8在保持四格成绩及T1到组合风险计数不变时构造不同重叠，说明这一不可识别性。正式分析需从同文档预测中对齐原文坐标、类型及完整关系键，才能报告具体改对或改错了什么。</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CDCP完整关系的源成员数分组（人工情景）</w:t>
      </w:r>
      <w:bookmarkStart w:id="201" w:name="v14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60.50±0.98</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59.28±1.11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66.32±0.58</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49.73±2.69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49.10±0.56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56.92±1.07</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38.99±5.35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39.40±3.84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49.95±3.86</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训练完成后的在线配置取舍</w:t>
      </w:r>
      <w:bookmarkStart w:id="99" w:name="v14_99"/>
      <w:bookmarkEnd w:id="99"/>
    </w:p>
    <w:p>
      <w:r>
        <w:rPr>
          <w:rFonts w:ascii="Times New Roman" w:hAnsi="Times New Roman" w:eastAsia="Songti SC"/>
          <w:color w:val="000000"/>
        </w:rPr>
        <w:t>本节在训练投入已经发生的条件下，比较各配置的关系F1与在线平均时间。表5-5给出相对T0＋I0的情景增量，AAEC和CDCP共同起点分别为17.00秒和22.00秒；一次性训练投入、服务量及摊销阈值不属于本表的分析范围。</w:t>
      </w:r>
    </w:p>
    <w:p>
      <w:pPr>
        <w:pStyle w:val="TableCaption"/>
      </w:pPr>
      <w:r>
        <w:rPr>
          <w:rFonts w:ascii="Times New Roman" w:hAnsi="Times New Roman" w:eastAsia="Songti SC"/>
          <w:color w:val="000000"/>
          <w:sz w:val="21"/>
        </w:rPr>
        <w:t>表5-5 相对共同起点的关系增量与在线额外时间（人工情景）</w:t>
      </w:r>
      <w:bookmarkStart w:id="202" w:name="v14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+13.31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+13.92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在这一条件下，T1＋I0的关系F1高于T0＋I1，在线平均时间也更短：AAEC高0.70个百分点、少13.00秒，CDCP高0.90个百分点、少21.16秒。该排序以相应训练检查点已经可用为前提；尚需重训、需评估训练摊销或现有模型必须冻结时，本表不能直接给出总体选择。</w:t>
      </w:r>
    </w:p>
    <w:p>
      <w:r>
        <w:rPr>
          <w:rFonts w:ascii="Times New Roman" w:hAnsi="Times New Roman" w:eastAsia="Songti SC"/>
          <w:color w:val="000000"/>
        </w:rPr>
        <w:t>在T1上增加I1，关系F1的情景增量为5.99和6.71个百分点，在线时间增加14.00秒和22.16秒，并仍可能误改。是否采用组合应结合目标错误、质量收益与在线代价判断；实际部署还须按4.6.5—4.6.6节检查尾延迟、失败及局部和全局求解取舍。</w:t>
      </w:r>
    </w:p>
    <w:p>
      <w:pPr>
        <w:pStyle w:val="Heading2"/>
      </w:pPr>
      <w:r>
        <w:t>5.4 本章小结</w:t>
      </w:r>
      <w:bookmarkStart w:id="100" w:name="v14_100"/>
      <w:bookmarkEnd w:id="100"/>
    </w:p>
    <w:p>
      <w:r>
        <w:rPr>
          <w:rFonts w:ascii="Times New Roman" w:hAnsi="Times New Roman" w:eastAsia="Songti SC"/>
          <w:color w:val="000000"/>
        </w:rPr>
        <w:t>四格比较把组合总增量分解为给定另一阶段时的条件变化，净计数和源成员分组进一步限定这些变化能解释的范围；它们尚未识别同一对象上的修复重叠或作用路径。本章配置比较仅回答训练完成后的在线取舍，不推算训练投入的摊销条件。这三个问题共同规定综合分析的职责，正式结果须来自同批可追溯输出，不由相容对象补全代替独立发现。</w:t>
      </w:r>
    </w:p>
    <w:p>
      <w:pPr>
        <w:pStyle w:val="Heading1"/>
      </w:pPr>
      <w:r>
        <w:t>第六章 总结与展望</w:t>
      </w:r>
      <w:bookmarkStart w:id="101" w:name="v14_101"/>
      <w:bookmarkEnd w:id="101"/>
    </w:p>
    <w:p>
      <w:pPr>
        <w:pStyle w:val="Heading2"/>
      </w:pPr>
      <w:r>
        <w:t>6.1 研究总结</w:t>
      </w:r>
      <w:bookmarkStart w:id="102" w:name="v14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当前材料尚未验证真实漂移规模及学习收益。</w:t>
      </w:r>
    </w:p>
    <w:p>
      <w:r>
        <w:rPr>
          <w:rFonts w:ascii="Times New Roman" w:hAnsi="Times New Roman" w:eastAsia="Songti SC"/>
          <w:color w:val="000000"/>
        </w:rPr>
        <w:t>第二项设计把兼容组件集合替换和全部受影响关系重建作为完整事务，以固定对象分、整图约束和预算共同决定提交。RelationOnly和单对象动作是组件可变性与集合表达的关键对照，同目标全局求解检验资源取舍，分步策略补充分析共同决策。数学构造说明动作和决策边界，人工成绩展示比较口径；局部与全局的真实优先级尚未确定，允许依据运行结果简化求解设计。</w:t>
      </w:r>
    </w:p>
    <w:p>
      <w:r>
        <w:rPr>
          <w:rFonts w:ascii="Times New Roman" w:hAnsi="Times New Roman" w:eastAsia="Songti SC"/>
          <w:color w:val="000000"/>
        </w:rPr>
        <w:t>两阶段综合分析使用四格条件增量，并在训练投入已经发生的前提下讨论在线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4_103"/>
      <w:bookmarkEnd w:id="103"/>
    </w:p>
    <w:p>
      <w:r>
        <w:rPr>
          <w:rFonts w:ascii="Times New Roman" w:hAnsi="Times New Roman" w:eastAsia="Songti SC"/>
          <w:color w:val="000000"/>
        </w:rPr>
        <w:t>现有主成绩、审计判断和成本均为人工情景，未完成真实语料训练、语义审阅及求解比较。主成绩、模板筛选、预算函数和对象补全使用不同生成机制；它们分别演示评价、指标阅读、条件分析和不可识别性，不组成已闭合的研究证据链。正文不再使用具名外部方法的假想成绩。</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4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4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pStyle w:val="Heading1"/>
      </w:pPr>
      <w:r>
        <w:t>附录A 数据处理与复现协议</w:t>
      </w:r>
      <w:bookmarkStart w:id="106" w:name="v14_106"/>
      <w:bookmarkEnd w:id="106"/>
    </w:p>
    <w:p>
      <w:pPr>
        <w:pStyle w:val="Heading2"/>
      </w:pPr>
      <w:r>
        <w:t>A.1 坐标与结构数据</w:t>
      </w:r>
      <w:bookmarkStart w:id="107" w:name="v14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4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4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4_109"/>
      <w:bookmarkEnd w:id="109"/>
    </w:p>
    <w:p>
      <w:pPr>
        <w:spacing w:line="380" w:lineRule="exact"/>
      </w:pPr>
      <w:r>
        <w:rPr>
          <w:rFonts w:ascii="Times New Roman" w:hAnsi="Times New Roman" w:eastAsia="Songti SC"/>
          <w:color w:val="000000"/>
          <w:sz w:val="22"/>
        </w:rPr>
        <w:t>本文主比较范围为英文AAEC和CDCP。ORCHID面向中文辩论的目标无关立场检测和论辩对话摘要[28]，IAM整合多项论辩挖掘任务并使用英文资源[29]。二者可用于认识论辩任务的资源差异，但不直接替代从原文定位组件并预测关系的同协议测试，本文不据此外推中文或多语言结论。</w:t>
      </w:r>
    </w:p>
    <w:p>
      <w:pPr>
        <w:pStyle w:val="Heading2"/>
      </w:pPr>
      <w:r>
        <w:t>A.4 本版参考规约与配置身份</w:t>
      </w:r>
      <w:bookmarkStart w:id="110" w:name="v14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方法配置身份沿用1010-v1-global-review；文稿版本为1010-v6，单独登记，不表示重新运行实验或更改方法配置。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4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4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pStyle w:val="Heading2"/>
      </w:pPr>
      <w:r>
        <w:t>A.6 序列化、坐标与候选构造细则</w:t>
      </w:r>
      <w:bookmarkStart w:id="112" w:name="v14_112"/>
      <w:bookmarkEnd w:id="112"/>
    </w:p>
    <w:p>
      <w:pPr>
        <w:spacing w:line="38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8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8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8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8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4_113"/>
      <w:bookmarkEnd w:id="113"/>
    </w:p>
    <w:p>
      <w:pPr>
        <w:pStyle w:val="Heading2"/>
      </w:pPr>
      <w:r>
        <w:t>B.1 数据与模型身份</w:t>
      </w:r>
      <w:bookmarkStart w:id="114" w:name="v14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4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4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4_117"/>
      <w:bookmarkEnd w:id="117"/>
    </w:p>
    <w:p>
      <w:pPr>
        <w:pStyle w:val="Heading3"/>
      </w:pPr>
      <w:r>
        <w:t>B.4.1 已执行的构造检查</w:t>
      </w:r>
      <w:bookmarkStart w:id="118" w:name="v14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4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4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4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4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4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4_123"/>
      <w:bookmarkEnd w:id="123"/>
    </w:p>
    <w:p>
      <w:pPr>
        <w:pStyle w:val="Heading2"/>
      </w:pPr>
      <w:r>
        <w:t>C.1 前期共同成果</w:t>
      </w:r>
      <w:bookmarkStart w:id="124" w:name="v14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4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4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4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4_128"/>
      <w:bookmarkEnd w:id="128"/>
    </w:p>
    <w:p>
      <w:pPr>
        <w:pStyle w:val="Heading2"/>
      </w:pPr>
      <w:r>
        <w:t>D.1 前期结果的使用范围</w:t>
      </w:r>
      <w:bookmarkStart w:id="129" w:name="v14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4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4_131"/>
      <w:bookmarkEnd w:id="131"/>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2"/>
      </w:pPr>
      <w:r>
        <w:t>D.4 本版构造验证及复算入口</w:t>
      </w:r>
      <w:bookmarkStart w:id="132" w:name="v14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4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4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1"/>
      </w:pPr>
      <w:r>
        <w:t>附录E 前期数值与协议存档</w:t>
      </w:r>
      <w:bookmarkStart w:id="135" w:name="v14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4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4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4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4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4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4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4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4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4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4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4_141"/>
      <w:bookmarkEnd w:id="141"/>
    </w:p>
    <w:p>
      <w:pPr>
        <w:pStyle w:val="TableCaption"/>
        <w:spacing w:line="380" w:lineRule="exact"/>
      </w:pPr>
      <w:r>
        <w:rPr>
          <w:rFonts w:ascii="Times New Roman" w:hAnsi="Times New Roman" w:eastAsia="Songti SC"/>
          <w:color w:val="000000"/>
          <w:sz w:val="21"/>
        </w:rPr>
        <w:t>表E-6 ICIC原版Oracle记录</w:t>
      </w:r>
      <w:bookmarkStart w:id="211" w:name="v14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4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4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4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4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4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4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4_145"/>
      <w:bookmarkEnd w:id="145"/>
    </w:p>
    <w:p>
      <w:pPr>
        <w:pStyle w:val="Heading2"/>
      </w:pPr>
      <w:r>
        <w:t>F.1 核心术语与符号</w:t>
      </w:r>
      <w:bookmarkStart w:id="146" w:name="v14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4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4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4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4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5.1至5.3条件增量、对象边界与在线配置选择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4_149"/>
      <w:bookmarkEnd w:id="149"/>
    </w:p>
    <w:p>
      <w:pPr>
        <w:pStyle w:val="Heading2"/>
      </w:pPr>
      <w:r>
        <w:t>G.1 检索范围与方法选择</w:t>
      </w:r>
      <w:bookmarkStart w:id="150" w:name="v14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Anthology、论文原文、arXiv作者版本与论文所指向的公开仓库。表G-1记录纳入考虑的方法类别，检索目的为建立可执行的比较范围，未据此作穷尽性新颖性或“首次”判断。原论文成绩不并入本版人工情景主表。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4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4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；前次资料核查未取得可检查的仓库内容，因此仅确认论文所载地址，不标记环境可运行。QOS／DOS的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所列分类任务用于说明输入边界。AASP、ARGUS的既有记录以原文方法为限，不将未检查的代码写成已复现。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待填，不使用人工分数代替。GMAM、DENIM和动作模型仅作必要补充，QOS式适配不替代端到端外部对照。</w:t>
      </w:r>
    </w:p>
    <w:p>
      <w:pPr>
        <w:pStyle w:val="Heading2"/>
      </w:pPr>
      <w:r>
        <w:t>G.3 QOS式适配与本方法的差异</w:t>
      </w:r>
      <w:bookmarkStart w:id="152" w:name="v14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4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4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4_154"/>
      <w:bookmarkEnd w:id="154"/>
    </w:p>
    <w:p>
      <w:pPr>
        <w:pStyle w:val="Heading2"/>
      </w:pPr>
      <w:r>
        <w:t>H.1 训练侧问题规模与初始错误的诊断设计</w:t>
      </w:r>
      <w:bookmarkStart w:id="155" w:name="v14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4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固定尝试轨训练成本存档（人工情景）</w:t>
      </w:r>
      <w:bookmarkStart w:id="219" w:name="v14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4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4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w:t>
      </w:r>
    </w:p>
    <w:p>
      <w:pPr>
        <w:pStyle w:val="Heading2"/>
      </w:pPr>
      <w:r>
        <w:t>H.5 模拟结果后的实证替换顺序</w:t>
      </w:r>
      <w:bookmarkStart w:id="159" w:name="v14_159"/>
      <w:bookmarkEnd w:id="159"/>
    </w:p>
    <w:p>
      <w:pPr>
        <w:spacing w:line="380" w:lineRule="exact"/>
      </w:pPr>
      <w:r>
        <w:rPr>
          <w:rFonts w:ascii="Times New Roman" w:hAnsi="Times New Roman" w:eastAsia="Songti SC"/>
          <w:color w:val="000000"/>
          <w:sz w:val="22"/>
        </w:rPr>
        <w:t>核心验证仍未完成。第一阶段在固定的少量真实文档上复核监督漂移、端点相关错误、候选覆盖及裁剪前成本，保留来源、分层和全部失败记录；先确认复杂机制所针对的问题是否实际存在，再决定设计是否保留。模板和成本示例不提供该判断，结果不足时允许收缩主张或简化机制。</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当前不在三者中预先定案，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按2.6.3完成关键比较：T-B固定学习目标比较增强构造，T-E固定增强集合比较学习项；推理侧用RelationOnly、单对象动作和同目标全局ILP分别检验修改范围与求解取舍，分步策略作为补充。同时完成至少一个可解释的原生外部系统对照及共同条件下的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第三阶段复用同一批输出，形成至少一项对象级综合认识及少量同文档真实前后案例，再以结果替换诊断方案。若第五章仍缺独立内容，压缩相应小节；不以更多集合定义代替发现。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4_160"/>
      <w:bookmarkEnd w:id="160"/>
    </w:p>
    <w:p>
      <w:pPr>
        <w:spacing w:line="380" w:lineRule="exact"/>
      </w:pPr>
      <w:r>
        <w:rPr>
          <w:rFonts w:ascii="Times New Roman" w:hAnsi="Times New Roman" w:eastAsia="Songti SC"/>
          <w:color w:val="000000"/>
          <w:sz w:val="22"/>
        </w:rPr>
        <w:t>本节只演示怎样并列阅读变化、漂移与覆盖，不检验真实语义审核器。材料沿用SIM-1010-V4：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共同池的变化与覆盖诊断（指标演示的人工情景）</w:t>
      </w:r>
      <w:bookmarkStart w:id="220" w:name="v14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4_161"/>
      <w:bookmarkEnd w:id="161"/>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4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4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4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4_162"/>
      <w:bookmarkEnd w:id="162"/>
    </w:p>
    <w:p>
      <w:pPr>
        <w:spacing w:line="380" w:lineRule="exact"/>
      </w:pPr>
      <w:r>
        <w:rPr>
          <w:rFonts w:ascii="Times New Roman" w:hAnsi="Times New Roman" w:eastAsia="Songti SC"/>
          <w:color w:val="000000"/>
          <w:sz w:val="22"/>
        </w:rPr>
        <w:t>既有object_memberships.json为684个文档种子记录赋予抽象关系键，匹配原四格未分组TP、FP、FN及T1到组合的风险总量。坐标、类型与端点均由程序构造，未重建完整组件预测图，也未约束源成员数分组；该文件作为统计程序输入保留，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本版核验程序独立构造上述最小与最大交集，逐项检查计数及风险不变；它验证非唯一性这一构造结论，不新增模型运行。正式第五章应从同批四格实际输出对齐对象，保留原文、预测身份和具体改动，再判断重叠、损害或作用路径，不要求预先满足某种互补比例。</w:t>
      </w:r>
    </w:p>
    <w:sectPr>
      <w:headerReference w:type="default" r:id="rId163"/>
      <w:footerReference w:type="default" r:id="rId16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1010-v6</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1010-v6</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 Id="rId161" Type="http://schemas.openxmlformats.org/officeDocument/2006/relationships/header" Target="header31.xml"/><Relationship Id="rId162" Type="http://schemas.openxmlformats.org/officeDocument/2006/relationships/footer" Target="footer31.xml"/><Relationship Id="rId163" Type="http://schemas.openxmlformats.org/officeDocument/2006/relationships/header" Target="header32.xml"/><Relationship Id="rId164" Type="http://schemas.openxmlformats.org/officeDocument/2006/relationships/footer" Target="footer3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1010-v6 模拟数据演示稿；模拟身份见封面、摘要与实验表图</dc:subject>
  <dc:creator>Chen Tang</dc:creator>
  <cp:keywords>模拟数据演示稿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