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spacing w:before="300"/>
        <w:ind w:firstLine="0"/>
        <w:jc w:val="center"/>
      </w:pPr>
      <w:r>
        <w:t>Chen Tang</w:t>
      </w:r>
    </w:p>
    <w:p>
      <w:pPr>
        <w:spacing w:before="300"/>
        <w:ind w:firstLine="0"/>
        <w:jc w:val="center"/>
      </w:pPr>
      <w:r>
        <w:t>计算机科学与技术</w:t>
      </w:r>
    </w:p>
    <w:p>
      <w:pPr>
        <w:spacing w:before="300"/>
        <w:ind w:firstLine="0"/>
        <w:jc w:val="center"/>
      </w:pPr>
      <w:r>
        <w:rPr>
          <w:rFonts w:ascii="Times New Roman" w:hAnsi="Times New Roman" w:eastAsia="Songti SC"/>
          <w:b/>
          <w:color w:val="000000"/>
          <w:sz w:val="24"/>
        </w:rPr>
        <w:t>1010-v7 估算演示版</w:t>
      </w:r>
    </w:p>
    <w:p>
      <w:pPr>
        <w:spacing w:before="300"/>
        <w:ind w:firstLine="0"/>
        <w:jc w:val="center"/>
      </w:pPr>
      <w:r>
        <w:rPr>
          <w:rFonts w:ascii="Times New Roman" w:hAnsi="Times New Roman" w:eastAsia="Songti SC"/>
          <w:color w:val="000000"/>
        </w:rPr>
        <w:t>2026年10月</w:t>
      </w:r>
    </w:p>
    <w:p>
      <w:pPr>
        <w:keepLines/>
        <w:spacing w:before="440" w:after="0" w:line="320" w:lineRule="exact"/>
        <w:ind w:firstLine="0"/>
      </w:pPr>
      <w:r>
        <w:rPr>
          <w:rFonts w:ascii="Times New Roman" w:hAnsi="Times New Roman" w:eastAsia="Songti SC"/>
          <w:color w:val="000000"/>
          <w:sz w:val="20"/>
        </w:rPr>
        <w:t>稿件说明：本稿为估算演示版。正文主结果由明确假设的目标值生成计数，并统一复算表图、差值与区间，不代表真实实验记录或经验证的效果预测。附录D.2—D.3引用已保存的CPU轻量诊断，附录E保留前期存档，两者均不替代新增方法实验。附录H.6—H.8保留独立旧情景；本版假设与压力条件见H.5。正式稿须以同口径实测材料整体替换。</w:t>
      </w:r>
    </w:p>
    <w:p>
      <w:pPr>
        <w:pStyle w:val="Subtitle"/>
        <w:pageBreakBefore/>
        <w:spacing w:before="1500" w:after="300"/>
        <w:jc w:val="center"/>
      </w:pPr>
      <w:r>
        <w:rPr>
          <w:rFonts w:ascii="Times New Roman" w:hAnsi="Times New Roman" w:eastAsia="Songti SC"/>
          <w:b/>
          <w:color w:val="000000"/>
          <w:sz w:val="44"/>
        </w:rPr>
        <w:t>Wuhan University</w:t>
      </w:r>
    </w:p>
    <w:p>
      <w:pPr>
        <w:pStyle w:val="Subtitle"/>
        <w:jc w:val="center"/>
      </w:pPr>
      <w:r>
        <w:rPr>
          <w:rFonts w:ascii="Times New Roman" w:hAnsi="Times New Roman" w:eastAsia="Songti SC"/>
          <w:color w:val="000000"/>
          <w:sz w:val="36"/>
        </w:rPr>
        <w:t>Academic Master's Thesis</w:t>
      </w:r>
    </w:p>
    <w:p>
      <w:pPr>
        <w:pStyle w:val="Title"/>
        <w:spacing w:before="1100" w:after="900"/>
        <w:jc w:val="center"/>
      </w:pPr>
      <w:r>
        <w:rPr>
          <w:rFonts w:ascii="Times New Roman" w:hAnsi="Times New Roman" w:eastAsia="Songti SC"/>
          <w:b/>
          <w:color w:val="000000"/>
          <w:sz w:val="40"/>
        </w:rPr>
        <w:t>End-to-End Argument Mining via</w:t>
        <w:br/>
        <w:t>Relation-Aware Learning and</w:t>
        <w:br/>
        <w:t>Dependency-Closed Repair</w:t>
      </w:r>
    </w:p>
    <w:p>
      <w:pPr>
        <w:spacing w:before="360"/>
        <w:ind w:firstLine="0"/>
        <w:jc w:val="center"/>
      </w:pPr>
      <w:r>
        <w:rPr>
          <w:rFonts w:ascii="Times New Roman" w:hAnsi="Times New Roman" w:eastAsia="Songti SC"/>
          <w:color w:val="000000"/>
          <w:sz w:val="28"/>
        </w:rPr>
        <w:t>Chen Tang</w:t>
      </w:r>
    </w:p>
    <w:p>
      <w:pPr>
        <w:spacing w:before="360"/>
        <w:ind w:firstLine="0"/>
        <w:jc w:val="center"/>
      </w:pPr>
      <w:r>
        <w:rPr>
          <w:rFonts w:ascii="Times New Roman" w:hAnsi="Times New Roman" w:eastAsia="Songti SC"/>
          <w:color w:val="000000"/>
          <w:sz w:val="28"/>
        </w:rPr>
        <w:t>Computer Science and Technology</w:t>
      </w:r>
    </w:p>
    <w:p>
      <w:pPr>
        <w:spacing w:before="360"/>
        <w:ind w:firstLine="0"/>
        <w:jc w:val="center"/>
      </w:pPr>
      <w:r>
        <w:rPr>
          <w:rFonts w:ascii="Times New Roman" w:hAnsi="Times New Roman" w:eastAsia="Songti SC"/>
          <w:color w:val="000000"/>
          <w:sz w:val="28"/>
        </w:rPr>
        <w:t>October 2026</w:t>
      </w:r>
    </w:p>
    <w:p>
      <w:pPr>
        <w:sectPr>
          <w:headerReference w:type="default" r:id="rId46"/>
          <w:footerReference w:type="default" r:id="rId47"/>
          <w:pgSz w:w="11906" w:h="16838"/>
          <w:pgMar w:top="1417" w:right="1417" w:bottom="1417" w:left="1587" w:header="737" w:footer="737" w:gutter="0"/>
          <w:cols w:space="720"/>
        </w:sectPr>
      </w:pPr>
    </w:p>
    <w:p>
      <w:pPr>
        <w:pStyle w:val="FrontContents"/>
        <w:pageBreakBefore w:val="0"/>
      </w:pPr>
      <w:r>
        <w:t>摘要</w:t>
      </w:r>
      <w:bookmarkStart w:id="10" w:name="v14_10"/>
      <w:bookmarkEnd w:id="10"/>
    </w:p>
    <w:p>
      <w:r>
        <w:rPr>
          <w:rFonts w:ascii="Times New Roman" w:hAnsi="Times New Roman" w:eastAsia="Songti SC"/>
          <w:color w:val="000000"/>
        </w:rPr>
        <w:t>端到端论辩挖掘从原始文本中识别论辩组件及其关系，为分析观点与理由之间的组织方式提供结构化表示。组件与关系之间的依赖贯穿训练和推理过程：训练文本的局部改写可能改变原有论证作用，使继承标注失真；预测组件的跨度或类型发生变化，也会使关联关系的端点失效。围绕这两类问题，本文在前期结论组件专项建模、多候选重排序与有界修正研究基础上，分别研究训练阶段的关系监督保持与推理阶段的结构恢复。</w:t>
      </w:r>
    </w:p>
    <w:p>
      <w:r>
        <w:rPr>
          <w:rFonts w:ascii="Times New Roman" w:hAnsi="Times New Roman" w:eastAsia="Songti SC"/>
          <w:color w:val="000000"/>
        </w:rPr>
        <w:t>针对局部改写后的监督保持问题，提出关系影响域约束的增强与成对学习方法。该方法按组件端点依赖确定改写的关系影响域，同时检查集合内部与跨边界组合的已有关系及无关系状态。通过标注迁移建立原文与增强文的对应，在筛选合格的文本对上联合学习组件和关系因素，使增强数据构造与生成模型的学习目标相衔接。</w:t>
      </w:r>
    </w:p>
    <w:p>
      <w:r>
        <w:rPr>
          <w:rFonts w:ascii="Times New Roman" w:hAnsi="Times New Roman" w:eastAsia="Songti SC"/>
          <w:color w:val="000000"/>
        </w:rPr>
        <w:t>针对组件修改后的结构恢复问题，提出多候选驱动的依赖闭合论辩图修正方法。该方法保持输入原文不变，将组件集合替换及全部受影响关系的重建组织为一个事务，依据完整对象评分、整图约束和编辑预算整体接受或回退。集合替换可表示遗漏补回、多检删除、边界与类型调整以及拆分合并；固定评分下的局部效用分析与有界执行明确了决策和停止条件。</w:t>
      </w:r>
    </w:p>
    <w:p>
      <w:r>
        <w:rPr>
          <w:rFonts w:ascii="Times New Roman" w:hAnsi="Times New Roman" w:eastAsia="Songti SC"/>
          <w:color w:val="000000"/>
        </w:rPr>
        <w:t>本版采用AAEC与CDCP规模的假设计数形成估算演示，不代表真实模型实验。训练侧以数据构造整体及同数据学习增量为关键比较，分别固定基础损失或增强集合；推理侧以RelationOnly和单对象动作检验组件可变性与集合表达，以同目标全局求解判断资源取舍，分步策略补充检验共同决策。给定人工计数，成对项的关系F1增量为1.21／1.22个百分点，BR-J相对固定组件RelationOnly的增量为2.31／2.60个百分点；这些数字只展示对应比较的解释口径。两阶段四格用于分析条件增量，以及训练完成后的在线质量与时间取舍；聚合成绩尚不能确定对象重叠。真实监督漂移、端点错误分布及方法运行仍待验证，局部与全局求解的采用优先级尚未确定。</w:t>
      </w:r>
    </w:p>
    <w:p>
      <w:pPr>
        <w:ind w:firstLine="0"/>
      </w:pPr>
      <w:r>
        <w:rPr>
          <w:rFonts w:ascii="Times New Roman" w:hAnsi="Times New Roman" w:eastAsia="Songti SC"/>
          <w:color w:val="000000"/>
          <w:sz w:val="22"/>
        </w:rPr>
        <w:t>关键词：端到端论辩挖掘；关系影响域；成对学习；依赖闭合；图修正；结构化预测</w:t>
      </w:r>
    </w:p>
    <w:p>
      <w:pPr>
        <w:pStyle w:val="FrontContents"/>
      </w:pPr>
      <w:r>
        <w:t>Abstract</w:t>
      </w:r>
      <w:bookmarkStart w:id="11" w:name="v14_11"/>
      <w:bookmarkEnd w:id="11"/>
    </w:p>
    <w:p>
      <w:pPr>
        <w:spacing w:line="320" w:lineRule="exact" w:after="100"/>
      </w:pPr>
      <w:r>
        <w:rPr>
          <w:rFonts w:ascii="Times New Roman" w:hAnsi="Times New Roman" w:eastAsia="Songti SC"/>
          <w:color w:val="000000"/>
        </w:rPr>
        <w:t>End-to-end argument mining identifies argumentative components and their relations directly from raw text. Dependencies between components and relations create two related problems. During training, a local paraphrase may alter the argumentative role of a component and invalidate inherited labels. During inference, changing a predicted span or type may invalidate the endpoints of associated relations. Building on prior work on conclusion-specific modeling, multi-candidate reranking, and bounded repair, this thesis studies supervision preservation during training and structural recovery during inference.</w:t>
      </w:r>
    </w:p>
    <w:p>
      <w:pPr>
        <w:spacing w:line="320" w:lineRule="exact" w:after="100"/>
      </w:pPr>
      <w:r>
        <w:rPr>
          <w:rFonts w:ascii="Times New Roman" w:hAnsi="Times New Roman" w:eastAsia="Songti SC"/>
          <w:color w:val="000000"/>
        </w:rPr>
        <w:t>The first method combines relation-domain-constrained augmentation with paired factor learning. It defines an affected relation domain from component dependencies and checks both annotated relations and no-relation states within and across the editable set. Annotation transfer establishes correspondences between original and augmented documents. Paired component and relation learning then connects accepted text variations to the shared generation representation.</w:t>
      </w:r>
    </w:p>
    <w:p>
      <w:pPr>
        <w:spacing w:line="320" w:lineRule="exact" w:after="100"/>
      </w:pPr>
      <w:r>
        <w:rPr>
          <w:rFonts w:ascii="Times New Roman" w:hAnsi="Times New Roman" w:eastAsia="Songti SC"/>
          <w:color w:val="000000"/>
        </w:rPr>
        <w:t>The second method is dependency-closed argument graph repair driven by multiple candidates. It leaves the input text unchanged and combines compatible component-set replacement with reconstruction of all affected relations. Each proposed transaction is accepted or rolled back as a whole under complete-object scores, global structural constraints, and explicit editing budgets. Set replacement represents insertion, deletion, span or type changes, splitting, and merging. Conditional analysis characterizes local utility differences and bounded execution without guaranteeing improvement in true extraction F1.</w:t>
      </w:r>
    </w:p>
    <w:p>
      <w:pPr>
        <w:spacing w:line="320" w:lineRule="exact" w:after="100"/>
      </w:pPr>
      <w:r>
        <w:rPr>
          <w:rFonts w:ascii="Times New Roman" w:hAnsi="Times New Roman" w:eastAsia="Songti SC"/>
          <w:color w:val="000000"/>
        </w:rPr>
        <w:t>Explicitly assumed counts at AAEC and CDCP scales illustrate hypothetical outcomes, not empirical model performance or validated forecasts. Key training comparisons examine the overall data-construction effect under a fixed base loss and learning increments on the same augmented set. For inference, RelationOnly and single-object controls test component changes and set-level expressiveness, while same-objective global optimization tests resource tradeoffs. A sequential strategy provides a supplementary comparison of joint decision-making. Under the assigned counts, paired learning adds 1.21/1.22 relation F1 points, while BR-J exceeds fixed-component RelationOnly by 2.31/2.60 points; these values illustrate the interpretation of the respective comparisons. A four-cell analysis examines conditional gains and online quality–time tradeoffs after training costs have been incurred; aggregate scores do not identify object overlap. Actual supervision drift, endpoint-related errors and method performance remain to be tested, and the choice between local and global solving is unresolved.</w:t>
      </w:r>
    </w:p>
    <w:p>
      <w:pPr>
        <w:spacing w:line="320" w:lineRule="exact" w:after="100"/>
        <w:ind w:firstLine="0"/>
      </w:pPr>
      <w:r>
        <w:rPr>
          <w:rFonts w:ascii="Times New Roman" w:hAnsi="Times New Roman" w:eastAsia="Songti SC"/>
          <w:color w:val="000000"/>
          <w:sz w:val="22"/>
        </w:rPr>
        <w:t>Keywords: End-to-End Argument Mining; Affected Relation Domain; Paired Learning; Dependency Closure; Graph Repair; Structured Prediction</w:t>
      </w:r>
    </w:p>
    <w:p>
      <w:pPr>
        <w:pStyle w:val="FrontHeading"/>
      </w:pPr>
      <w:r>
        <w:t>目录</w:t>
      </w:r>
    </w:p>
    <w:p>
      <w:pPr>
        <w:pStyle w:val="TOC1"/>
        <w:keepNext/>
        <w:spacing w:before="120"/>
      </w:pPr>
      <w:r>
        <w:fldChar w:fldCharType="begin"/>
      </w:r>
      <w:r>
        <w:instrText xml:space="preserve"> TOC \o "1-3" \h \z \t "Front Contents,1" </w:instrText>
      </w:r>
      <w:r>
        <w:fldChar w:fldCharType="separate"/>
      </w:r>
      <w:hyperlink w:anchor="v14_10" w:history="1">
        <w:r>
          <w:rPr>
            <w:rFonts w:ascii="Times New Roman" w:hAnsi="Times New Roman" w:eastAsia="Songti SC"/>
            <w:color w:val="000000"/>
            <w:sz w:val="22"/>
          </w:rPr>
          <w:t>摘要</w:t>
        </w:r>
        <w:r>
          <w:rPr>
            <w:rFonts w:ascii="Times New Roman" w:hAnsi="Times New Roman" w:eastAsia="Songti SC"/>
            <w:color w:val="000000"/>
            <w:sz w:val="22"/>
          </w:rPr>
          <w:tab/>
          <w:t>I</w:t>
        </w:r>
      </w:hyperlink>
    </w:p>
    <w:p>
      <w:pPr>
        <w:pStyle w:val="TOC1"/>
        <w:keepNext/>
        <w:spacing w:before="120"/>
      </w:pPr>
      <w:hyperlink w:anchor="v14_11" w:history="1">
        <w:r>
          <w:rPr>
            <w:rFonts w:ascii="Times New Roman" w:hAnsi="Times New Roman" w:eastAsia="Songti SC"/>
            <w:color w:val="000000"/>
            <w:sz w:val="22"/>
          </w:rPr>
          <w:t>Abstract</w:t>
        </w:r>
        <w:r>
          <w:rPr>
            <w:rFonts w:ascii="Times New Roman" w:hAnsi="Times New Roman" w:eastAsia="Songti SC"/>
            <w:color w:val="000000"/>
            <w:sz w:val="22"/>
          </w:rPr>
          <w:tab/>
          <w:t>II</w:t>
        </w:r>
      </w:hyperlink>
    </w:p>
    <w:p>
      <w:pPr>
        <w:pStyle w:val="TOC1"/>
        <w:keepNext/>
        <w:spacing w:before="120"/>
      </w:pPr>
      <w:hyperlink w:anchor="v14_12" w:history="1">
        <w:r>
          <w:rPr>
            <w:rFonts w:ascii="Times New Roman" w:hAnsi="Times New Roman" w:eastAsia="Songti SC"/>
            <w:color w:val="000000"/>
            <w:sz w:val="22"/>
          </w:rPr>
          <w:t>第一章 绪论</w:t>
        </w:r>
        <w:r>
          <w:rPr>
            <w:rFonts w:ascii="Times New Roman" w:hAnsi="Times New Roman" w:eastAsia="Songti SC"/>
            <w:color w:val="000000"/>
            <w:sz w:val="22"/>
          </w:rPr>
          <w:tab/>
          <w:t>1</w:t>
        </w:r>
      </w:hyperlink>
    </w:p>
    <w:p>
      <w:pPr>
        <w:pStyle w:val="TOC2"/>
      </w:pPr>
      <w:hyperlink w:anchor="v14_13" w:history="1">
        <w:r>
          <w:rPr>
            <w:rFonts w:ascii="Times New Roman" w:hAnsi="Times New Roman" w:eastAsia="Songti SC"/>
            <w:color w:val="000000"/>
            <w:sz w:val="22"/>
          </w:rPr>
          <w:t>1.1 研究背景与问题提出</w:t>
        </w:r>
        <w:r>
          <w:rPr>
            <w:rFonts w:ascii="Times New Roman" w:hAnsi="Times New Roman" w:eastAsia="Songti SC"/>
            <w:color w:val="000000"/>
            <w:sz w:val="22"/>
          </w:rPr>
          <w:tab/>
          <w:t>1</w:t>
        </w:r>
      </w:hyperlink>
    </w:p>
    <w:p>
      <w:pPr>
        <w:pStyle w:val="TOC2"/>
      </w:pPr>
      <w:hyperlink w:anchor="v14_14" w:history="1">
        <w:r>
          <w:rPr>
            <w:rFonts w:ascii="Times New Roman" w:hAnsi="Times New Roman" w:eastAsia="Songti SC"/>
            <w:color w:val="000000"/>
            <w:sz w:val="22"/>
          </w:rPr>
          <w:t>1.2 国内外研究现状</w:t>
        </w:r>
        <w:r>
          <w:rPr>
            <w:rFonts w:ascii="Times New Roman" w:hAnsi="Times New Roman" w:eastAsia="Songti SC"/>
            <w:color w:val="000000"/>
            <w:sz w:val="22"/>
          </w:rPr>
          <w:tab/>
          <w:t>2</w:t>
        </w:r>
      </w:hyperlink>
    </w:p>
    <w:p>
      <w:pPr>
        <w:pStyle w:val="TOC3"/>
      </w:pPr>
      <w:hyperlink w:anchor="v14_15" w:history="1">
        <w:r>
          <w:rPr>
            <w:rFonts w:ascii="Times New Roman" w:hAnsi="Times New Roman" w:eastAsia="Songti SC"/>
            <w:color w:val="000000"/>
            <w:sz w:val="22"/>
          </w:rPr>
          <w:t>1.2.1 端到端论辩挖掘与生成建模</w:t>
        </w:r>
        <w:r>
          <w:rPr>
            <w:rFonts w:ascii="Times New Roman" w:hAnsi="Times New Roman" w:eastAsia="Songti SC"/>
            <w:color w:val="000000"/>
            <w:sz w:val="22"/>
          </w:rPr>
          <w:tab/>
          <w:t>2</w:t>
        </w:r>
      </w:hyperlink>
    </w:p>
    <w:p>
      <w:pPr>
        <w:pStyle w:val="TOC3"/>
      </w:pPr>
      <w:hyperlink w:anchor="v14_16" w:history="1">
        <w:r>
          <w:rPr>
            <w:rFonts w:ascii="Times New Roman" w:hAnsi="Times New Roman" w:eastAsia="Songti SC"/>
            <w:color w:val="000000"/>
            <w:sz w:val="22"/>
          </w:rPr>
          <w:t>1.2.2 关系保持数据增强</w:t>
        </w:r>
        <w:r>
          <w:rPr>
            <w:rFonts w:ascii="Times New Roman" w:hAnsi="Times New Roman" w:eastAsia="Songti SC"/>
            <w:color w:val="000000"/>
            <w:sz w:val="22"/>
          </w:rPr>
          <w:tab/>
          <w:t>3</w:t>
        </w:r>
      </w:hyperlink>
    </w:p>
    <w:p>
      <w:pPr>
        <w:pStyle w:val="TOC3"/>
      </w:pPr>
      <w:hyperlink w:anchor="v14_17" w:history="1">
        <w:r>
          <w:rPr>
            <w:rFonts w:ascii="Times New Roman" w:hAnsi="Times New Roman" w:eastAsia="Songti SC"/>
            <w:color w:val="000000"/>
            <w:sz w:val="22"/>
          </w:rPr>
          <w:t>1.2.3 结构化预测与论辩图修正</w:t>
        </w:r>
        <w:r>
          <w:rPr>
            <w:rFonts w:ascii="Times New Roman" w:hAnsi="Times New Roman" w:eastAsia="Songti SC"/>
            <w:color w:val="000000"/>
            <w:sz w:val="22"/>
          </w:rPr>
          <w:tab/>
          <w:t>4</w:t>
        </w:r>
      </w:hyperlink>
    </w:p>
    <w:p>
      <w:pPr>
        <w:pStyle w:val="TOC3"/>
      </w:pPr>
      <w:hyperlink w:anchor="v14_18" w:history="1">
        <w:r>
          <w:rPr>
            <w:rFonts w:ascii="Times New Roman" w:hAnsi="Times New Roman" w:eastAsia="Songti SC"/>
            <w:color w:val="000000"/>
            <w:sz w:val="22"/>
          </w:rPr>
          <w:t>1.2.4 综合评述与本文研究位置</w:t>
        </w:r>
        <w:r>
          <w:rPr>
            <w:rFonts w:ascii="Times New Roman" w:hAnsi="Times New Roman" w:eastAsia="Songti SC"/>
            <w:color w:val="000000"/>
            <w:sz w:val="22"/>
          </w:rPr>
          <w:tab/>
          <w:t>5</w:t>
        </w:r>
      </w:hyperlink>
    </w:p>
    <w:p>
      <w:pPr>
        <w:pStyle w:val="TOC2"/>
      </w:pPr>
      <w:hyperlink w:anchor="v14_19" w:history="1">
        <w:r>
          <w:rPr>
            <w:rFonts w:ascii="Times New Roman" w:hAnsi="Times New Roman" w:eastAsia="Songti SC"/>
            <w:color w:val="000000"/>
            <w:sz w:val="22"/>
          </w:rPr>
          <w:t>1.3 研究问题与主要研究工作</w:t>
        </w:r>
        <w:r>
          <w:rPr>
            <w:rFonts w:ascii="Times New Roman" w:hAnsi="Times New Roman" w:eastAsia="Songti SC"/>
            <w:color w:val="000000"/>
            <w:sz w:val="22"/>
          </w:rPr>
          <w:tab/>
          <w:t>6</w:t>
        </w:r>
      </w:hyperlink>
    </w:p>
    <w:p>
      <w:pPr>
        <w:pStyle w:val="TOC3"/>
      </w:pPr>
      <w:hyperlink w:anchor="v14_20" w:history="1">
        <w:r>
          <w:rPr>
            <w:rFonts w:ascii="Times New Roman" w:hAnsi="Times New Roman" w:eastAsia="Songti SC"/>
            <w:color w:val="000000"/>
            <w:sz w:val="22"/>
          </w:rPr>
          <w:t>1.3.1 研究问题</w:t>
        </w:r>
        <w:r>
          <w:rPr>
            <w:rFonts w:ascii="Times New Roman" w:hAnsi="Times New Roman" w:eastAsia="Songti SC"/>
            <w:color w:val="000000"/>
            <w:sz w:val="22"/>
          </w:rPr>
          <w:tab/>
          <w:t>6</w:t>
        </w:r>
      </w:hyperlink>
    </w:p>
    <w:p>
      <w:pPr>
        <w:pStyle w:val="TOC3"/>
      </w:pPr>
      <w:hyperlink w:anchor="v14_21" w:history="1">
        <w:r>
          <w:rPr>
            <w:rFonts w:ascii="Times New Roman" w:hAnsi="Times New Roman" w:eastAsia="Songti SC"/>
            <w:color w:val="000000"/>
            <w:sz w:val="22"/>
          </w:rPr>
          <w:t>1.3.2 主要研究内容</w:t>
        </w:r>
        <w:r>
          <w:rPr>
            <w:rFonts w:ascii="Times New Roman" w:hAnsi="Times New Roman" w:eastAsia="Songti SC"/>
            <w:color w:val="000000"/>
            <w:sz w:val="22"/>
          </w:rPr>
          <w:tab/>
          <w:t>7</w:t>
        </w:r>
      </w:hyperlink>
    </w:p>
    <w:p>
      <w:pPr>
        <w:pStyle w:val="TOC3"/>
      </w:pPr>
      <w:hyperlink w:anchor="v14_22" w:history="1">
        <w:r>
          <w:rPr>
            <w:rFonts w:ascii="Times New Roman" w:hAnsi="Times New Roman" w:eastAsia="Songti SC"/>
            <w:color w:val="000000"/>
            <w:sz w:val="22"/>
          </w:rPr>
          <w:t>1.3.3 前期成果与本论文的关系</w:t>
        </w:r>
        <w:r>
          <w:rPr>
            <w:rFonts w:ascii="Times New Roman" w:hAnsi="Times New Roman" w:eastAsia="Songti SC"/>
            <w:color w:val="000000"/>
            <w:sz w:val="22"/>
          </w:rPr>
          <w:tab/>
          <w:t>7</w:t>
        </w:r>
      </w:hyperlink>
    </w:p>
    <w:p>
      <w:pPr>
        <w:pStyle w:val="TOC2"/>
      </w:pPr>
      <w:hyperlink w:anchor="v14_23" w:history="1">
        <w:r>
          <w:rPr>
            <w:rFonts w:ascii="Times New Roman" w:hAnsi="Times New Roman" w:eastAsia="Songti SC"/>
            <w:color w:val="000000"/>
            <w:sz w:val="22"/>
          </w:rPr>
          <w:t>1.4 论文组织结构</w:t>
        </w:r>
        <w:r>
          <w:rPr>
            <w:rFonts w:ascii="Times New Roman" w:hAnsi="Times New Roman" w:eastAsia="Songti SC"/>
            <w:color w:val="000000"/>
            <w:sz w:val="22"/>
          </w:rPr>
          <w:tab/>
          <w:t>8</w:t>
        </w:r>
      </w:hyperlink>
    </w:p>
    <w:p>
      <w:pPr>
        <w:pStyle w:val="TOC1"/>
        <w:keepNext/>
        <w:spacing w:before="120"/>
      </w:pPr>
      <w:hyperlink w:anchor="v14_24" w:history="1">
        <w:r>
          <w:rPr>
            <w:rFonts w:ascii="Times New Roman" w:hAnsi="Times New Roman" w:eastAsia="Songti SC"/>
            <w:color w:val="000000"/>
            <w:sz w:val="22"/>
          </w:rPr>
          <w:t>第二章 任务表示与方法基础</w:t>
        </w:r>
        <w:r>
          <w:rPr>
            <w:rFonts w:ascii="Times New Roman" w:hAnsi="Times New Roman" w:eastAsia="Songti SC"/>
            <w:color w:val="000000"/>
            <w:sz w:val="22"/>
          </w:rPr>
          <w:tab/>
          <w:t>9</w:t>
        </w:r>
      </w:hyperlink>
    </w:p>
    <w:p>
      <w:pPr>
        <w:pStyle w:val="TOC2"/>
      </w:pPr>
      <w:hyperlink w:anchor="v14_25" w:history="1">
        <w:r>
          <w:rPr>
            <w:rFonts w:ascii="Times New Roman" w:hAnsi="Times New Roman" w:eastAsia="Songti SC"/>
            <w:color w:val="000000"/>
            <w:sz w:val="22"/>
          </w:rPr>
          <w:t>2.1 论辩组件与关系表示</w:t>
        </w:r>
        <w:r>
          <w:rPr>
            <w:rFonts w:ascii="Times New Roman" w:hAnsi="Times New Roman" w:eastAsia="Songti SC"/>
            <w:color w:val="000000"/>
            <w:sz w:val="22"/>
          </w:rPr>
          <w:tab/>
          <w:t>9</w:t>
        </w:r>
      </w:hyperlink>
    </w:p>
    <w:p>
      <w:pPr>
        <w:pStyle w:val="TOC3"/>
      </w:pPr>
      <w:hyperlink w:anchor="v14_26" w:history="1">
        <w:r>
          <w:rPr>
            <w:rFonts w:ascii="Times New Roman" w:hAnsi="Times New Roman" w:eastAsia="Songti SC"/>
            <w:color w:val="000000"/>
            <w:sz w:val="22"/>
          </w:rPr>
          <w:t>2.1.1 组件及二元关系</w:t>
        </w:r>
        <w:r>
          <w:rPr>
            <w:rFonts w:ascii="Times New Roman" w:hAnsi="Times New Roman" w:eastAsia="Songti SC"/>
            <w:color w:val="000000"/>
            <w:sz w:val="22"/>
          </w:rPr>
          <w:tab/>
          <w:t>9</w:t>
        </w:r>
      </w:hyperlink>
    </w:p>
    <w:p>
      <w:pPr>
        <w:pStyle w:val="TOC3"/>
      </w:pPr>
      <w:hyperlink w:anchor="v14_27" w:history="1">
        <w:r>
          <w:rPr>
            <w:rFonts w:ascii="Times New Roman" w:hAnsi="Times New Roman" w:eastAsia="Songti SC"/>
            <w:color w:val="000000"/>
            <w:sz w:val="22"/>
          </w:rPr>
          <w:t>2.1.2 多前提关系与任务边界</w:t>
        </w:r>
        <w:r>
          <w:rPr>
            <w:rFonts w:ascii="Times New Roman" w:hAnsi="Times New Roman" w:eastAsia="Songti SC"/>
            <w:color w:val="000000"/>
            <w:sz w:val="22"/>
          </w:rPr>
          <w:tab/>
          <w:t>9</w:t>
        </w:r>
      </w:hyperlink>
    </w:p>
    <w:p>
      <w:pPr>
        <w:pStyle w:val="TOC2"/>
      </w:pPr>
      <w:hyperlink w:anchor="v14_28" w:history="1">
        <w:r>
          <w:rPr>
            <w:rFonts w:ascii="Times New Roman" w:hAnsi="Times New Roman" w:eastAsia="Songti SC"/>
            <w:color w:val="000000"/>
            <w:sz w:val="22"/>
          </w:rPr>
          <w:t>2.2 合法结构与对象身份</w:t>
        </w:r>
        <w:r>
          <w:rPr>
            <w:rFonts w:ascii="Times New Roman" w:hAnsi="Times New Roman" w:eastAsia="Songti SC"/>
            <w:color w:val="000000"/>
            <w:sz w:val="22"/>
          </w:rPr>
          <w:tab/>
          <w:t>10</w:t>
        </w:r>
      </w:hyperlink>
    </w:p>
    <w:p>
      <w:pPr>
        <w:pStyle w:val="TOC3"/>
      </w:pPr>
      <w:hyperlink w:anchor="v14_29" w:history="1">
        <w:r>
          <w:rPr>
            <w:rFonts w:ascii="Times New Roman" w:hAnsi="Times New Roman" w:eastAsia="Songti SC"/>
            <w:color w:val="000000"/>
            <w:sz w:val="22"/>
          </w:rPr>
          <w:t>2.2.1 语料约束与候选范围</w:t>
        </w:r>
        <w:r>
          <w:rPr>
            <w:rFonts w:ascii="Times New Roman" w:hAnsi="Times New Roman" w:eastAsia="Songti SC"/>
            <w:color w:val="000000"/>
            <w:sz w:val="22"/>
          </w:rPr>
          <w:tab/>
          <w:t>10</w:t>
        </w:r>
      </w:hyperlink>
    </w:p>
    <w:p>
      <w:pPr>
        <w:pStyle w:val="TOC3"/>
      </w:pPr>
      <w:hyperlink w:anchor="v14_30" w:history="1">
        <w:r>
          <w:rPr>
            <w:rFonts w:ascii="Times New Roman" w:hAnsi="Times New Roman" w:eastAsia="Songti SC"/>
            <w:color w:val="000000"/>
            <w:sz w:val="22"/>
          </w:rPr>
          <w:t>2.2.2 语义身份与序列化</w:t>
        </w:r>
        <w:r>
          <w:rPr>
            <w:rFonts w:ascii="Times New Roman" w:hAnsi="Times New Roman" w:eastAsia="Songti SC"/>
            <w:color w:val="000000"/>
            <w:sz w:val="22"/>
          </w:rPr>
          <w:tab/>
          <w:t>11</w:t>
        </w:r>
      </w:hyperlink>
    </w:p>
    <w:p>
      <w:pPr>
        <w:pStyle w:val="TOC2"/>
      </w:pPr>
      <w:hyperlink w:anchor="v14_31" w:history="1">
        <w:r>
          <w:rPr>
            <w:rFonts w:ascii="Times New Roman" w:hAnsi="Times New Roman" w:eastAsia="Songti SC"/>
            <w:color w:val="000000"/>
            <w:sz w:val="22"/>
          </w:rPr>
          <w:t>2.3 生成建模与参数高效适配</w:t>
        </w:r>
        <w:r>
          <w:rPr>
            <w:rFonts w:ascii="Times New Roman" w:hAnsi="Times New Roman" w:eastAsia="Songti SC"/>
            <w:color w:val="000000"/>
            <w:sz w:val="22"/>
          </w:rPr>
          <w:tab/>
          <w:t>11</w:t>
        </w:r>
      </w:hyperlink>
    </w:p>
    <w:p>
      <w:pPr>
        <w:pStyle w:val="TOC2"/>
      </w:pPr>
      <w:hyperlink w:anchor="v14_32" w:history="1">
        <w:r>
          <w:rPr>
            <w:rFonts w:ascii="Times New Roman" w:hAnsi="Times New Roman" w:eastAsia="Songti SC"/>
            <w:color w:val="000000"/>
            <w:sz w:val="22"/>
          </w:rPr>
          <w:t>2.4 候选空间与结构决策</w:t>
        </w:r>
        <w:r>
          <w:rPr>
            <w:rFonts w:ascii="Times New Roman" w:hAnsi="Times New Roman" w:eastAsia="Songti SC"/>
            <w:color w:val="000000"/>
            <w:sz w:val="22"/>
          </w:rPr>
          <w:tab/>
          <w:t>11</w:t>
        </w:r>
      </w:hyperlink>
    </w:p>
    <w:p>
      <w:pPr>
        <w:pStyle w:val="TOC2"/>
      </w:pPr>
      <w:hyperlink w:anchor="v14_33" w:history="1">
        <w:r>
          <w:rPr>
            <w:rFonts w:ascii="Times New Roman" w:hAnsi="Times New Roman" w:eastAsia="Songti SC"/>
            <w:color w:val="000000"/>
            <w:sz w:val="22"/>
          </w:rPr>
          <w:t>2.5 严格评价与统计口径</w:t>
        </w:r>
        <w:r>
          <w:rPr>
            <w:rFonts w:ascii="Times New Roman" w:hAnsi="Times New Roman" w:eastAsia="Songti SC"/>
            <w:color w:val="000000"/>
            <w:sz w:val="22"/>
          </w:rPr>
          <w:tab/>
          <w:t>12</w:t>
        </w:r>
      </w:hyperlink>
    </w:p>
    <w:p>
      <w:pPr>
        <w:pStyle w:val="TOC2"/>
      </w:pPr>
      <w:hyperlink w:anchor="v14_34" w:history="1">
        <w:r>
          <w:rPr>
            <w:rFonts w:ascii="Times New Roman" w:hAnsi="Times New Roman" w:eastAsia="Songti SC"/>
            <w:color w:val="000000"/>
            <w:sz w:val="22"/>
          </w:rPr>
          <w:t>2.6 公共实验协议</w:t>
        </w:r>
        <w:r>
          <w:rPr>
            <w:rFonts w:ascii="Times New Roman" w:hAnsi="Times New Roman" w:eastAsia="Songti SC"/>
            <w:color w:val="000000"/>
            <w:sz w:val="22"/>
          </w:rPr>
          <w:tab/>
          <w:t>13</w:t>
        </w:r>
      </w:hyperlink>
    </w:p>
    <w:p>
      <w:pPr>
        <w:pStyle w:val="TOC3"/>
      </w:pPr>
      <w:hyperlink w:anchor="v14_35" w:history="1">
        <w:r>
          <w:rPr>
            <w:rFonts w:ascii="Times New Roman" w:hAnsi="Times New Roman" w:eastAsia="Songti SC"/>
            <w:color w:val="000000"/>
            <w:sz w:val="22"/>
          </w:rPr>
          <w:t>2.6.1 数据划分与使用范围</w:t>
        </w:r>
        <w:r>
          <w:rPr>
            <w:rFonts w:ascii="Times New Roman" w:hAnsi="Times New Roman" w:eastAsia="Songti SC"/>
            <w:color w:val="000000"/>
            <w:sz w:val="22"/>
          </w:rPr>
          <w:tab/>
          <w:t>13</w:t>
        </w:r>
      </w:hyperlink>
    </w:p>
    <w:p>
      <w:pPr>
        <w:pStyle w:val="TOC3"/>
      </w:pPr>
      <w:hyperlink w:anchor="v14_36" w:history="1">
        <w:r>
          <w:rPr>
            <w:rFonts w:ascii="Times New Roman" w:hAnsi="Times New Roman" w:eastAsia="Songti SC"/>
            <w:color w:val="000000"/>
            <w:sz w:val="22"/>
          </w:rPr>
          <w:t>2.6.2 运行配置与可复现记录</w:t>
        </w:r>
        <w:r>
          <w:rPr>
            <w:rFonts w:ascii="Times New Roman" w:hAnsi="Times New Roman" w:eastAsia="Songti SC"/>
            <w:color w:val="000000"/>
            <w:sz w:val="22"/>
          </w:rPr>
          <w:tab/>
          <w:t>13</w:t>
        </w:r>
      </w:hyperlink>
    </w:p>
    <w:p>
      <w:pPr>
        <w:pStyle w:val="TOC3"/>
      </w:pPr>
      <w:hyperlink w:anchor="v14_37" w:history="1">
        <w:r>
          <w:rPr>
            <w:rFonts w:ascii="Times New Roman" w:hAnsi="Times New Roman" w:eastAsia="Songti SC"/>
            <w:color w:val="000000"/>
            <w:sz w:val="22"/>
          </w:rPr>
          <w:t>2.6.3 统计分析与计算成本</w:t>
        </w:r>
        <w:r>
          <w:rPr>
            <w:rFonts w:ascii="Times New Roman" w:hAnsi="Times New Roman" w:eastAsia="Songti SC"/>
            <w:color w:val="000000"/>
            <w:sz w:val="22"/>
          </w:rPr>
          <w:tab/>
          <w:t>15</w:t>
        </w:r>
      </w:hyperlink>
    </w:p>
    <w:p>
      <w:pPr>
        <w:pStyle w:val="TOC2"/>
      </w:pPr>
      <w:hyperlink w:anchor="v14_38" w:history="1">
        <w:r>
          <w:rPr>
            <w:rFonts w:ascii="Times New Roman" w:hAnsi="Times New Roman" w:eastAsia="Songti SC"/>
            <w:color w:val="000000"/>
            <w:sz w:val="22"/>
          </w:rPr>
          <w:t>2.7 训练与推理的接口</w:t>
        </w:r>
        <w:r>
          <w:rPr>
            <w:rFonts w:ascii="Times New Roman" w:hAnsi="Times New Roman" w:eastAsia="Songti SC"/>
            <w:color w:val="000000"/>
            <w:sz w:val="22"/>
          </w:rPr>
          <w:tab/>
          <w:t>15</w:t>
        </w:r>
      </w:hyperlink>
    </w:p>
    <w:p>
      <w:pPr>
        <w:pStyle w:val="TOC2"/>
      </w:pPr>
      <w:hyperlink w:anchor="v14_39" w:history="1">
        <w:r>
          <w:rPr>
            <w:rFonts w:ascii="Times New Roman" w:hAnsi="Times New Roman" w:eastAsia="Songti SC"/>
            <w:color w:val="000000"/>
            <w:sz w:val="22"/>
          </w:rPr>
          <w:t>2.8 本章小结</w:t>
        </w:r>
        <w:r>
          <w:rPr>
            <w:rFonts w:ascii="Times New Roman" w:hAnsi="Times New Roman" w:eastAsia="Songti SC"/>
            <w:color w:val="000000"/>
            <w:sz w:val="22"/>
          </w:rPr>
          <w:tab/>
          <w:t>16</w:t>
        </w:r>
      </w:hyperlink>
    </w:p>
    <w:p>
      <w:pPr>
        <w:pStyle w:val="TOC1"/>
        <w:keepNext/>
        <w:spacing w:before="120"/>
      </w:pPr>
      <w:hyperlink w:anchor="v14_40" w:history="1">
        <w:r>
          <w:rPr>
            <w:rFonts w:ascii="Times New Roman" w:hAnsi="Times New Roman" w:eastAsia="Songti SC"/>
            <w:color w:val="000000"/>
            <w:sz w:val="22"/>
          </w:rPr>
          <w:t>第三章 关系影响域约束的增强与成对学习</w:t>
        </w:r>
        <w:r>
          <w:rPr>
            <w:rFonts w:ascii="Times New Roman" w:hAnsi="Times New Roman" w:eastAsia="Songti SC"/>
            <w:color w:val="000000"/>
            <w:sz w:val="22"/>
          </w:rPr>
          <w:tab/>
          <w:t>17</w:t>
        </w:r>
      </w:hyperlink>
    </w:p>
    <w:p>
      <w:pPr>
        <w:pStyle w:val="TOC2"/>
      </w:pPr>
      <w:hyperlink w:anchor="v14_41" w:history="1">
        <w:r>
          <w:rPr>
            <w:rFonts w:ascii="Times New Roman" w:hAnsi="Times New Roman" w:eastAsia="Songti SC"/>
            <w:color w:val="000000"/>
            <w:sz w:val="22"/>
          </w:rPr>
          <w:t>3.1 引言</w:t>
        </w:r>
        <w:r>
          <w:rPr>
            <w:rFonts w:ascii="Times New Roman" w:hAnsi="Times New Roman" w:eastAsia="Songti SC"/>
            <w:color w:val="000000"/>
            <w:sz w:val="22"/>
          </w:rPr>
          <w:tab/>
          <w:t>17</w:t>
        </w:r>
      </w:hyperlink>
    </w:p>
    <w:p>
      <w:pPr>
        <w:pStyle w:val="TOC2"/>
      </w:pPr>
      <w:hyperlink w:anchor="v14_42" w:history="1">
        <w:r>
          <w:rPr>
            <w:rFonts w:ascii="Times New Roman" w:hAnsi="Times New Roman" w:eastAsia="Songti SC"/>
            <w:color w:val="000000"/>
            <w:sz w:val="22"/>
          </w:rPr>
          <w:t>3.2 前期专项建模基础</w:t>
        </w:r>
        <w:r>
          <w:rPr>
            <w:rFonts w:ascii="Times New Roman" w:hAnsi="Times New Roman" w:eastAsia="Songti SC"/>
            <w:color w:val="000000"/>
            <w:sz w:val="22"/>
          </w:rPr>
          <w:tab/>
          <w:t>17</w:t>
        </w:r>
      </w:hyperlink>
    </w:p>
    <w:p>
      <w:pPr>
        <w:pStyle w:val="TOC3"/>
      </w:pPr>
      <w:hyperlink w:anchor="v14_43" w:history="1">
        <w:r>
          <w:rPr>
            <w:rFonts w:ascii="Times New Roman" w:hAnsi="Times New Roman" w:eastAsia="Songti SC"/>
            <w:color w:val="000000"/>
            <w:sz w:val="22"/>
          </w:rPr>
          <w:t>3.2.1 类型条件低秩适配</w:t>
        </w:r>
        <w:r>
          <w:rPr>
            <w:rFonts w:ascii="Times New Roman" w:hAnsi="Times New Roman" w:eastAsia="Songti SC"/>
            <w:color w:val="000000"/>
            <w:sz w:val="22"/>
          </w:rPr>
          <w:tab/>
          <w:t>17</w:t>
        </w:r>
      </w:hyperlink>
    </w:p>
    <w:p>
      <w:pPr>
        <w:pStyle w:val="TOC3"/>
      </w:pPr>
      <w:hyperlink w:anchor="v14_44" w:history="1">
        <w:r>
          <w:rPr>
            <w:rFonts w:ascii="Times New Roman" w:hAnsi="Times New Roman" w:eastAsia="Songti SC"/>
            <w:color w:val="000000"/>
            <w:sz w:val="22"/>
          </w:rPr>
          <w:t>3.2.2 线索提示与原有监督</w:t>
        </w:r>
        <w:r>
          <w:rPr>
            <w:rFonts w:ascii="Times New Roman" w:hAnsi="Times New Roman" w:eastAsia="Songti SC"/>
            <w:color w:val="000000"/>
            <w:sz w:val="22"/>
          </w:rPr>
          <w:tab/>
          <w:t>18</w:t>
        </w:r>
      </w:hyperlink>
    </w:p>
    <w:p>
      <w:pPr>
        <w:pStyle w:val="TOC2"/>
      </w:pPr>
      <w:hyperlink w:anchor="v14_45" w:history="1">
        <w:r>
          <w:rPr>
            <w:rFonts w:ascii="Times New Roman" w:hAnsi="Times New Roman" w:eastAsia="Songti SC"/>
            <w:color w:val="000000"/>
            <w:sz w:val="22"/>
          </w:rPr>
          <w:t>3.3 关系影响域与标注迁移</w:t>
        </w:r>
        <w:r>
          <w:rPr>
            <w:rFonts w:ascii="Times New Roman" w:hAnsi="Times New Roman" w:eastAsia="Songti SC"/>
            <w:color w:val="000000"/>
            <w:sz w:val="22"/>
          </w:rPr>
          <w:tab/>
          <w:t>18</w:t>
        </w:r>
      </w:hyperlink>
    </w:p>
    <w:p>
      <w:pPr>
        <w:pStyle w:val="TOC3"/>
      </w:pPr>
      <w:hyperlink w:anchor="v14_46" w:history="1">
        <w:r>
          <w:rPr>
            <w:rFonts w:ascii="Times New Roman" w:hAnsi="Times New Roman" w:eastAsia="Songti SC"/>
            <w:color w:val="000000"/>
            <w:sz w:val="22"/>
          </w:rPr>
          <w:t>3.3.1 改写区域与关系因素</w:t>
        </w:r>
        <w:r>
          <w:rPr>
            <w:rFonts w:ascii="Times New Roman" w:hAnsi="Times New Roman" w:eastAsia="Songti SC"/>
            <w:color w:val="000000"/>
            <w:sz w:val="22"/>
          </w:rPr>
          <w:tab/>
          <w:t>18</w:t>
        </w:r>
      </w:hyperlink>
    </w:p>
    <w:p>
      <w:pPr>
        <w:pStyle w:val="TOC3"/>
      </w:pPr>
      <w:hyperlink w:anchor="v14_47" w:history="1">
        <w:r>
          <w:rPr>
            <w:rFonts w:ascii="Times New Roman" w:hAnsi="Times New Roman" w:eastAsia="Songti SC"/>
            <w:color w:val="000000"/>
            <w:sz w:val="22"/>
          </w:rPr>
          <w:t>3.3.2 条件生成与标注迁移</w:t>
        </w:r>
        <w:r>
          <w:rPr>
            <w:rFonts w:ascii="Times New Roman" w:hAnsi="Times New Roman" w:eastAsia="Songti SC"/>
            <w:color w:val="000000"/>
            <w:sz w:val="22"/>
          </w:rPr>
          <w:tab/>
          <w:t>21</w:t>
        </w:r>
      </w:hyperlink>
    </w:p>
    <w:p>
      <w:pPr>
        <w:pStyle w:val="TOC3"/>
      </w:pPr>
      <w:hyperlink w:anchor="v14_48" w:history="1">
        <w:r>
          <w:rPr>
            <w:rFonts w:ascii="Times New Roman" w:hAnsi="Times New Roman" w:eastAsia="Songti SC"/>
            <w:color w:val="000000"/>
            <w:sz w:val="22"/>
          </w:rPr>
          <w:t>3.3.3 接受规则与来源控制</w:t>
        </w:r>
        <w:r>
          <w:rPr>
            <w:rFonts w:ascii="Times New Roman" w:hAnsi="Times New Roman" w:eastAsia="Songti SC"/>
            <w:color w:val="000000"/>
            <w:sz w:val="22"/>
          </w:rPr>
          <w:tab/>
          <w:t>21</w:t>
        </w:r>
      </w:hyperlink>
    </w:p>
    <w:p>
      <w:pPr>
        <w:pStyle w:val="TOC2"/>
      </w:pPr>
      <w:hyperlink w:anchor="v14_49" w:history="1">
        <w:r>
          <w:rPr>
            <w:rFonts w:ascii="Times New Roman" w:hAnsi="Times New Roman" w:eastAsia="Songti SC"/>
            <w:color w:val="000000"/>
            <w:sz w:val="22"/>
          </w:rPr>
          <w:t>3.4 成对组件与关系学习</w:t>
        </w:r>
        <w:r>
          <w:rPr>
            <w:rFonts w:ascii="Times New Roman" w:hAnsi="Times New Roman" w:eastAsia="Songti SC"/>
            <w:color w:val="000000"/>
            <w:sz w:val="22"/>
          </w:rPr>
          <w:tab/>
          <w:t>22</w:t>
        </w:r>
      </w:hyperlink>
    </w:p>
    <w:p>
      <w:pPr>
        <w:pStyle w:val="TOC3"/>
      </w:pPr>
      <w:hyperlink w:anchor="v14_50" w:history="1">
        <w:r>
          <w:rPr>
            <w:rFonts w:ascii="Times New Roman" w:hAnsi="Times New Roman" w:eastAsia="Songti SC"/>
            <w:color w:val="000000"/>
            <w:sz w:val="22"/>
          </w:rPr>
          <w:t>3.4.1 输入表示与训练头</w:t>
        </w:r>
        <w:r>
          <w:rPr>
            <w:rFonts w:ascii="Times New Roman" w:hAnsi="Times New Roman" w:eastAsia="Songti SC"/>
            <w:color w:val="000000"/>
            <w:sz w:val="22"/>
          </w:rPr>
          <w:tab/>
          <w:t>23</w:t>
        </w:r>
      </w:hyperlink>
    </w:p>
    <w:p>
      <w:pPr>
        <w:pStyle w:val="TOC3"/>
      </w:pPr>
      <w:hyperlink w:anchor="v14_51" w:history="1">
        <w:r>
          <w:rPr>
            <w:rFonts w:ascii="Times New Roman" w:hAnsi="Times New Roman" w:eastAsia="Songti SC"/>
            <w:color w:val="000000"/>
            <w:sz w:val="22"/>
          </w:rPr>
          <w:t>3.4.2 对齐与金标锚定</w:t>
        </w:r>
        <w:r>
          <w:rPr>
            <w:rFonts w:ascii="Times New Roman" w:hAnsi="Times New Roman" w:eastAsia="Songti SC"/>
            <w:color w:val="000000"/>
            <w:sz w:val="22"/>
          </w:rPr>
          <w:tab/>
          <w:t>24</w:t>
        </w:r>
      </w:hyperlink>
    </w:p>
    <w:p>
      <w:pPr>
        <w:pStyle w:val="TOC3"/>
      </w:pPr>
      <w:hyperlink w:anchor="v14_52" w:history="1">
        <w:r>
          <w:rPr>
            <w:rFonts w:ascii="Times New Roman" w:hAnsi="Times New Roman" w:eastAsia="Songti SC"/>
            <w:color w:val="000000"/>
            <w:sz w:val="22"/>
          </w:rPr>
          <w:t>3.4.3 按源文档归一化及梯度接口</w:t>
        </w:r>
        <w:r>
          <w:rPr>
            <w:rFonts w:ascii="Times New Roman" w:hAnsi="Times New Roman" w:eastAsia="Songti SC"/>
            <w:color w:val="000000"/>
            <w:sz w:val="22"/>
          </w:rPr>
          <w:tab/>
          <w:t>25</w:t>
        </w:r>
      </w:hyperlink>
    </w:p>
    <w:p>
      <w:pPr>
        <w:pStyle w:val="TOC2"/>
      </w:pPr>
      <w:hyperlink w:anchor="v14_53" w:history="1">
        <w:r>
          <w:rPr>
            <w:rFonts w:ascii="Times New Roman" w:hAnsi="Times New Roman" w:eastAsia="Songti SC"/>
            <w:color w:val="000000"/>
            <w:sz w:val="22"/>
          </w:rPr>
          <w:t>3.5 算法及性质</w:t>
        </w:r>
        <w:r>
          <w:rPr>
            <w:rFonts w:ascii="Times New Roman" w:hAnsi="Times New Roman" w:eastAsia="Songti SC"/>
            <w:color w:val="000000"/>
            <w:sz w:val="22"/>
          </w:rPr>
          <w:tab/>
          <w:t>26</w:t>
        </w:r>
      </w:hyperlink>
    </w:p>
    <w:p>
      <w:pPr>
        <w:pStyle w:val="TOC3"/>
      </w:pPr>
      <w:hyperlink w:anchor="v14_54" w:history="1">
        <w:r>
          <w:rPr>
            <w:rFonts w:ascii="Times New Roman" w:hAnsi="Times New Roman" w:eastAsia="Songti SC"/>
            <w:color w:val="000000"/>
            <w:sz w:val="22"/>
          </w:rPr>
          <w:t>3.5.1 数据构造与参数学习</w:t>
        </w:r>
        <w:r>
          <w:rPr>
            <w:rFonts w:ascii="Times New Roman" w:hAnsi="Times New Roman" w:eastAsia="Songti SC"/>
            <w:color w:val="000000"/>
            <w:sz w:val="22"/>
          </w:rPr>
          <w:tab/>
          <w:t>26</w:t>
        </w:r>
      </w:hyperlink>
    </w:p>
    <w:p>
      <w:pPr>
        <w:pStyle w:val="TOC3"/>
      </w:pPr>
      <w:hyperlink w:anchor="v14_55" w:history="1">
        <w:r>
          <w:rPr>
            <w:rFonts w:ascii="Times New Roman" w:hAnsi="Times New Roman" w:eastAsia="Songti SC"/>
            <w:color w:val="000000"/>
            <w:sz w:val="22"/>
          </w:rPr>
          <w:t>3.5.2 性质与适用条件</w:t>
        </w:r>
        <w:r>
          <w:rPr>
            <w:rFonts w:ascii="Times New Roman" w:hAnsi="Times New Roman" w:eastAsia="Songti SC"/>
            <w:color w:val="000000"/>
            <w:sz w:val="22"/>
          </w:rPr>
          <w:tab/>
          <w:t>27</w:t>
        </w:r>
      </w:hyperlink>
    </w:p>
    <w:p>
      <w:pPr>
        <w:pStyle w:val="TOC2"/>
      </w:pPr>
      <w:hyperlink w:anchor="v14_56" w:history="1">
        <w:r>
          <w:rPr>
            <w:rFonts w:ascii="Times New Roman" w:hAnsi="Times New Roman" w:eastAsia="Songti SC"/>
            <w:color w:val="000000"/>
            <w:sz w:val="22"/>
          </w:rPr>
          <w:t>3.6 实验结果与分析</w:t>
        </w:r>
        <w:r>
          <w:rPr>
            <w:rFonts w:ascii="Times New Roman" w:hAnsi="Times New Roman" w:eastAsia="Songti SC"/>
            <w:color w:val="000000"/>
            <w:sz w:val="22"/>
          </w:rPr>
          <w:tab/>
          <w:t>28</w:t>
        </w:r>
      </w:hyperlink>
    </w:p>
    <w:p>
      <w:pPr>
        <w:pStyle w:val="TOC3"/>
      </w:pPr>
      <w:hyperlink w:anchor="v14_57" w:history="1">
        <w:r>
          <w:rPr>
            <w:rFonts w:ascii="Times New Roman" w:hAnsi="Times New Roman" w:eastAsia="Songti SC"/>
            <w:color w:val="000000"/>
            <w:sz w:val="22"/>
          </w:rPr>
          <w:t>3.6.1 实验设置与比较方法</w:t>
        </w:r>
        <w:r>
          <w:rPr>
            <w:rFonts w:ascii="Times New Roman" w:hAnsi="Times New Roman" w:eastAsia="Songti SC"/>
            <w:color w:val="000000"/>
            <w:sz w:val="22"/>
          </w:rPr>
          <w:tab/>
          <w:t>28</w:t>
        </w:r>
      </w:hyperlink>
    </w:p>
    <w:p>
      <w:pPr>
        <w:pStyle w:val="TOC3"/>
      </w:pPr>
      <w:hyperlink w:anchor="v14_58" w:history="1">
        <w:r>
          <w:rPr>
            <w:rFonts w:ascii="Times New Roman" w:hAnsi="Times New Roman" w:eastAsia="Songti SC"/>
            <w:color w:val="000000"/>
            <w:sz w:val="22"/>
          </w:rPr>
          <w:t>3.6.2 增强质量与标签可靠性</w:t>
        </w:r>
        <w:r>
          <w:rPr>
            <w:rFonts w:ascii="Times New Roman" w:hAnsi="Times New Roman" w:eastAsia="Songti SC"/>
            <w:color w:val="000000"/>
            <w:sz w:val="22"/>
          </w:rPr>
          <w:tab/>
          <w:t>29</w:t>
        </w:r>
      </w:hyperlink>
    </w:p>
    <w:p>
      <w:pPr>
        <w:pStyle w:val="TOC3"/>
      </w:pPr>
      <w:hyperlink w:anchor="v14_59" w:history="1">
        <w:r>
          <w:rPr>
            <w:rFonts w:ascii="Times New Roman" w:hAnsi="Times New Roman" w:eastAsia="Songti SC"/>
            <w:color w:val="000000"/>
            <w:sz w:val="22"/>
          </w:rPr>
          <w:t>3.6.3 抽取结果与学习目标消融</w:t>
        </w:r>
        <w:r>
          <w:rPr>
            <w:rFonts w:ascii="Times New Roman" w:hAnsi="Times New Roman" w:eastAsia="Songti SC"/>
            <w:color w:val="000000"/>
            <w:sz w:val="22"/>
          </w:rPr>
          <w:tab/>
          <w:t>31</w:t>
        </w:r>
      </w:hyperlink>
    </w:p>
    <w:p>
      <w:pPr>
        <w:pStyle w:val="TOC3"/>
      </w:pPr>
      <w:hyperlink w:anchor="v14_60" w:history="1">
        <w:r>
          <w:rPr>
            <w:rFonts w:ascii="Times New Roman" w:hAnsi="Times New Roman" w:eastAsia="Songti SC"/>
            <w:color w:val="000000"/>
            <w:sz w:val="22"/>
          </w:rPr>
          <w:t>3.6.4 中心选择与适用条件</w:t>
        </w:r>
        <w:r>
          <w:rPr>
            <w:rFonts w:ascii="Times New Roman" w:hAnsi="Times New Roman" w:eastAsia="Songti SC"/>
            <w:color w:val="000000"/>
            <w:sz w:val="22"/>
          </w:rPr>
          <w:tab/>
          <w:t>32</w:t>
        </w:r>
      </w:hyperlink>
    </w:p>
    <w:p>
      <w:pPr>
        <w:pStyle w:val="TOC3"/>
      </w:pPr>
      <w:hyperlink w:anchor="v14_61" w:history="1">
        <w:r>
          <w:rPr>
            <w:rFonts w:ascii="Times New Roman" w:hAnsi="Times New Roman" w:eastAsia="Songti SC"/>
            <w:color w:val="000000"/>
            <w:sz w:val="22"/>
          </w:rPr>
          <w:t>3.6.5 生成覆盖与计算成本</w:t>
        </w:r>
        <w:r>
          <w:rPr>
            <w:rFonts w:ascii="Times New Roman" w:hAnsi="Times New Roman" w:eastAsia="Songti SC"/>
            <w:color w:val="000000"/>
            <w:sz w:val="22"/>
          </w:rPr>
          <w:tab/>
          <w:t>33</w:t>
        </w:r>
      </w:hyperlink>
    </w:p>
    <w:p>
      <w:pPr>
        <w:pStyle w:val="TOC3"/>
      </w:pPr>
      <w:hyperlink w:anchor="v14_62" w:history="1">
        <w:r>
          <w:rPr>
            <w:rFonts w:ascii="Times New Roman" w:hAnsi="Times New Roman" w:eastAsia="Songti SC"/>
            <w:color w:val="000000"/>
            <w:sz w:val="22"/>
          </w:rPr>
          <w:t>3.6.6 变化 漂移与覆盖的联合解释</w:t>
        </w:r>
        <w:r>
          <w:rPr>
            <w:rFonts w:ascii="Times New Roman" w:hAnsi="Times New Roman" w:eastAsia="Songti SC"/>
            <w:color w:val="000000"/>
            <w:sz w:val="22"/>
          </w:rPr>
          <w:tab/>
          <w:t>33</w:t>
        </w:r>
      </w:hyperlink>
    </w:p>
    <w:p>
      <w:pPr>
        <w:pStyle w:val="TOC2"/>
      </w:pPr>
      <w:hyperlink w:anchor="v14_63" w:history="1">
        <w:r>
          <w:rPr>
            <w:rFonts w:ascii="Times New Roman" w:hAnsi="Times New Roman" w:eastAsia="Songti SC"/>
            <w:color w:val="000000"/>
            <w:sz w:val="22"/>
          </w:rPr>
          <w:t>3.7 本章小结</w:t>
        </w:r>
        <w:r>
          <w:rPr>
            <w:rFonts w:ascii="Times New Roman" w:hAnsi="Times New Roman" w:eastAsia="Songti SC"/>
            <w:color w:val="000000"/>
            <w:sz w:val="22"/>
          </w:rPr>
          <w:tab/>
          <w:t>34</w:t>
        </w:r>
      </w:hyperlink>
    </w:p>
    <w:p>
      <w:pPr>
        <w:pStyle w:val="TOC1"/>
        <w:keepNext/>
        <w:spacing w:before="120"/>
      </w:pPr>
      <w:hyperlink w:anchor="v14_64" w:history="1">
        <w:r>
          <w:rPr>
            <w:rFonts w:ascii="Times New Roman" w:hAnsi="Times New Roman" w:eastAsia="Songti SC"/>
            <w:color w:val="000000"/>
            <w:sz w:val="22"/>
          </w:rPr>
          <w:t>第四章 多候选驱动的依赖闭合论辩图修正</w:t>
        </w:r>
        <w:r>
          <w:rPr>
            <w:rFonts w:ascii="Times New Roman" w:hAnsi="Times New Roman" w:eastAsia="Songti SC"/>
            <w:color w:val="000000"/>
            <w:sz w:val="22"/>
          </w:rPr>
          <w:tab/>
          <w:t>35</w:t>
        </w:r>
      </w:hyperlink>
    </w:p>
    <w:p>
      <w:pPr>
        <w:pStyle w:val="TOC2"/>
      </w:pPr>
      <w:hyperlink w:anchor="v14_65" w:history="1">
        <w:r>
          <w:rPr>
            <w:rFonts w:ascii="Times New Roman" w:hAnsi="Times New Roman" w:eastAsia="Songti SC"/>
            <w:color w:val="000000"/>
            <w:sz w:val="22"/>
          </w:rPr>
          <w:t>4.1 引言</w:t>
        </w:r>
        <w:r>
          <w:rPr>
            <w:rFonts w:ascii="Times New Roman" w:hAnsi="Times New Roman" w:eastAsia="Songti SC"/>
            <w:color w:val="000000"/>
            <w:sz w:val="22"/>
          </w:rPr>
          <w:tab/>
          <w:t>35</w:t>
        </w:r>
      </w:hyperlink>
    </w:p>
    <w:p>
      <w:pPr>
        <w:pStyle w:val="TOC2"/>
      </w:pPr>
      <w:hyperlink w:anchor="v14_66" w:history="1">
        <w:r>
          <w:rPr>
            <w:rFonts w:ascii="Times New Roman" w:hAnsi="Times New Roman" w:eastAsia="Songti SC"/>
            <w:color w:val="000000"/>
            <w:sz w:val="22"/>
          </w:rPr>
          <w:t>4.2 候选生成与初始图</w:t>
        </w:r>
        <w:r>
          <w:rPr>
            <w:rFonts w:ascii="Times New Roman" w:hAnsi="Times New Roman" w:eastAsia="Songti SC"/>
            <w:color w:val="000000"/>
            <w:sz w:val="22"/>
          </w:rPr>
          <w:tab/>
          <w:t>37</w:t>
        </w:r>
      </w:hyperlink>
    </w:p>
    <w:p>
      <w:pPr>
        <w:pStyle w:val="TOC3"/>
      </w:pPr>
      <w:hyperlink w:anchor="v14_67" w:history="1">
        <w:r>
          <w:rPr>
            <w:rFonts w:ascii="Times New Roman" w:hAnsi="Times New Roman" w:eastAsia="Songti SC"/>
            <w:color w:val="000000"/>
            <w:sz w:val="22"/>
          </w:rPr>
          <w:t>4.2.1 组件假设及完整图生成</w:t>
        </w:r>
        <w:r>
          <w:rPr>
            <w:rFonts w:ascii="Times New Roman" w:hAnsi="Times New Roman" w:eastAsia="Songti SC"/>
            <w:color w:val="000000"/>
            <w:sz w:val="22"/>
          </w:rPr>
          <w:tab/>
          <w:t>37</w:t>
        </w:r>
      </w:hyperlink>
    </w:p>
    <w:p>
      <w:pPr>
        <w:pStyle w:val="TOC3"/>
      </w:pPr>
      <w:hyperlink w:anchor="v14_68" w:history="1">
        <w:r>
          <w:rPr>
            <w:rFonts w:ascii="Times New Roman" w:hAnsi="Times New Roman" w:eastAsia="Songti SC"/>
            <w:color w:val="000000"/>
            <w:sz w:val="22"/>
          </w:rPr>
          <w:t>4.2.2 原始覆盖评分的保留与边界</w:t>
        </w:r>
        <w:r>
          <w:rPr>
            <w:rFonts w:ascii="Times New Roman" w:hAnsi="Times New Roman" w:eastAsia="Songti SC"/>
            <w:color w:val="000000"/>
            <w:sz w:val="22"/>
          </w:rPr>
          <w:tab/>
          <w:t>37</w:t>
        </w:r>
      </w:hyperlink>
    </w:p>
    <w:p>
      <w:pPr>
        <w:pStyle w:val="TOC3"/>
      </w:pPr>
      <w:hyperlink w:anchor="v14_69" w:history="1">
        <w:r>
          <w:rPr>
            <w:rFonts w:ascii="Times New Roman" w:hAnsi="Times New Roman" w:eastAsia="Songti SC"/>
            <w:color w:val="000000"/>
            <w:sz w:val="22"/>
          </w:rPr>
          <w:t>4.2.3 固定跨度候选与组件冲突</w:t>
        </w:r>
        <w:r>
          <w:rPr>
            <w:rFonts w:ascii="Times New Roman" w:hAnsi="Times New Roman" w:eastAsia="Songti SC"/>
            <w:color w:val="000000"/>
            <w:sz w:val="22"/>
          </w:rPr>
          <w:tab/>
          <w:t>38</w:t>
        </w:r>
      </w:hyperlink>
    </w:p>
    <w:p>
      <w:pPr>
        <w:pStyle w:val="TOC3"/>
      </w:pPr>
      <w:hyperlink w:anchor="v14_70" w:history="1">
        <w:r>
          <w:rPr>
            <w:rFonts w:ascii="Times New Roman" w:hAnsi="Times New Roman" w:eastAsia="Songti SC"/>
            <w:color w:val="000000"/>
            <w:sz w:val="22"/>
          </w:rPr>
          <w:t>4.2.4 完整关系候选与无边状态</w:t>
        </w:r>
        <w:r>
          <w:rPr>
            <w:rFonts w:ascii="Times New Roman" w:hAnsi="Times New Roman" w:eastAsia="Songti SC"/>
            <w:color w:val="000000"/>
            <w:sz w:val="22"/>
          </w:rPr>
          <w:tab/>
          <w:t>38</w:t>
        </w:r>
      </w:hyperlink>
    </w:p>
    <w:p>
      <w:pPr>
        <w:pStyle w:val="TOC3"/>
      </w:pPr>
      <w:hyperlink w:anchor="v14_71" w:history="1">
        <w:r>
          <w:rPr>
            <w:rFonts w:ascii="Times New Roman" w:hAnsi="Times New Roman" w:eastAsia="Songti SC"/>
            <w:color w:val="000000"/>
            <w:sz w:val="22"/>
          </w:rPr>
          <w:t>4.2.5 裁剪前规模与资源预检</w:t>
        </w:r>
        <w:r>
          <w:rPr>
            <w:rFonts w:ascii="Times New Roman" w:hAnsi="Times New Roman" w:eastAsia="Songti SC"/>
            <w:color w:val="000000"/>
            <w:sz w:val="22"/>
          </w:rPr>
          <w:tab/>
          <w:t>39</w:t>
        </w:r>
      </w:hyperlink>
    </w:p>
    <w:p>
      <w:pPr>
        <w:pStyle w:val="TOC2"/>
      </w:pPr>
      <w:hyperlink w:anchor="v14_72" w:history="1">
        <w:r>
          <w:rPr>
            <w:rFonts w:ascii="Times New Roman" w:hAnsi="Times New Roman" w:eastAsia="Songti SC"/>
            <w:color w:val="000000"/>
            <w:sz w:val="22"/>
          </w:rPr>
          <w:t>4.3 组件集合替换与受影响关系重建</w:t>
        </w:r>
        <w:r>
          <w:rPr>
            <w:rFonts w:ascii="Times New Roman" w:hAnsi="Times New Roman" w:eastAsia="Songti SC"/>
            <w:color w:val="000000"/>
            <w:sz w:val="22"/>
          </w:rPr>
          <w:tab/>
          <w:t>39</w:t>
        </w:r>
      </w:hyperlink>
    </w:p>
    <w:p>
      <w:pPr>
        <w:pStyle w:val="TOC3"/>
      </w:pPr>
      <w:hyperlink w:anchor="v14_73" w:history="1">
        <w:r>
          <w:rPr>
            <w:rFonts w:ascii="Times New Roman" w:hAnsi="Times New Roman" w:eastAsia="Songti SC"/>
            <w:color w:val="000000"/>
            <w:sz w:val="22"/>
          </w:rPr>
          <w:t>4.3.1 冲突闭合的集合替换</w:t>
        </w:r>
        <w:r>
          <w:rPr>
            <w:rFonts w:ascii="Times New Roman" w:hAnsi="Times New Roman" w:eastAsia="Songti SC"/>
            <w:color w:val="000000"/>
            <w:sz w:val="22"/>
          </w:rPr>
          <w:tab/>
          <w:t>40</w:t>
        </w:r>
      </w:hyperlink>
    </w:p>
    <w:p>
      <w:pPr>
        <w:pStyle w:val="TOC3"/>
      </w:pPr>
      <w:hyperlink w:anchor="v14_74" w:history="1">
        <w:r>
          <w:rPr>
            <w:rFonts w:ascii="Times New Roman" w:hAnsi="Times New Roman" w:eastAsia="Songti SC"/>
            <w:color w:val="000000"/>
            <w:sz w:val="22"/>
          </w:rPr>
          <w:t>4.3.2 全部受影响关系与纯关系事务</w:t>
        </w:r>
        <w:r>
          <w:rPr>
            <w:rFonts w:ascii="Times New Roman" w:hAnsi="Times New Roman" w:eastAsia="Songti SC"/>
            <w:color w:val="000000"/>
            <w:sz w:val="22"/>
          </w:rPr>
          <w:tab/>
          <w:t>40</w:t>
        </w:r>
      </w:hyperlink>
    </w:p>
    <w:p>
      <w:pPr>
        <w:pStyle w:val="TOC2"/>
      </w:pPr>
      <w:hyperlink w:anchor="v14_75" w:history="1">
        <w:r>
          <w:rPr>
            <w:rFonts w:ascii="Times New Roman" w:hAnsi="Times New Roman" w:eastAsia="Songti SC"/>
            <w:color w:val="000000"/>
            <w:sz w:val="22"/>
          </w:rPr>
          <w:t>4.4 对象评分与事务接受</w:t>
        </w:r>
        <w:r>
          <w:rPr>
            <w:rFonts w:ascii="Times New Roman" w:hAnsi="Times New Roman" w:eastAsia="Songti SC"/>
            <w:color w:val="000000"/>
            <w:sz w:val="22"/>
          </w:rPr>
          <w:tab/>
          <w:t>41</w:t>
        </w:r>
      </w:hyperlink>
    </w:p>
    <w:p>
      <w:pPr>
        <w:pStyle w:val="TOC3"/>
      </w:pPr>
      <w:hyperlink w:anchor="v14_76" w:history="1">
        <w:r>
          <w:rPr>
            <w:rFonts w:ascii="Times New Roman" w:hAnsi="Times New Roman" w:eastAsia="Songti SC"/>
            <w:color w:val="000000"/>
            <w:sz w:val="22"/>
          </w:rPr>
          <w:t>4.4.1 固定文本证据评分器</w:t>
        </w:r>
        <w:r>
          <w:rPr>
            <w:rFonts w:ascii="Times New Roman" w:hAnsi="Times New Roman" w:eastAsia="Songti SC"/>
            <w:color w:val="000000"/>
            <w:sz w:val="22"/>
          </w:rPr>
          <w:tab/>
          <w:t>42</w:t>
        </w:r>
      </w:hyperlink>
    </w:p>
    <w:p>
      <w:pPr>
        <w:pStyle w:val="TOC3"/>
      </w:pPr>
      <w:hyperlink w:anchor="v14_77" w:history="1">
        <w:r>
          <w:rPr>
            <w:rFonts w:ascii="Times New Roman" w:hAnsi="Times New Roman" w:eastAsia="Songti SC"/>
            <w:color w:val="000000"/>
            <w:sz w:val="22"/>
          </w:rPr>
          <w:t>4.4.2 训练外候选与概率校准</w:t>
        </w:r>
        <w:r>
          <w:rPr>
            <w:rFonts w:ascii="Times New Roman" w:hAnsi="Times New Roman" w:eastAsia="Songti SC"/>
            <w:color w:val="000000"/>
            <w:sz w:val="22"/>
          </w:rPr>
          <w:tab/>
          <w:t>42</w:t>
        </w:r>
      </w:hyperlink>
    </w:p>
    <w:p>
      <w:pPr>
        <w:pStyle w:val="TOC3"/>
      </w:pPr>
      <w:hyperlink w:anchor="v14_78" w:history="1">
        <w:r>
          <w:rPr>
            <w:rFonts w:ascii="Times New Roman" w:hAnsi="Times New Roman" w:eastAsia="Songti SC"/>
            <w:color w:val="000000"/>
            <w:sz w:val="22"/>
          </w:rPr>
          <w:t>4.4.3 固定计数效用</w:t>
        </w:r>
        <w:r>
          <w:rPr>
            <w:rFonts w:ascii="Times New Roman" w:hAnsi="Times New Roman" w:eastAsia="Songti SC"/>
            <w:color w:val="000000"/>
            <w:sz w:val="22"/>
          </w:rPr>
          <w:tab/>
          <w:t>43</w:t>
        </w:r>
      </w:hyperlink>
    </w:p>
    <w:p>
      <w:pPr>
        <w:pStyle w:val="TOC3"/>
      </w:pPr>
      <w:hyperlink w:anchor="v14_79" w:history="1">
        <w:r>
          <w:rPr>
            <w:rFonts w:ascii="Times New Roman" w:hAnsi="Times New Roman" w:eastAsia="Songti SC"/>
            <w:color w:val="000000"/>
            <w:sz w:val="22"/>
          </w:rPr>
          <w:t>4.4.4 分项接受门与编辑成本</w:t>
        </w:r>
        <w:r>
          <w:rPr>
            <w:rFonts w:ascii="Times New Roman" w:hAnsi="Times New Roman" w:eastAsia="Songti SC"/>
            <w:color w:val="000000"/>
            <w:sz w:val="22"/>
          </w:rPr>
          <w:tab/>
          <w:t>43</w:t>
        </w:r>
      </w:hyperlink>
    </w:p>
    <w:p>
      <w:pPr>
        <w:pStyle w:val="TOC3"/>
      </w:pPr>
      <w:hyperlink w:anchor="v14_80" w:history="1">
        <w:r>
          <w:rPr>
            <w:rFonts w:ascii="Times New Roman" w:hAnsi="Times New Roman" w:eastAsia="Songti SC"/>
            <w:color w:val="000000"/>
            <w:sz w:val="22"/>
          </w:rPr>
          <w:t>4.4.5 联合修正的教学算例</w:t>
        </w:r>
        <w:r>
          <w:rPr>
            <w:rFonts w:ascii="Times New Roman" w:hAnsi="Times New Roman" w:eastAsia="Songti SC"/>
            <w:color w:val="000000"/>
            <w:sz w:val="22"/>
          </w:rPr>
          <w:tab/>
          <w:t>44</w:t>
        </w:r>
      </w:hyperlink>
    </w:p>
    <w:p>
      <w:pPr>
        <w:pStyle w:val="TOC2"/>
      </w:pPr>
      <w:hyperlink w:anchor="v14_81" w:history="1">
        <w:r>
          <w:rPr>
            <w:rFonts w:ascii="Times New Roman" w:hAnsi="Times New Roman" w:eastAsia="Songti SC"/>
            <w:color w:val="000000"/>
            <w:sz w:val="22"/>
          </w:rPr>
          <w:t>4.5 求解算法及性质</w:t>
        </w:r>
        <w:r>
          <w:rPr>
            <w:rFonts w:ascii="Times New Roman" w:hAnsi="Times New Roman" w:eastAsia="Songti SC"/>
            <w:color w:val="000000"/>
            <w:sz w:val="22"/>
          </w:rPr>
          <w:tab/>
          <w:t>45</w:t>
        </w:r>
      </w:hyperlink>
    </w:p>
    <w:p>
      <w:pPr>
        <w:pStyle w:val="TOC3"/>
      </w:pPr>
      <w:hyperlink w:anchor="v14_82" w:history="1">
        <w:r>
          <w:rPr>
            <w:rFonts w:ascii="Times New Roman" w:hAnsi="Times New Roman" w:eastAsia="Songti SC"/>
            <w:color w:val="000000"/>
            <w:sz w:val="22"/>
          </w:rPr>
          <w:t>4.5.1 局部整数规划关系补全</w:t>
        </w:r>
        <w:r>
          <w:rPr>
            <w:rFonts w:ascii="Times New Roman" w:hAnsi="Times New Roman" w:eastAsia="Songti SC"/>
            <w:color w:val="000000"/>
            <w:sz w:val="22"/>
          </w:rPr>
          <w:tab/>
          <w:t>45</w:t>
        </w:r>
      </w:hyperlink>
    </w:p>
    <w:p>
      <w:pPr>
        <w:pStyle w:val="TOC3"/>
      </w:pPr>
      <w:hyperlink w:anchor="v14_83" w:history="1">
        <w:r>
          <w:rPr>
            <w:rFonts w:ascii="Times New Roman" w:hAnsi="Times New Roman" w:eastAsia="Songti SC"/>
            <w:color w:val="000000"/>
            <w:sz w:val="22"/>
          </w:rPr>
          <w:t>4.5.2 有界执行、原子提交与回退</w:t>
        </w:r>
        <w:r>
          <w:rPr>
            <w:rFonts w:ascii="Times New Roman" w:hAnsi="Times New Roman" w:eastAsia="Songti SC"/>
            <w:color w:val="000000"/>
            <w:sz w:val="22"/>
          </w:rPr>
          <w:tab/>
          <w:t>46</w:t>
        </w:r>
      </w:hyperlink>
    </w:p>
    <w:p>
      <w:pPr>
        <w:pStyle w:val="TOC3"/>
      </w:pPr>
      <w:hyperlink w:anchor="v14_84" w:history="1">
        <w:r>
          <w:rPr>
            <w:rFonts w:ascii="Times New Roman" w:hAnsi="Times New Roman" w:eastAsia="Songti SC"/>
            <w:color w:val="000000"/>
            <w:sz w:val="22"/>
          </w:rPr>
          <w:t>4.5.3 固定评分下的精确差值</w:t>
        </w:r>
        <w:r>
          <w:rPr>
            <w:rFonts w:ascii="Times New Roman" w:hAnsi="Times New Roman" w:eastAsia="Songti SC"/>
            <w:color w:val="000000"/>
            <w:sz w:val="22"/>
          </w:rPr>
          <w:tab/>
          <w:t>48</w:t>
        </w:r>
      </w:hyperlink>
    </w:p>
    <w:p>
      <w:pPr>
        <w:pStyle w:val="TOC3"/>
      </w:pPr>
      <w:hyperlink w:anchor="v14_85" w:history="1">
        <w:r>
          <w:rPr>
            <w:rFonts w:ascii="Times New Roman" w:hAnsi="Times New Roman" w:eastAsia="Songti SC"/>
            <w:color w:val="000000"/>
            <w:sz w:val="22"/>
          </w:rPr>
          <w:t>4.5.4 集合事务的可达性</w:t>
        </w:r>
        <w:r>
          <w:rPr>
            <w:rFonts w:ascii="Times New Roman" w:hAnsi="Times New Roman" w:eastAsia="Songti SC"/>
            <w:color w:val="000000"/>
            <w:sz w:val="22"/>
          </w:rPr>
          <w:tab/>
          <w:t>49</w:t>
        </w:r>
      </w:hyperlink>
    </w:p>
    <w:p>
      <w:pPr>
        <w:pStyle w:val="TOC3"/>
      </w:pPr>
      <w:hyperlink w:anchor="v14_86" w:history="1">
        <w:r>
          <w:rPr>
            <w:rFonts w:ascii="Times New Roman" w:hAnsi="Times New Roman" w:eastAsia="Songti SC"/>
            <w:color w:val="000000"/>
            <w:sz w:val="22"/>
          </w:rPr>
          <w:t>4.5.5 有限终止与真实指标边界</w:t>
        </w:r>
        <w:r>
          <w:rPr>
            <w:rFonts w:ascii="Times New Roman" w:hAnsi="Times New Roman" w:eastAsia="Songti SC"/>
            <w:color w:val="000000"/>
            <w:sz w:val="22"/>
          </w:rPr>
          <w:tab/>
          <w:t>49</w:t>
        </w:r>
      </w:hyperlink>
    </w:p>
    <w:p>
      <w:pPr>
        <w:pStyle w:val="TOC2"/>
      </w:pPr>
      <w:hyperlink w:anchor="v14_87" w:history="1">
        <w:r>
          <w:rPr>
            <w:rFonts w:ascii="Times New Roman" w:hAnsi="Times New Roman" w:eastAsia="Songti SC"/>
            <w:color w:val="000000"/>
            <w:sz w:val="22"/>
          </w:rPr>
          <w:t>4.6 实验与分析</w:t>
        </w:r>
        <w:r>
          <w:rPr>
            <w:rFonts w:ascii="Times New Roman" w:hAnsi="Times New Roman" w:eastAsia="Songti SC"/>
            <w:color w:val="000000"/>
            <w:sz w:val="22"/>
          </w:rPr>
          <w:tab/>
          <w:t>49</w:t>
        </w:r>
      </w:hyperlink>
    </w:p>
    <w:p>
      <w:pPr>
        <w:pStyle w:val="TOC3"/>
      </w:pPr>
      <w:hyperlink w:anchor="v14_88" w:history="1">
        <w:r>
          <w:rPr>
            <w:rFonts w:ascii="Times New Roman" w:hAnsi="Times New Roman" w:eastAsia="Songti SC"/>
            <w:color w:val="000000"/>
            <w:sz w:val="22"/>
          </w:rPr>
          <w:t>4.6.1 推理协议与方法对照</w:t>
        </w:r>
        <w:r>
          <w:rPr>
            <w:rFonts w:ascii="Times New Roman" w:hAnsi="Times New Roman" w:eastAsia="Songti SC"/>
            <w:color w:val="000000"/>
            <w:sz w:val="22"/>
          </w:rPr>
          <w:tab/>
          <w:t>50</w:t>
        </w:r>
      </w:hyperlink>
    </w:p>
    <w:p>
      <w:pPr>
        <w:pStyle w:val="TOC3"/>
      </w:pPr>
      <w:hyperlink w:anchor="v14_89" w:history="1">
        <w:r>
          <w:rPr>
            <w:rFonts w:ascii="Times New Roman" w:hAnsi="Times New Roman" w:eastAsia="Songti SC"/>
            <w:color w:val="000000"/>
            <w:sz w:val="22"/>
          </w:rPr>
          <w:t>4.6.2 系统结果与策略对照</w:t>
        </w:r>
        <w:r>
          <w:rPr>
            <w:rFonts w:ascii="Times New Roman" w:hAnsi="Times New Roman" w:eastAsia="Songti SC"/>
            <w:color w:val="000000"/>
            <w:sz w:val="22"/>
          </w:rPr>
          <w:tab/>
          <w:t>53</w:t>
        </w:r>
      </w:hyperlink>
    </w:p>
    <w:p>
      <w:pPr>
        <w:pStyle w:val="TOC3"/>
      </w:pPr>
      <w:hyperlink w:anchor="v14_90" w:history="1">
        <w:r>
          <w:rPr>
            <w:rFonts w:ascii="Times New Roman" w:hAnsi="Times New Roman" w:eastAsia="Songti SC"/>
            <w:color w:val="000000"/>
            <w:sz w:val="22"/>
          </w:rPr>
          <w:t>4.6.3 候选覆盖与恢复空间</w:t>
        </w:r>
        <w:r>
          <w:rPr>
            <w:rFonts w:ascii="Times New Roman" w:hAnsi="Times New Roman" w:eastAsia="Songti SC"/>
            <w:color w:val="000000"/>
            <w:sz w:val="22"/>
          </w:rPr>
          <w:tab/>
          <w:t>55</w:t>
        </w:r>
      </w:hyperlink>
    </w:p>
    <w:p>
      <w:pPr>
        <w:pStyle w:val="TOC3"/>
      </w:pPr>
      <w:hyperlink w:anchor="v14_91" w:history="1">
        <w:r>
          <w:rPr>
            <w:rFonts w:ascii="Times New Roman" w:hAnsi="Times New Roman" w:eastAsia="Songti SC"/>
            <w:color w:val="000000"/>
            <w:sz w:val="22"/>
          </w:rPr>
          <w:t>4.6.4 完整对象评分与校准</w:t>
        </w:r>
        <w:r>
          <w:rPr>
            <w:rFonts w:ascii="Times New Roman" w:hAnsi="Times New Roman" w:eastAsia="Songti SC"/>
            <w:color w:val="000000"/>
            <w:sz w:val="22"/>
          </w:rPr>
          <w:tab/>
          <w:t>56</w:t>
        </w:r>
      </w:hyperlink>
    </w:p>
    <w:p>
      <w:pPr>
        <w:pStyle w:val="TOC3"/>
      </w:pPr>
      <w:hyperlink w:anchor="v14_92" w:history="1">
        <w:r>
          <w:rPr>
            <w:rFonts w:ascii="Times New Roman" w:hAnsi="Times New Roman" w:eastAsia="Songti SC"/>
            <w:color w:val="000000"/>
            <w:sz w:val="22"/>
          </w:rPr>
          <w:t>4.6.5 恢复风险与资源取舍</w:t>
        </w:r>
        <w:r>
          <w:rPr>
            <w:rFonts w:ascii="Times New Roman" w:hAnsi="Times New Roman" w:eastAsia="Songti SC"/>
            <w:color w:val="000000"/>
            <w:sz w:val="22"/>
          </w:rPr>
          <w:tab/>
          <w:t>57</w:t>
        </w:r>
      </w:hyperlink>
    </w:p>
    <w:p>
      <w:pPr>
        <w:pStyle w:val="TOC3"/>
      </w:pPr>
      <w:hyperlink w:anchor="v14_93" w:history="1">
        <w:r>
          <w:rPr>
            <w:rFonts w:ascii="Times New Roman" w:hAnsi="Times New Roman" w:eastAsia="Songti SC"/>
            <w:color w:val="000000"/>
            <w:sz w:val="22"/>
          </w:rPr>
          <w:t>4.6.6 预算条件的分析示例</w:t>
        </w:r>
        <w:r>
          <w:rPr>
            <w:rFonts w:ascii="Times New Roman" w:hAnsi="Times New Roman" w:eastAsia="Songti SC"/>
            <w:color w:val="000000"/>
            <w:sz w:val="22"/>
          </w:rPr>
          <w:tab/>
          <w:t>59</w:t>
        </w:r>
      </w:hyperlink>
    </w:p>
    <w:p>
      <w:pPr>
        <w:pStyle w:val="TOC3"/>
      </w:pPr>
      <w:hyperlink w:anchor="v14_94" w:history="1">
        <w:r>
          <w:rPr>
            <w:rFonts w:ascii="Times New Roman" w:hAnsi="Times New Roman" w:eastAsia="Songti SC"/>
            <w:color w:val="000000"/>
            <w:sz w:val="22"/>
          </w:rPr>
          <w:t>4.6.7 案例分析</w:t>
        </w:r>
        <w:r>
          <w:rPr>
            <w:rFonts w:ascii="Times New Roman" w:hAnsi="Times New Roman" w:eastAsia="Songti SC"/>
            <w:color w:val="000000"/>
            <w:sz w:val="22"/>
          </w:rPr>
          <w:tab/>
          <w:t>59</w:t>
        </w:r>
      </w:hyperlink>
    </w:p>
    <w:p>
      <w:pPr>
        <w:pStyle w:val="TOC2"/>
      </w:pPr>
      <w:hyperlink w:anchor="v14_95" w:history="1">
        <w:r>
          <w:rPr>
            <w:rFonts w:ascii="Times New Roman" w:hAnsi="Times New Roman" w:eastAsia="Songti SC"/>
            <w:color w:val="000000"/>
            <w:sz w:val="22"/>
          </w:rPr>
          <w:t>4.7 本章小结</w:t>
        </w:r>
        <w:r>
          <w:rPr>
            <w:rFonts w:ascii="Times New Roman" w:hAnsi="Times New Roman" w:eastAsia="Songti SC"/>
            <w:color w:val="000000"/>
            <w:sz w:val="22"/>
          </w:rPr>
          <w:tab/>
          <w:t>60</w:t>
        </w:r>
      </w:hyperlink>
    </w:p>
    <w:p>
      <w:pPr>
        <w:pStyle w:val="TOC1"/>
        <w:keepNext/>
        <w:spacing w:before="120"/>
      </w:pPr>
      <w:hyperlink w:anchor="v14_96" w:history="1">
        <w:r>
          <w:rPr>
            <w:rFonts w:ascii="Times New Roman" w:hAnsi="Times New Roman" w:eastAsia="Songti SC"/>
            <w:color w:val="000000"/>
            <w:sz w:val="22"/>
          </w:rPr>
          <w:t>第五章 两阶段框架的综合分析</w:t>
        </w:r>
        <w:r>
          <w:rPr>
            <w:rFonts w:ascii="Times New Roman" w:hAnsi="Times New Roman" w:eastAsia="Songti SC"/>
            <w:color w:val="000000"/>
            <w:sz w:val="22"/>
          </w:rPr>
          <w:tab/>
          <w:t>61</w:t>
        </w:r>
      </w:hyperlink>
    </w:p>
    <w:p>
      <w:pPr>
        <w:pStyle w:val="TOC2"/>
      </w:pPr>
      <w:hyperlink w:anchor="v14_97" w:history="1">
        <w:r>
          <w:rPr>
            <w:rFonts w:ascii="Times New Roman" w:hAnsi="Times New Roman" w:eastAsia="Songti SC"/>
            <w:color w:val="000000"/>
            <w:sz w:val="22"/>
          </w:rPr>
          <w:t>5.1 两阶段的条件增量</w:t>
        </w:r>
        <w:r>
          <w:rPr>
            <w:rFonts w:ascii="Times New Roman" w:hAnsi="Times New Roman" w:eastAsia="Songti SC"/>
            <w:color w:val="000000"/>
            <w:sz w:val="22"/>
          </w:rPr>
          <w:tab/>
          <w:t>61</w:t>
        </w:r>
      </w:hyperlink>
    </w:p>
    <w:p>
      <w:pPr>
        <w:pStyle w:val="TOC2"/>
      </w:pPr>
      <w:hyperlink w:anchor="v14_98" w:history="1">
        <w:r>
          <w:rPr>
            <w:rFonts w:ascii="Times New Roman" w:hAnsi="Times New Roman" w:eastAsia="Songti SC"/>
            <w:color w:val="000000"/>
            <w:sz w:val="22"/>
          </w:rPr>
          <w:t>5.2 对象作用与聚合成绩的解释边界</w:t>
        </w:r>
        <w:r>
          <w:rPr>
            <w:rFonts w:ascii="Times New Roman" w:hAnsi="Times New Roman" w:eastAsia="Songti SC"/>
            <w:color w:val="000000"/>
            <w:sz w:val="22"/>
          </w:rPr>
          <w:tab/>
          <w:t>62</w:t>
        </w:r>
      </w:hyperlink>
    </w:p>
    <w:p>
      <w:pPr>
        <w:pStyle w:val="TOC2"/>
      </w:pPr>
      <w:hyperlink w:anchor="v14_99" w:history="1">
        <w:r>
          <w:rPr>
            <w:rFonts w:ascii="Times New Roman" w:hAnsi="Times New Roman" w:eastAsia="Songti SC"/>
            <w:color w:val="000000"/>
            <w:sz w:val="22"/>
          </w:rPr>
          <w:t>5.3 训练完成后的在线配置取舍</w:t>
        </w:r>
        <w:r>
          <w:rPr>
            <w:rFonts w:ascii="Times New Roman" w:hAnsi="Times New Roman" w:eastAsia="Songti SC"/>
            <w:color w:val="000000"/>
            <w:sz w:val="22"/>
          </w:rPr>
          <w:tab/>
          <w:t>63</w:t>
        </w:r>
      </w:hyperlink>
    </w:p>
    <w:p>
      <w:pPr>
        <w:pStyle w:val="TOC2"/>
      </w:pPr>
      <w:hyperlink w:anchor="v14_100" w:history="1">
        <w:r>
          <w:rPr>
            <w:rFonts w:ascii="Times New Roman" w:hAnsi="Times New Roman" w:eastAsia="Songti SC"/>
            <w:color w:val="000000"/>
            <w:sz w:val="22"/>
          </w:rPr>
          <w:t>5.4 本章小结</w:t>
        </w:r>
        <w:r>
          <w:rPr>
            <w:rFonts w:ascii="Times New Roman" w:hAnsi="Times New Roman" w:eastAsia="Songti SC"/>
            <w:color w:val="000000"/>
            <w:sz w:val="22"/>
          </w:rPr>
          <w:tab/>
          <w:t>64</w:t>
        </w:r>
      </w:hyperlink>
    </w:p>
    <w:p>
      <w:pPr>
        <w:pStyle w:val="TOC1"/>
        <w:keepNext/>
        <w:spacing w:before="120"/>
      </w:pPr>
      <w:hyperlink w:anchor="v14_101" w:history="1">
        <w:r>
          <w:rPr>
            <w:rFonts w:ascii="Times New Roman" w:hAnsi="Times New Roman" w:eastAsia="Songti SC"/>
            <w:color w:val="000000"/>
            <w:sz w:val="22"/>
          </w:rPr>
          <w:t>第六章 总结与展望</w:t>
        </w:r>
        <w:r>
          <w:rPr>
            <w:rFonts w:ascii="Times New Roman" w:hAnsi="Times New Roman" w:eastAsia="Songti SC"/>
            <w:color w:val="000000"/>
            <w:sz w:val="22"/>
          </w:rPr>
          <w:tab/>
          <w:t>65</w:t>
        </w:r>
      </w:hyperlink>
    </w:p>
    <w:p>
      <w:pPr>
        <w:pStyle w:val="TOC2"/>
      </w:pPr>
      <w:hyperlink w:anchor="v14_102" w:history="1">
        <w:r>
          <w:rPr>
            <w:rFonts w:ascii="Times New Roman" w:hAnsi="Times New Roman" w:eastAsia="Songti SC"/>
            <w:color w:val="000000"/>
            <w:sz w:val="22"/>
          </w:rPr>
          <w:t>6.1 研究总结</w:t>
        </w:r>
        <w:r>
          <w:rPr>
            <w:rFonts w:ascii="Times New Roman" w:hAnsi="Times New Roman" w:eastAsia="Songti SC"/>
            <w:color w:val="000000"/>
            <w:sz w:val="22"/>
          </w:rPr>
          <w:tab/>
          <w:t>65</w:t>
        </w:r>
      </w:hyperlink>
    </w:p>
    <w:p>
      <w:pPr>
        <w:pStyle w:val="TOC2"/>
      </w:pPr>
      <w:hyperlink w:anchor="v14_103" w:history="1">
        <w:r>
          <w:rPr>
            <w:rFonts w:ascii="Times New Roman" w:hAnsi="Times New Roman" w:eastAsia="Songti SC"/>
            <w:color w:val="000000"/>
            <w:sz w:val="22"/>
          </w:rPr>
          <w:t>6.2 研究局限</w:t>
        </w:r>
        <w:r>
          <w:rPr>
            <w:rFonts w:ascii="Times New Roman" w:hAnsi="Times New Roman" w:eastAsia="Songti SC"/>
            <w:color w:val="000000"/>
            <w:sz w:val="22"/>
          </w:rPr>
          <w:tab/>
          <w:t>65</w:t>
        </w:r>
      </w:hyperlink>
    </w:p>
    <w:p>
      <w:pPr>
        <w:pStyle w:val="TOC2"/>
      </w:pPr>
      <w:hyperlink w:anchor="v14_104" w:history="1">
        <w:r>
          <w:rPr>
            <w:rFonts w:ascii="Times New Roman" w:hAnsi="Times New Roman" w:eastAsia="Songti SC"/>
            <w:color w:val="000000"/>
            <w:sz w:val="22"/>
          </w:rPr>
          <w:t>6.3 后续研究方向</w:t>
        </w:r>
        <w:r>
          <w:rPr>
            <w:rFonts w:ascii="Times New Roman" w:hAnsi="Times New Roman" w:eastAsia="Songti SC"/>
            <w:color w:val="000000"/>
            <w:sz w:val="22"/>
          </w:rPr>
          <w:tab/>
          <w:t>66</w:t>
        </w:r>
      </w:hyperlink>
    </w:p>
    <w:p>
      <w:pPr>
        <w:pStyle w:val="TOC1"/>
        <w:keepNext/>
        <w:spacing w:before="120"/>
      </w:pPr>
      <w:hyperlink w:anchor="v14_105" w:history="1">
        <w:r>
          <w:rPr>
            <w:rFonts w:ascii="Times New Roman" w:hAnsi="Times New Roman" w:eastAsia="Songti SC"/>
            <w:color w:val="000000"/>
            <w:sz w:val="22"/>
          </w:rPr>
          <w:t>参考文献</w:t>
        </w:r>
        <w:r>
          <w:rPr>
            <w:rFonts w:ascii="Times New Roman" w:hAnsi="Times New Roman" w:eastAsia="Songti SC"/>
            <w:color w:val="000000"/>
            <w:sz w:val="22"/>
          </w:rPr>
          <w:tab/>
          <w:t>67</w:t>
        </w:r>
      </w:hyperlink>
    </w:p>
    <w:p>
      <w:pPr>
        <w:pStyle w:val="TOC1"/>
        <w:keepNext/>
        <w:spacing w:before="120"/>
      </w:pPr>
      <w:hyperlink w:anchor="v14_106" w:history="1">
        <w:r>
          <w:rPr>
            <w:rFonts w:ascii="Times New Roman" w:hAnsi="Times New Roman" w:eastAsia="Songti SC"/>
            <w:color w:val="000000"/>
            <w:sz w:val="22"/>
          </w:rPr>
          <w:t>附录A 数据处理与复现协议</w:t>
        </w:r>
        <w:r>
          <w:rPr>
            <w:rFonts w:ascii="Times New Roman" w:hAnsi="Times New Roman" w:eastAsia="Songti SC"/>
            <w:color w:val="000000"/>
            <w:sz w:val="22"/>
          </w:rPr>
          <w:tab/>
          <w:t>71</w:t>
        </w:r>
      </w:hyperlink>
    </w:p>
    <w:p>
      <w:pPr>
        <w:pStyle w:val="TOC2"/>
      </w:pPr>
      <w:hyperlink w:anchor="v14_107" w:history="1">
        <w:r>
          <w:rPr>
            <w:rFonts w:ascii="Times New Roman" w:hAnsi="Times New Roman" w:eastAsia="Songti SC"/>
            <w:color w:val="000000"/>
            <w:sz w:val="22"/>
          </w:rPr>
          <w:t>A.1 坐标与结构数据</w:t>
        </w:r>
        <w:r>
          <w:rPr>
            <w:rFonts w:ascii="Times New Roman" w:hAnsi="Times New Roman" w:eastAsia="Songti SC"/>
            <w:color w:val="000000"/>
            <w:sz w:val="22"/>
          </w:rPr>
          <w:tab/>
          <w:t>71</w:t>
        </w:r>
      </w:hyperlink>
    </w:p>
    <w:p>
      <w:pPr>
        <w:pStyle w:val="TOC2"/>
      </w:pPr>
      <w:hyperlink w:anchor="v14_108" w:history="1">
        <w:r>
          <w:rPr>
            <w:rFonts w:ascii="Times New Roman" w:hAnsi="Times New Roman" w:eastAsia="Songti SC"/>
            <w:color w:val="000000"/>
            <w:sz w:val="22"/>
          </w:rPr>
          <w:t>A.2 配置与结果的关联</w:t>
        </w:r>
        <w:r>
          <w:rPr>
            <w:rFonts w:ascii="Times New Roman" w:hAnsi="Times New Roman" w:eastAsia="Songti SC"/>
            <w:color w:val="000000"/>
            <w:sz w:val="22"/>
          </w:rPr>
          <w:tab/>
          <w:t>71</w:t>
        </w:r>
      </w:hyperlink>
    </w:p>
    <w:p>
      <w:pPr>
        <w:pStyle w:val="TOC2"/>
      </w:pPr>
      <w:hyperlink w:anchor="v14_109" w:history="1">
        <w:r>
          <w:rPr>
            <w:rFonts w:ascii="Times New Roman" w:hAnsi="Times New Roman" w:eastAsia="Songti SC"/>
            <w:color w:val="000000"/>
            <w:sz w:val="22"/>
          </w:rPr>
          <w:t>A.3 其他语料与语言的范围</w:t>
        </w:r>
        <w:r>
          <w:rPr>
            <w:rFonts w:ascii="Times New Roman" w:hAnsi="Times New Roman" w:eastAsia="Songti SC"/>
            <w:color w:val="000000"/>
            <w:sz w:val="22"/>
          </w:rPr>
          <w:tab/>
          <w:t>72</w:t>
        </w:r>
      </w:hyperlink>
    </w:p>
    <w:p>
      <w:pPr>
        <w:pStyle w:val="TOC2"/>
      </w:pPr>
      <w:hyperlink w:anchor="v14_110" w:history="1">
        <w:r>
          <w:rPr>
            <w:rFonts w:ascii="Times New Roman" w:hAnsi="Times New Roman" w:eastAsia="Songti SC"/>
            <w:color w:val="000000"/>
            <w:sz w:val="22"/>
          </w:rPr>
          <w:t>A.4 本版参考规约与配置身份</w:t>
        </w:r>
        <w:r>
          <w:rPr>
            <w:rFonts w:ascii="Times New Roman" w:hAnsi="Times New Roman" w:eastAsia="Songti SC"/>
            <w:color w:val="000000"/>
            <w:sz w:val="22"/>
          </w:rPr>
          <w:tab/>
          <w:t>72</w:t>
        </w:r>
      </w:hyperlink>
    </w:p>
    <w:p>
      <w:pPr>
        <w:pStyle w:val="TOC2"/>
      </w:pPr>
      <w:hyperlink w:anchor="v14_111" w:history="1">
        <w:r>
          <w:rPr>
            <w:rFonts w:ascii="Times New Roman" w:hAnsi="Times New Roman" w:eastAsia="Songti SC"/>
            <w:color w:val="000000"/>
            <w:sz w:val="22"/>
          </w:rPr>
          <w:t>A.5 结果登记与跨章复用</w:t>
        </w:r>
        <w:r>
          <w:rPr>
            <w:rFonts w:ascii="Times New Roman" w:hAnsi="Times New Roman" w:eastAsia="Songti SC"/>
            <w:color w:val="000000"/>
            <w:sz w:val="22"/>
          </w:rPr>
          <w:tab/>
          <w:t>73</w:t>
        </w:r>
      </w:hyperlink>
    </w:p>
    <w:p>
      <w:pPr>
        <w:pStyle w:val="TOC2"/>
      </w:pPr>
      <w:hyperlink w:anchor="v14_112" w:history="1">
        <w:r>
          <w:rPr>
            <w:rFonts w:ascii="Times New Roman" w:hAnsi="Times New Roman" w:eastAsia="Songti SC"/>
            <w:color w:val="000000"/>
            <w:sz w:val="22"/>
          </w:rPr>
          <w:t>A.6 序列化、坐标与候选构造细则</w:t>
        </w:r>
        <w:r>
          <w:rPr>
            <w:rFonts w:ascii="Times New Roman" w:hAnsi="Times New Roman" w:eastAsia="Songti SC"/>
            <w:color w:val="000000"/>
            <w:sz w:val="22"/>
          </w:rPr>
          <w:tab/>
          <w:t>74</w:t>
        </w:r>
      </w:hyperlink>
    </w:p>
    <w:p>
      <w:pPr>
        <w:pStyle w:val="TOC1"/>
        <w:keepNext/>
        <w:spacing w:before="120"/>
      </w:pPr>
      <w:hyperlink w:anchor="v14_113" w:history="1">
        <w:r>
          <w:rPr>
            <w:rFonts w:ascii="Times New Roman" w:hAnsi="Times New Roman" w:eastAsia="Songti SC"/>
            <w:color w:val="000000"/>
            <w:sz w:val="22"/>
          </w:rPr>
          <w:t>附录B 评分与事务执行记录</w:t>
        </w:r>
        <w:r>
          <w:rPr>
            <w:rFonts w:ascii="Times New Roman" w:hAnsi="Times New Roman" w:eastAsia="Songti SC"/>
            <w:color w:val="000000"/>
            <w:sz w:val="22"/>
          </w:rPr>
          <w:tab/>
          <w:t>75</w:t>
        </w:r>
      </w:hyperlink>
    </w:p>
    <w:p>
      <w:pPr>
        <w:pStyle w:val="TOC2"/>
      </w:pPr>
      <w:hyperlink w:anchor="v14_114" w:history="1">
        <w:r>
          <w:rPr>
            <w:rFonts w:ascii="Times New Roman" w:hAnsi="Times New Roman" w:eastAsia="Songti SC"/>
            <w:color w:val="000000"/>
            <w:sz w:val="22"/>
          </w:rPr>
          <w:t>B.1 数据与模型身份</w:t>
        </w:r>
        <w:r>
          <w:rPr>
            <w:rFonts w:ascii="Times New Roman" w:hAnsi="Times New Roman" w:eastAsia="Songti SC"/>
            <w:color w:val="000000"/>
            <w:sz w:val="22"/>
          </w:rPr>
          <w:tab/>
          <w:t>75</w:t>
        </w:r>
      </w:hyperlink>
    </w:p>
    <w:p>
      <w:pPr>
        <w:pStyle w:val="TOC2"/>
      </w:pPr>
      <w:hyperlink w:anchor="v14_115" w:history="1">
        <w:r>
          <w:rPr>
            <w:rFonts w:ascii="Times New Roman" w:hAnsi="Times New Roman" w:eastAsia="Songti SC"/>
            <w:color w:val="000000"/>
            <w:sz w:val="22"/>
          </w:rPr>
          <w:t>B.2 评分与接受轨迹</w:t>
        </w:r>
        <w:r>
          <w:rPr>
            <w:rFonts w:ascii="Times New Roman" w:hAnsi="Times New Roman" w:eastAsia="Songti SC"/>
            <w:color w:val="000000"/>
            <w:sz w:val="22"/>
          </w:rPr>
          <w:tab/>
          <w:t>75</w:t>
        </w:r>
      </w:hyperlink>
    </w:p>
    <w:p>
      <w:pPr>
        <w:pStyle w:val="TOC2"/>
      </w:pPr>
      <w:hyperlink w:anchor="v14_116" w:history="1">
        <w:r>
          <w:rPr>
            <w:rFonts w:ascii="Times New Roman" w:hAnsi="Times New Roman" w:eastAsia="Songti SC"/>
            <w:color w:val="000000"/>
            <w:sz w:val="22"/>
          </w:rPr>
          <w:t>B.3 回退与预算</w:t>
        </w:r>
        <w:r>
          <w:rPr>
            <w:rFonts w:ascii="Times New Roman" w:hAnsi="Times New Roman" w:eastAsia="Songti SC"/>
            <w:color w:val="000000"/>
            <w:sz w:val="22"/>
          </w:rPr>
          <w:tab/>
          <w:t>75</w:t>
        </w:r>
      </w:hyperlink>
    </w:p>
    <w:p>
      <w:pPr>
        <w:pStyle w:val="TOC2"/>
      </w:pPr>
      <w:hyperlink w:anchor="v14_117" w:history="1">
        <w:r>
          <w:rPr>
            <w:rFonts w:ascii="Times New Roman" w:hAnsi="Times New Roman" w:eastAsia="Songti SC"/>
            <w:color w:val="000000"/>
            <w:sz w:val="22"/>
          </w:rPr>
          <w:t>B.4 实现一致性测试</w:t>
        </w:r>
        <w:r>
          <w:rPr>
            <w:rFonts w:ascii="Times New Roman" w:hAnsi="Times New Roman" w:eastAsia="Songti SC"/>
            <w:color w:val="000000"/>
            <w:sz w:val="22"/>
          </w:rPr>
          <w:tab/>
          <w:t>76</w:t>
        </w:r>
      </w:hyperlink>
    </w:p>
    <w:p>
      <w:pPr>
        <w:pStyle w:val="TOC3"/>
      </w:pPr>
      <w:hyperlink w:anchor="v14_118" w:history="1">
        <w:r>
          <w:rPr>
            <w:rFonts w:ascii="Times New Roman" w:hAnsi="Times New Roman" w:eastAsia="Songti SC"/>
            <w:color w:val="000000"/>
            <w:sz w:val="22"/>
          </w:rPr>
          <w:t>B.4.1 已执行的构造检查</w:t>
        </w:r>
        <w:r>
          <w:rPr>
            <w:rFonts w:ascii="Times New Roman" w:hAnsi="Times New Roman" w:eastAsia="Songti SC"/>
            <w:color w:val="000000"/>
            <w:sz w:val="22"/>
          </w:rPr>
          <w:tab/>
          <w:t>76</w:t>
        </w:r>
      </w:hyperlink>
    </w:p>
    <w:p>
      <w:pPr>
        <w:pStyle w:val="TOC3"/>
      </w:pPr>
      <w:hyperlink w:anchor="v14_119" w:history="1">
        <w:r>
          <w:rPr>
            <w:rFonts w:ascii="Times New Roman" w:hAnsi="Times New Roman" w:eastAsia="Songti SC"/>
            <w:color w:val="000000"/>
            <w:sz w:val="22"/>
          </w:rPr>
          <w:t>B.4.2 训练与求解接口</w:t>
        </w:r>
        <w:r>
          <w:rPr>
            <w:rFonts w:ascii="Times New Roman" w:hAnsi="Times New Roman" w:eastAsia="Songti SC"/>
            <w:color w:val="000000"/>
            <w:sz w:val="22"/>
          </w:rPr>
          <w:tab/>
          <w:t>76</w:t>
        </w:r>
      </w:hyperlink>
    </w:p>
    <w:p>
      <w:pPr>
        <w:pStyle w:val="TOC3"/>
      </w:pPr>
      <w:hyperlink w:anchor="v14_120" w:history="1">
        <w:r>
          <w:rPr>
            <w:rFonts w:ascii="Times New Roman" w:hAnsi="Times New Roman" w:eastAsia="Songti SC"/>
            <w:color w:val="000000"/>
            <w:sz w:val="22"/>
          </w:rPr>
          <w:t>B.4.3 外层预算与提交的边界判定</w:t>
        </w:r>
        <w:r>
          <w:rPr>
            <w:rFonts w:ascii="Times New Roman" w:hAnsi="Times New Roman" w:eastAsia="Songti SC"/>
            <w:color w:val="000000"/>
            <w:sz w:val="22"/>
          </w:rPr>
          <w:tab/>
          <w:t>76</w:t>
        </w:r>
      </w:hyperlink>
    </w:p>
    <w:p>
      <w:pPr>
        <w:pStyle w:val="TOC2"/>
      </w:pPr>
      <w:hyperlink w:anchor="v14_121" w:history="1">
        <w:r>
          <w:rPr>
            <w:rFonts w:ascii="Times New Roman" w:hAnsi="Times New Roman" w:eastAsia="Songti SC"/>
            <w:color w:val="000000"/>
            <w:sz w:val="22"/>
          </w:rPr>
          <w:t>B.5 案例的统一记录格式</w:t>
        </w:r>
        <w:r>
          <w:rPr>
            <w:rFonts w:ascii="Times New Roman" w:hAnsi="Times New Roman" w:eastAsia="Songti SC"/>
            <w:color w:val="000000"/>
            <w:sz w:val="22"/>
          </w:rPr>
          <w:tab/>
          <w:t>77</w:t>
        </w:r>
      </w:hyperlink>
    </w:p>
    <w:p>
      <w:pPr>
        <w:pStyle w:val="TOC2"/>
      </w:pPr>
      <w:hyperlink w:anchor="v14_122" w:history="1">
        <w:r>
          <w:rPr>
            <w:rFonts w:ascii="Times New Roman" w:hAnsi="Times New Roman" w:eastAsia="Songti SC"/>
            <w:color w:val="000000"/>
            <w:sz w:val="22"/>
          </w:rPr>
          <w:t>B.6 固定评分性质的证明与构造</w:t>
        </w:r>
        <w:r>
          <w:rPr>
            <w:rFonts w:ascii="Times New Roman" w:hAnsi="Times New Roman" w:eastAsia="Songti SC"/>
            <w:color w:val="000000"/>
            <w:sz w:val="22"/>
          </w:rPr>
          <w:tab/>
          <w:t>78</w:t>
        </w:r>
      </w:hyperlink>
    </w:p>
    <w:p>
      <w:pPr>
        <w:pStyle w:val="TOC1"/>
        <w:keepNext/>
        <w:spacing w:before="120"/>
      </w:pPr>
      <w:hyperlink w:anchor="v14_123" w:history="1">
        <w:r>
          <w:rPr>
            <w:rFonts w:ascii="Times New Roman" w:hAnsi="Times New Roman" w:eastAsia="Songti SC"/>
            <w:color w:val="000000"/>
            <w:sz w:val="22"/>
          </w:rPr>
          <w:t>附录C 成果归属与研究声明</w:t>
        </w:r>
        <w:r>
          <w:rPr>
            <w:rFonts w:ascii="Times New Roman" w:hAnsi="Times New Roman" w:eastAsia="Songti SC"/>
            <w:color w:val="000000"/>
            <w:sz w:val="22"/>
          </w:rPr>
          <w:tab/>
          <w:t>79</w:t>
        </w:r>
      </w:hyperlink>
    </w:p>
    <w:p>
      <w:pPr>
        <w:pStyle w:val="TOC2"/>
      </w:pPr>
      <w:hyperlink w:anchor="v14_124" w:history="1">
        <w:r>
          <w:rPr>
            <w:rFonts w:ascii="Times New Roman" w:hAnsi="Times New Roman" w:eastAsia="Songti SC"/>
            <w:color w:val="000000"/>
            <w:sz w:val="22"/>
          </w:rPr>
          <w:t>C.1 前期共同成果</w:t>
        </w:r>
        <w:r>
          <w:rPr>
            <w:rFonts w:ascii="Times New Roman" w:hAnsi="Times New Roman" w:eastAsia="Songti SC"/>
            <w:color w:val="000000"/>
            <w:sz w:val="22"/>
          </w:rPr>
          <w:tab/>
          <w:t>79</w:t>
        </w:r>
      </w:hyperlink>
    </w:p>
    <w:p>
      <w:pPr>
        <w:pStyle w:val="TOC2"/>
      </w:pPr>
      <w:hyperlink w:anchor="v14_125" w:history="1">
        <w:r>
          <w:rPr>
            <w:rFonts w:ascii="Times New Roman" w:hAnsi="Times New Roman" w:eastAsia="Songti SC"/>
            <w:color w:val="000000"/>
            <w:sz w:val="22"/>
          </w:rPr>
          <w:t>C.2 数据与材料可得性</w:t>
        </w:r>
        <w:r>
          <w:rPr>
            <w:rFonts w:ascii="Times New Roman" w:hAnsi="Times New Roman" w:eastAsia="Songti SC"/>
            <w:color w:val="000000"/>
            <w:sz w:val="22"/>
          </w:rPr>
          <w:tab/>
          <w:t>79</w:t>
        </w:r>
      </w:hyperlink>
    </w:p>
    <w:p>
      <w:pPr>
        <w:pStyle w:val="TOC2"/>
      </w:pPr>
      <w:hyperlink w:anchor="v14_126" w:history="1">
        <w:r>
          <w:rPr>
            <w:rFonts w:ascii="Times New Roman" w:hAnsi="Times New Roman" w:eastAsia="Songti SC"/>
            <w:color w:val="000000"/>
            <w:sz w:val="22"/>
          </w:rPr>
          <w:t>C.3 研究辅助与伦理说明</w:t>
        </w:r>
        <w:r>
          <w:rPr>
            <w:rFonts w:ascii="Times New Roman" w:hAnsi="Times New Roman" w:eastAsia="Songti SC"/>
            <w:color w:val="000000"/>
            <w:sz w:val="22"/>
          </w:rPr>
          <w:tab/>
          <w:t>79</w:t>
        </w:r>
      </w:hyperlink>
    </w:p>
    <w:p>
      <w:pPr>
        <w:pStyle w:val="TOC2"/>
      </w:pPr>
      <w:hyperlink w:anchor="v14_127" w:history="1">
        <w:r>
          <w:rPr>
            <w:rFonts w:ascii="Times New Roman" w:hAnsi="Times New Roman" w:eastAsia="Songti SC"/>
            <w:color w:val="000000"/>
            <w:sz w:val="22"/>
          </w:rPr>
          <w:t>C.4 成果记录与署名责任</w:t>
        </w:r>
        <w:r>
          <w:rPr>
            <w:rFonts w:ascii="Times New Roman" w:hAnsi="Times New Roman" w:eastAsia="Songti SC"/>
            <w:color w:val="000000"/>
            <w:sz w:val="22"/>
          </w:rPr>
          <w:tab/>
          <w:t>79</w:t>
        </w:r>
      </w:hyperlink>
    </w:p>
    <w:p>
      <w:pPr>
        <w:pStyle w:val="TOC1"/>
        <w:keepNext/>
        <w:spacing w:before="120"/>
      </w:pPr>
      <w:hyperlink w:anchor="v14_128" w:history="1">
        <w:r>
          <w:rPr>
            <w:rFonts w:ascii="Times New Roman" w:hAnsi="Times New Roman" w:eastAsia="Songti SC"/>
            <w:color w:val="000000"/>
            <w:sz w:val="22"/>
          </w:rPr>
          <w:t>附录D 前期实验基础与轻量诊断</w:t>
        </w:r>
        <w:r>
          <w:rPr>
            <w:rFonts w:ascii="Times New Roman" w:hAnsi="Times New Roman" w:eastAsia="Songti SC"/>
            <w:color w:val="000000"/>
            <w:sz w:val="22"/>
          </w:rPr>
          <w:tab/>
          <w:t>80</w:t>
        </w:r>
      </w:hyperlink>
    </w:p>
    <w:p>
      <w:pPr>
        <w:pStyle w:val="TOC2"/>
      </w:pPr>
      <w:hyperlink w:anchor="v14_129" w:history="1">
        <w:r>
          <w:rPr>
            <w:rFonts w:ascii="Times New Roman" w:hAnsi="Times New Roman" w:eastAsia="Songti SC"/>
            <w:color w:val="000000"/>
            <w:sz w:val="22"/>
          </w:rPr>
          <w:t>D.1 前期结果的使用范围</w:t>
        </w:r>
        <w:r>
          <w:rPr>
            <w:rFonts w:ascii="Times New Roman" w:hAnsi="Times New Roman" w:eastAsia="Songti SC"/>
            <w:color w:val="000000"/>
            <w:sz w:val="22"/>
          </w:rPr>
          <w:tab/>
          <w:t>80</w:t>
        </w:r>
      </w:hyperlink>
    </w:p>
    <w:p>
      <w:pPr>
        <w:pStyle w:val="TOC2"/>
      </w:pPr>
      <w:hyperlink w:anchor="v14_130" w:history="1">
        <w:r>
          <w:rPr>
            <w:rFonts w:ascii="Times New Roman" w:hAnsi="Times New Roman" w:eastAsia="Songti SC"/>
            <w:color w:val="000000"/>
            <w:sz w:val="22"/>
          </w:rPr>
          <w:t>D.2 训练集内诊断设置</w:t>
        </w:r>
        <w:r>
          <w:rPr>
            <w:rFonts w:ascii="Times New Roman" w:hAnsi="Times New Roman" w:eastAsia="Songti SC"/>
            <w:color w:val="000000"/>
            <w:sz w:val="22"/>
          </w:rPr>
          <w:tab/>
          <w:t>80</w:t>
        </w:r>
      </w:hyperlink>
    </w:p>
    <w:p>
      <w:pPr>
        <w:pStyle w:val="TOC2"/>
      </w:pPr>
      <w:hyperlink w:anchor="v14_131" w:history="1">
        <w:r>
          <w:rPr>
            <w:rFonts w:ascii="Times New Roman" w:hAnsi="Times New Roman" w:eastAsia="Songti SC"/>
            <w:color w:val="000000"/>
            <w:sz w:val="22"/>
          </w:rPr>
          <w:t>D.3 诊断的启示与限制</w:t>
        </w:r>
        <w:r>
          <w:rPr>
            <w:rFonts w:ascii="Times New Roman" w:hAnsi="Times New Roman" w:eastAsia="Songti SC"/>
            <w:color w:val="000000"/>
            <w:sz w:val="22"/>
          </w:rPr>
          <w:tab/>
          <w:t>80</w:t>
        </w:r>
      </w:hyperlink>
    </w:p>
    <w:p>
      <w:pPr>
        <w:pStyle w:val="TOC2"/>
      </w:pPr>
      <w:hyperlink w:anchor="v14_132" w:history="1">
        <w:r>
          <w:rPr>
            <w:rFonts w:ascii="Times New Roman" w:hAnsi="Times New Roman" w:eastAsia="Songti SC"/>
            <w:color w:val="000000"/>
            <w:sz w:val="22"/>
          </w:rPr>
          <w:t>D.4 本版构造验证及复算入口</w:t>
        </w:r>
        <w:r>
          <w:rPr>
            <w:rFonts w:ascii="Times New Roman" w:hAnsi="Times New Roman" w:eastAsia="Songti SC"/>
            <w:color w:val="000000"/>
            <w:sz w:val="22"/>
          </w:rPr>
          <w:tab/>
          <w:t>81</w:t>
        </w:r>
      </w:hyperlink>
    </w:p>
    <w:p>
      <w:pPr>
        <w:pStyle w:val="TOC2"/>
      </w:pPr>
      <w:hyperlink w:anchor="v14_133" w:history="1">
        <w:r>
          <w:rPr>
            <w:rFonts w:ascii="Times New Roman" w:hAnsi="Times New Roman" w:eastAsia="Songti SC"/>
            <w:color w:val="000000"/>
            <w:sz w:val="22"/>
          </w:rPr>
          <w:t>D.5 micro优化的计数反例</w:t>
        </w:r>
        <w:r>
          <w:rPr>
            <w:rFonts w:ascii="Times New Roman" w:hAnsi="Times New Roman" w:eastAsia="Songti SC"/>
            <w:color w:val="000000"/>
            <w:sz w:val="22"/>
          </w:rPr>
          <w:tab/>
          <w:t>81</w:t>
        </w:r>
      </w:hyperlink>
    </w:p>
    <w:p>
      <w:pPr>
        <w:pStyle w:val="TOC2"/>
      </w:pPr>
      <w:hyperlink w:anchor="v14_134" w:history="1">
        <w:r>
          <w:rPr>
            <w:rFonts w:ascii="Times New Roman" w:hAnsi="Times New Roman" w:eastAsia="Songti SC"/>
            <w:color w:val="000000"/>
            <w:sz w:val="22"/>
          </w:rPr>
          <w:t>D.6 既有接口构造材料</w:t>
        </w:r>
        <w:r>
          <w:rPr>
            <w:rFonts w:ascii="Times New Roman" w:hAnsi="Times New Roman" w:eastAsia="Songti SC"/>
            <w:color w:val="000000"/>
            <w:sz w:val="22"/>
          </w:rPr>
          <w:tab/>
          <w:t>82</w:t>
        </w:r>
      </w:hyperlink>
    </w:p>
    <w:p>
      <w:pPr>
        <w:pStyle w:val="TOC1"/>
        <w:keepNext/>
        <w:spacing w:before="120"/>
      </w:pPr>
      <w:hyperlink w:anchor="v14_135" w:history="1">
        <w:r>
          <w:rPr>
            <w:rFonts w:ascii="Times New Roman" w:hAnsi="Times New Roman" w:eastAsia="Songti SC"/>
            <w:color w:val="000000"/>
            <w:sz w:val="22"/>
          </w:rPr>
          <w:t>附录E 前期数值与协议存档</w:t>
        </w:r>
        <w:r>
          <w:rPr>
            <w:rFonts w:ascii="Times New Roman" w:hAnsi="Times New Roman" w:eastAsia="Songti SC"/>
            <w:color w:val="000000"/>
            <w:sz w:val="22"/>
          </w:rPr>
          <w:tab/>
          <w:t>83</w:t>
        </w:r>
      </w:hyperlink>
    </w:p>
    <w:p>
      <w:pPr>
        <w:pStyle w:val="TOC2"/>
      </w:pPr>
      <w:hyperlink w:anchor="v14_136" w:history="1">
        <w:r>
          <w:rPr>
            <w:rFonts w:ascii="Times New Roman" w:hAnsi="Times New Roman" w:eastAsia="Songti SC"/>
            <w:color w:val="000000"/>
            <w:sz w:val="22"/>
          </w:rPr>
          <w:t>E.1 AAEC组件分类别旧稿记录</w:t>
        </w:r>
        <w:r>
          <w:rPr>
            <w:rFonts w:ascii="Times New Roman" w:hAnsi="Times New Roman" w:eastAsia="Songti SC"/>
            <w:color w:val="000000"/>
            <w:sz w:val="22"/>
          </w:rPr>
          <w:tab/>
          <w:t>83</w:t>
        </w:r>
      </w:hyperlink>
    </w:p>
    <w:p>
      <w:pPr>
        <w:pStyle w:val="TOC2"/>
      </w:pPr>
      <w:hyperlink w:anchor="v14_137" w:history="1">
        <w:r>
          <w:rPr>
            <w:rFonts w:ascii="Times New Roman" w:hAnsi="Times New Roman" w:eastAsia="Songti SC"/>
            <w:color w:val="000000"/>
            <w:sz w:val="22"/>
          </w:rPr>
          <w:t>E.2 ICIC原版AAEC域内结果记录</w:t>
        </w:r>
        <w:r>
          <w:rPr>
            <w:rFonts w:ascii="Times New Roman" w:hAnsi="Times New Roman" w:eastAsia="Songti SC"/>
            <w:color w:val="000000"/>
            <w:sz w:val="22"/>
          </w:rPr>
          <w:tab/>
          <w:t>83</w:t>
        </w:r>
      </w:hyperlink>
    </w:p>
    <w:p>
      <w:pPr>
        <w:pStyle w:val="TOC2"/>
      </w:pPr>
      <w:hyperlink w:anchor="v14_138" w:history="1">
        <w:r>
          <w:rPr>
            <w:rFonts w:ascii="Times New Roman" w:hAnsi="Times New Roman" w:eastAsia="Songti SC"/>
            <w:color w:val="000000"/>
            <w:sz w:val="22"/>
          </w:rPr>
          <w:t>E.3 ICIC原版CDCP域内结果记录</w:t>
        </w:r>
        <w:r>
          <w:rPr>
            <w:rFonts w:ascii="Times New Roman" w:hAnsi="Times New Roman" w:eastAsia="Songti SC"/>
            <w:color w:val="000000"/>
            <w:sz w:val="22"/>
          </w:rPr>
          <w:tab/>
          <w:t>84</w:t>
        </w:r>
      </w:hyperlink>
    </w:p>
    <w:p>
      <w:pPr>
        <w:pStyle w:val="TOC2"/>
      </w:pPr>
      <w:hyperlink w:anchor="v14_139" w:history="1">
        <w:r>
          <w:rPr>
            <w:rFonts w:ascii="Times New Roman" w:hAnsi="Times New Roman" w:eastAsia="Songti SC"/>
            <w:color w:val="000000"/>
            <w:sz w:val="22"/>
          </w:rPr>
          <w:t>E.4 ICIC原版模块消融记录</w:t>
        </w:r>
        <w:r>
          <w:rPr>
            <w:rFonts w:ascii="Times New Roman" w:hAnsi="Times New Roman" w:eastAsia="Songti SC"/>
            <w:color w:val="000000"/>
            <w:sz w:val="22"/>
          </w:rPr>
          <w:tab/>
          <w:t>84</w:t>
        </w:r>
      </w:hyperlink>
    </w:p>
    <w:p>
      <w:pPr>
        <w:pStyle w:val="TOC2"/>
      </w:pPr>
      <w:hyperlink w:anchor="v14_140" w:history="1">
        <w:r>
          <w:rPr>
            <w:rFonts w:ascii="Times New Roman" w:hAnsi="Times New Roman" w:eastAsia="Songti SC"/>
            <w:color w:val="000000"/>
            <w:sz w:val="22"/>
          </w:rPr>
          <w:t>E.5 ICIC原版验证器替换记录</w:t>
        </w:r>
        <w:r>
          <w:rPr>
            <w:rFonts w:ascii="Times New Roman" w:hAnsi="Times New Roman" w:eastAsia="Songti SC"/>
            <w:color w:val="000000"/>
            <w:sz w:val="22"/>
          </w:rPr>
          <w:tab/>
          <w:t>85</w:t>
        </w:r>
      </w:hyperlink>
    </w:p>
    <w:p>
      <w:pPr>
        <w:pStyle w:val="TOC2"/>
      </w:pPr>
      <w:hyperlink w:anchor="v14_141" w:history="1">
        <w:r>
          <w:rPr>
            <w:rFonts w:ascii="Times New Roman" w:hAnsi="Times New Roman" w:eastAsia="Songti SC"/>
            <w:color w:val="000000"/>
            <w:sz w:val="22"/>
          </w:rPr>
          <w:t>E.6 ICIC原版Oracle记录</w:t>
        </w:r>
        <w:r>
          <w:rPr>
            <w:rFonts w:ascii="Times New Roman" w:hAnsi="Times New Roman" w:eastAsia="Songti SC"/>
            <w:color w:val="000000"/>
            <w:sz w:val="22"/>
          </w:rPr>
          <w:tab/>
          <w:t>85</w:t>
        </w:r>
      </w:hyperlink>
    </w:p>
    <w:p>
      <w:pPr>
        <w:pStyle w:val="TOC2"/>
      </w:pPr>
      <w:hyperlink w:anchor="v14_142" w:history="1">
        <w:r>
          <w:rPr>
            <w:rFonts w:ascii="Times New Roman" w:hAnsi="Times New Roman" w:eastAsia="Songti SC"/>
            <w:color w:val="000000"/>
            <w:sz w:val="22"/>
          </w:rPr>
          <w:t>E.7 ICIC原版修正行为记录</w:t>
        </w:r>
        <w:r>
          <w:rPr>
            <w:rFonts w:ascii="Times New Roman" w:hAnsi="Times New Roman" w:eastAsia="Songti SC"/>
            <w:color w:val="000000"/>
            <w:sz w:val="22"/>
          </w:rPr>
          <w:tab/>
          <w:t>85</w:t>
        </w:r>
      </w:hyperlink>
    </w:p>
    <w:p>
      <w:pPr>
        <w:pStyle w:val="TOC2"/>
      </w:pPr>
      <w:hyperlink w:anchor="v14_143" w:history="1">
        <w:r>
          <w:rPr>
            <w:rFonts w:ascii="Times New Roman" w:hAnsi="Times New Roman" w:eastAsia="Songti SC"/>
            <w:color w:val="000000"/>
            <w:sz w:val="22"/>
          </w:rPr>
          <w:t>E.8 前期粗粒度组件映射</w:t>
        </w:r>
        <w:r>
          <w:rPr>
            <w:rFonts w:ascii="Times New Roman" w:hAnsi="Times New Roman" w:eastAsia="Songti SC"/>
            <w:color w:val="000000"/>
            <w:sz w:val="22"/>
          </w:rPr>
          <w:tab/>
          <w:t>86</w:t>
        </w:r>
      </w:hyperlink>
    </w:p>
    <w:p>
      <w:pPr>
        <w:pStyle w:val="TOC2"/>
      </w:pPr>
      <w:hyperlink w:anchor="v14_144" w:history="1">
        <w:r>
          <w:rPr>
            <w:rFonts w:ascii="Times New Roman" w:hAnsi="Times New Roman" w:eastAsia="Songti SC"/>
            <w:color w:val="000000"/>
            <w:sz w:val="22"/>
          </w:rPr>
          <w:t>E.9 ICIC原版AAEC到CDCP迁移记录</w:t>
        </w:r>
        <w:r>
          <w:rPr>
            <w:rFonts w:ascii="Times New Roman" w:hAnsi="Times New Roman" w:eastAsia="Songti SC"/>
            <w:color w:val="000000"/>
            <w:sz w:val="22"/>
          </w:rPr>
          <w:tab/>
          <w:t>87</w:t>
        </w:r>
      </w:hyperlink>
    </w:p>
    <w:p>
      <w:pPr>
        <w:pStyle w:val="TOC1"/>
        <w:keepNext/>
        <w:spacing w:before="120"/>
      </w:pPr>
      <w:hyperlink w:anchor="v14_145" w:history="1">
        <w:r>
          <w:rPr>
            <w:rFonts w:ascii="Times New Roman" w:hAnsi="Times New Roman" w:eastAsia="Songti SC"/>
            <w:color w:val="000000"/>
            <w:sz w:val="22"/>
          </w:rPr>
          <w:t>附录F 符号与阅读索引</w:t>
        </w:r>
        <w:r>
          <w:rPr>
            <w:rFonts w:ascii="Times New Roman" w:hAnsi="Times New Roman" w:eastAsia="Songti SC"/>
            <w:color w:val="000000"/>
            <w:sz w:val="22"/>
          </w:rPr>
          <w:tab/>
          <w:t>88</w:t>
        </w:r>
      </w:hyperlink>
    </w:p>
    <w:p>
      <w:pPr>
        <w:pStyle w:val="TOC2"/>
      </w:pPr>
      <w:hyperlink w:anchor="v14_146" w:history="1">
        <w:r>
          <w:rPr>
            <w:rFonts w:ascii="Times New Roman" w:hAnsi="Times New Roman" w:eastAsia="Songti SC"/>
            <w:color w:val="000000"/>
            <w:sz w:val="22"/>
          </w:rPr>
          <w:t>F.1 核心术语与符号</w:t>
        </w:r>
        <w:r>
          <w:rPr>
            <w:rFonts w:ascii="Times New Roman" w:hAnsi="Times New Roman" w:eastAsia="Songti SC"/>
            <w:color w:val="000000"/>
            <w:sz w:val="22"/>
          </w:rPr>
          <w:tab/>
          <w:t>88</w:t>
        </w:r>
      </w:hyperlink>
    </w:p>
    <w:p>
      <w:pPr>
        <w:pStyle w:val="TOC2"/>
      </w:pPr>
      <w:hyperlink w:anchor="v14_147" w:history="1">
        <w:r>
          <w:rPr>
            <w:rFonts w:ascii="Times New Roman" w:hAnsi="Times New Roman" w:eastAsia="Songti SC"/>
            <w:color w:val="000000"/>
            <w:sz w:val="22"/>
          </w:rPr>
          <w:t>F.2 实现接口补充</w:t>
        </w:r>
        <w:r>
          <w:rPr>
            <w:rFonts w:ascii="Times New Roman" w:hAnsi="Times New Roman" w:eastAsia="Songti SC"/>
            <w:color w:val="000000"/>
            <w:sz w:val="22"/>
          </w:rPr>
          <w:tab/>
          <w:t>89</w:t>
        </w:r>
      </w:hyperlink>
    </w:p>
    <w:p>
      <w:pPr>
        <w:pStyle w:val="TOC2"/>
      </w:pPr>
      <w:hyperlink w:anchor="v14_148" w:history="1">
        <w:r>
          <w:rPr>
            <w:rFonts w:ascii="Times New Roman" w:hAnsi="Times New Roman" w:eastAsia="Songti SC"/>
            <w:color w:val="000000"/>
            <w:sz w:val="22"/>
          </w:rPr>
          <w:t>F.3 研究问题阅读索引</w:t>
        </w:r>
        <w:r>
          <w:rPr>
            <w:rFonts w:ascii="Times New Roman" w:hAnsi="Times New Roman" w:eastAsia="Songti SC"/>
            <w:color w:val="000000"/>
            <w:sz w:val="22"/>
          </w:rPr>
          <w:tab/>
          <w:t>90</w:t>
        </w:r>
      </w:hyperlink>
    </w:p>
    <w:p>
      <w:pPr>
        <w:pStyle w:val="TOC1"/>
        <w:keepNext/>
        <w:spacing w:before="120"/>
      </w:pPr>
      <w:hyperlink w:anchor="v14_149" w:history="1">
        <w:r>
          <w:rPr>
            <w:rFonts w:ascii="Times New Roman" w:hAnsi="Times New Roman" w:eastAsia="Songti SC"/>
            <w:color w:val="000000"/>
            <w:sz w:val="22"/>
          </w:rPr>
          <w:t>附录G 外部方法定位与比较协议</w:t>
        </w:r>
        <w:r>
          <w:rPr>
            <w:rFonts w:ascii="Times New Roman" w:hAnsi="Times New Roman" w:eastAsia="Songti SC"/>
            <w:color w:val="000000"/>
            <w:sz w:val="22"/>
          </w:rPr>
          <w:tab/>
          <w:t>91</w:t>
        </w:r>
      </w:hyperlink>
    </w:p>
    <w:p>
      <w:pPr>
        <w:pStyle w:val="TOC2"/>
      </w:pPr>
      <w:hyperlink w:anchor="v14_150" w:history="1">
        <w:r>
          <w:rPr>
            <w:rFonts w:ascii="Times New Roman" w:hAnsi="Times New Roman" w:eastAsia="Songti SC"/>
            <w:color w:val="000000"/>
            <w:sz w:val="22"/>
          </w:rPr>
          <w:t>G.1 检索范围与方法选择</w:t>
        </w:r>
        <w:r>
          <w:rPr>
            <w:rFonts w:ascii="Times New Roman" w:hAnsi="Times New Roman" w:eastAsia="Songti SC"/>
            <w:color w:val="000000"/>
            <w:sz w:val="22"/>
          </w:rPr>
          <w:tab/>
          <w:t>91</w:t>
        </w:r>
      </w:hyperlink>
    </w:p>
    <w:p>
      <w:pPr>
        <w:pStyle w:val="TOC2"/>
      </w:pPr>
      <w:hyperlink w:anchor="v14_151" w:history="1">
        <w:r>
          <w:rPr>
            <w:rFonts w:ascii="Times New Roman" w:hAnsi="Times New Roman" w:eastAsia="Songti SC"/>
            <w:color w:val="000000"/>
            <w:sz w:val="22"/>
          </w:rPr>
          <w:t>G.2 代码入口与可复现性核查</w:t>
        </w:r>
        <w:r>
          <w:rPr>
            <w:rFonts w:ascii="Times New Roman" w:hAnsi="Times New Roman" w:eastAsia="Songti SC"/>
            <w:color w:val="000000"/>
            <w:sz w:val="22"/>
          </w:rPr>
          <w:tab/>
          <w:t>92</w:t>
        </w:r>
      </w:hyperlink>
    </w:p>
    <w:p>
      <w:pPr>
        <w:pStyle w:val="TOC2"/>
      </w:pPr>
      <w:hyperlink w:anchor="v14_152" w:history="1">
        <w:r>
          <w:rPr>
            <w:rFonts w:ascii="Times New Roman" w:hAnsi="Times New Roman" w:eastAsia="Songti SC"/>
            <w:color w:val="000000"/>
            <w:sz w:val="22"/>
          </w:rPr>
          <w:t>G.3 QOS式适配与本方法的差异</w:t>
        </w:r>
        <w:r>
          <w:rPr>
            <w:rFonts w:ascii="Times New Roman" w:hAnsi="Times New Roman" w:eastAsia="Songti SC"/>
            <w:color w:val="000000"/>
            <w:sz w:val="22"/>
          </w:rPr>
          <w:tab/>
          <w:t>92</w:t>
        </w:r>
      </w:hyperlink>
    </w:p>
    <w:p>
      <w:pPr>
        <w:pStyle w:val="TOC2"/>
      </w:pPr>
      <w:hyperlink w:anchor="v14_153" w:history="1">
        <w:r>
          <w:rPr>
            <w:rFonts w:ascii="Times New Roman" w:hAnsi="Times New Roman" w:eastAsia="Songti SC"/>
            <w:color w:val="000000"/>
            <w:sz w:val="22"/>
          </w:rPr>
          <w:t>G.4 外部系统接入与结果登记</w:t>
        </w:r>
        <w:r>
          <w:rPr>
            <w:rFonts w:ascii="Times New Roman" w:hAnsi="Times New Roman" w:eastAsia="Songti SC"/>
            <w:color w:val="000000"/>
            <w:sz w:val="22"/>
          </w:rPr>
          <w:tab/>
          <w:t>93</w:t>
        </w:r>
      </w:hyperlink>
    </w:p>
    <w:p>
      <w:pPr>
        <w:pStyle w:val="TOC1"/>
        <w:keepNext/>
        <w:spacing w:before="120"/>
      </w:pPr>
      <w:hyperlink w:anchor="v14_154" w:history="1">
        <w:r>
          <w:rPr>
            <w:rFonts w:ascii="Times New Roman" w:hAnsi="Times New Roman" w:eastAsia="Songti SC"/>
            <w:color w:val="000000"/>
            <w:sz w:val="22"/>
          </w:rPr>
          <w:t>附录H 关键诊断与综合证据记录</w:t>
        </w:r>
        <w:r>
          <w:rPr>
            <w:rFonts w:ascii="Times New Roman" w:hAnsi="Times New Roman" w:eastAsia="Songti SC"/>
            <w:color w:val="000000"/>
            <w:sz w:val="22"/>
          </w:rPr>
          <w:tab/>
          <w:t>94</w:t>
        </w:r>
      </w:hyperlink>
    </w:p>
    <w:p>
      <w:pPr>
        <w:pStyle w:val="TOC2"/>
      </w:pPr>
      <w:hyperlink w:anchor="v14_155" w:history="1">
        <w:r>
          <w:rPr>
            <w:rFonts w:ascii="Times New Roman" w:hAnsi="Times New Roman" w:eastAsia="Songti SC"/>
            <w:color w:val="000000"/>
            <w:sz w:val="22"/>
          </w:rPr>
          <w:t>H.1 训练侧问题规模与初始错误的诊断设计</w:t>
        </w:r>
        <w:r>
          <w:rPr>
            <w:rFonts w:ascii="Times New Roman" w:hAnsi="Times New Roman" w:eastAsia="Songti SC"/>
            <w:color w:val="000000"/>
            <w:sz w:val="22"/>
          </w:rPr>
          <w:tab/>
          <w:t>94</w:t>
        </w:r>
      </w:hyperlink>
    </w:p>
    <w:p>
      <w:pPr>
        <w:pStyle w:val="TOC2"/>
      </w:pPr>
      <w:hyperlink w:anchor="v14_156" w:history="1">
        <w:r>
          <w:rPr>
            <w:rFonts w:ascii="Times New Roman" w:hAnsi="Times New Roman" w:eastAsia="Songti SC"/>
            <w:color w:val="000000"/>
            <w:sz w:val="22"/>
          </w:rPr>
          <w:t>H.2 表达变化、源覆盖与资源轨道</w:t>
        </w:r>
        <w:r>
          <w:rPr>
            <w:rFonts w:ascii="Times New Roman" w:hAnsi="Times New Roman" w:eastAsia="Songti SC"/>
            <w:color w:val="000000"/>
            <w:sz w:val="22"/>
          </w:rPr>
          <w:tab/>
          <w:t>94</w:t>
        </w:r>
      </w:hyperlink>
    </w:p>
    <w:p>
      <w:pPr>
        <w:pStyle w:val="TOC2"/>
      </w:pPr>
      <w:hyperlink w:anchor="v14_157" w:history="1">
        <w:r>
          <w:rPr>
            <w:rFonts w:ascii="Times New Roman" w:hAnsi="Times New Roman" w:eastAsia="Songti SC"/>
            <w:color w:val="000000"/>
            <w:sz w:val="22"/>
          </w:rPr>
          <w:t>H.3 候选规模、共同预算与求解状态</w:t>
        </w:r>
        <w:r>
          <w:rPr>
            <w:rFonts w:ascii="Times New Roman" w:hAnsi="Times New Roman" w:eastAsia="Songti SC"/>
            <w:color w:val="000000"/>
            <w:sz w:val="22"/>
          </w:rPr>
          <w:tab/>
          <w:t>95</w:t>
        </w:r>
      </w:hyperlink>
    </w:p>
    <w:p>
      <w:pPr>
        <w:pStyle w:val="TOC2"/>
      </w:pPr>
      <w:hyperlink w:anchor="v14_158" w:history="1">
        <w:r>
          <w:rPr>
            <w:rFonts w:ascii="Times New Roman" w:hAnsi="Times New Roman" w:eastAsia="Songti SC"/>
            <w:color w:val="000000"/>
            <w:sz w:val="22"/>
          </w:rPr>
          <w:t>H.4 四格对象、恢复阻断与案例</w:t>
        </w:r>
        <w:r>
          <w:rPr>
            <w:rFonts w:ascii="Times New Roman" w:hAnsi="Times New Roman" w:eastAsia="Songti SC"/>
            <w:color w:val="000000"/>
            <w:sz w:val="22"/>
          </w:rPr>
          <w:tab/>
          <w:t>96</w:t>
        </w:r>
      </w:hyperlink>
    </w:p>
    <w:p>
      <w:pPr>
        <w:pStyle w:val="TOC2"/>
      </w:pPr>
      <w:hyperlink w:anchor="v14_159" w:history="1">
        <w:r>
          <w:rPr>
            <w:rFonts w:ascii="Times New Roman" w:hAnsi="Times New Roman" w:eastAsia="Songti SC"/>
            <w:color w:val="000000"/>
            <w:sz w:val="22"/>
          </w:rPr>
          <w:t>H.5 模拟结果后的实证替换顺序</w:t>
        </w:r>
        <w:r>
          <w:rPr>
            <w:rFonts w:ascii="Times New Roman" w:hAnsi="Times New Roman" w:eastAsia="Songti SC"/>
            <w:color w:val="000000"/>
            <w:sz w:val="22"/>
          </w:rPr>
          <w:tab/>
          <w:t>96</w:t>
        </w:r>
      </w:hyperlink>
    </w:p>
    <w:p>
      <w:pPr>
        <w:pStyle w:val="TOC2"/>
      </w:pPr>
      <w:hyperlink w:anchor="v14_160" w:history="1">
        <w:r>
          <w:rPr>
            <w:rFonts w:ascii="Times New Roman" w:hAnsi="Times New Roman" w:eastAsia="Songti SC"/>
            <w:color w:val="000000"/>
            <w:sz w:val="22"/>
          </w:rPr>
          <w:t>H.6 模板筛选的指标阅读示例</w:t>
        </w:r>
        <w:r>
          <w:rPr>
            <w:rFonts w:ascii="Times New Roman" w:hAnsi="Times New Roman" w:eastAsia="Songti SC"/>
            <w:color w:val="000000"/>
            <w:sz w:val="22"/>
          </w:rPr>
          <w:tab/>
          <w:t>98</w:t>
        </w:r>
      </w:hyperlink>
    </w:p>
    <w:p>
      <w:pPr>
        <w:pStyle w:val="TOC2"/>
      </w:pPr>
      <w:hyperlink w:anchor="v14_161" w:history="1">
        <w:r>
          <w:rPr>
            <w:rFonts w:ascii="Times New Roman" w:hAnsi="Times New Roman" w:eastAsia="Songti SC"/>
            <w:color w:val="000000"/>
            <w:sz w:val="22"/>
          </w:rPr>
          <w:t>H.7 预算条件的假设推演</w:t>
        </w:r>
        <w:r>
          <w:rPr>
            <w:rFonts w:ascii="Times New Roman" w:hAnsi="Times New Roman" w:eastAsia="Songti SC"/>
            <w:color w:val="000000"/>
            <w:sz w:val="22"/>
          </w:rPr>
          <w:tab/>
          <w:t>98</w:t>
        </w:r>
      </w:hyperlink>
    </w:p>
    <w:p>
      <w:pPr>
        <w:pStyle w:val="TOC2"/>
      </w:pPr>
      <w:hyperlink w:anchor="v14_162" w:history="1">
        <w:r>
          <w:rPr>
            <w:rFonts w:ascii="Times New Roman" w:hAnsi="Times New Roman" w:eastAsia="Songti SC"/>
            <w:color w:val="000000"/>
            <w:sz w:val="22"/>
          </w:rPr>
          <w:t>H.8 对象重叠的非唯一性示例</w:t>
        </w:r>
        <w:r>
          <w:rPr>
            <w:rFonts w:ascii="Times New Roman" w:hAnsi="Times New Roman" w:eastAsia="Songti SC"/>
            <w:color w:val="000000"/>
            <w:sz w:val="22"/>
          </w:rPr>
          <w:tab/>
          <w:t>101</w:t>
        </w:r>
      </w:hyperlink>
      <w:r>
        <w:fldChar w:fldCharType="end"/>
      </w:r>
    </w:p>
    <w:p>
      <w:pPr>
        <w:pStyle w:val="FrontHeading"/>
      </w:pPr>
      <w:r>
        <w:t>图目录</w:t>
      </w:r>
    </w:p>
    <w:p>
      <w:pPr>
        <w:pStyle w:val="FigureList"/>
      </w:pPr>
      <w:r>
        <w:fldChar w:fldCharType="begin"/>
      </w:r>
      <w:r>
        <w:instrText xml:space="preserve"> TOC \h \z \t "Figure Caption,1" </w:instrText>
      </w:r>
      <w:r>
        <w:fldChar w:fldCharType="separate"/>
      </w:r>
      <w:hyperlink w:anchor="v14_163" w:history="1">
        <w:r>
          <w:rPr>
            <w:rFonts w:ascii="Times New Roman" w:hAnsi="Times New Roman" w:eastAsia="Songti SC"/>
            <w:color w:val="000000"/>
            <w:sz w:val="22"/>
          </w:rPr>
          <w:t>图1-1 原始文本中的组件与关系示意</w:t>
        </w:r>
        <w:r>
          <w:rPr>
            <w:rFonts w:ascii="Times New Roman" w:hAnsi="Times New Roman" w:eastAsia="Songti SC"/>
            <w:color w:val="000000"/>
            <w:sz w:val="22"/>
          </w:rPr>
          <w:tab/>
          <w:t>1</w:t>
        </w:r>
      </w:hyperlink>
    </w:p>
    <w:p>
      <w:pPr>
        <w:pStyle w:val="FigureList"/>
      </w:pPr>
      <w:hyperlink w:anchor="v14_165" w:history="1">
        <w:r>
          <w:rPr>
            <w:rFonts w:ascii="Times New Roman" w:hAnsi="Times New Roman" w:eastAsia="Songti SC"/>
            <w:color w:val="000000"/>
            <w:sz w:val="22"/>
          </w:rPr>
          <w:t>图1-2 组件关系依赖下的两项研究内容</w:t>
        </w:r>
        <w:r>
          <w:rPr>
            <w:rFonts w:ascii="Times New Roman" w:hAnsi="Times New Roman" w:eastAsia="Songti SC"/>
            <w:color w:val="000000"/>
            <w:sz w:val="22"/>
          </w:rPr>
          <w:tab/>
          <w:t>6</w:t>
        </w:r>
      </w:hyperlink>
    </w:p>
    <w:p>
      <w:pPr>
        <w:pStyle w:val="FigureList"/>
      </w:pPr>
      <w:hyperlink w:anchor="v14_169" w:history="1">
        <w:r>
          <w:rPr>
            <w:rFonts w:ascii="Times New Roman" w:hAnsi="Times New Roman" w:eastAsia="Songti SC"/>
            <w:color w:val="000000"/>
            <w:sz w:val="22"/>
          </w:rPr>
          <w:t>图2-1 训练监督保持与推理结构恢复的两阶段接口</w:t>
        </w:r>
        <w:r>
          <w:rPr>
            <w:rFonts w:ascii="Times New Roman" w:hAnsi="Times New Roman" w:eastAsia="Songti SC"/>
            <w:color w:val="000000"/>
            <w:sz w:val="22"/>
          </w:rPr>
          <w:tab/>
          <w:t>16</w:t>
        </w:r>
      </w:hyperlink>
    </w:p>
    <w:p>
      <w:pPr>
        <w:pStyle w:val="FigureList"/>
      </w:pPr>
      <w:hyperlink w:anchor="v14_171" w:history="1">
        <w:r>
          <w:rPr>
            <w:rFonts w:ascii="Times New Roman" w:hAnsi="Times New Roman" w:eastAsia="Songti SC"/>
            <w:color w:val="000000"/>
            <w:sz w:val="22"/>
          </w:rPr>
          <w:t>图3-1 可改写组件及关系状态的检查范围示意</w:t>
        </w:r>
        <w:r>
          <w:rPr>
            <w:rFonts w:ascii="Times New Roman" w:hAnsi="Times New Roman" w:eastAsia="Songti SC"/>
            <w:color w:val="000000"/>
            <w:sz w:val="22"/>
          </w:rPr>
          <w:tab/>
          <w:t>19</w:t>
        </w:r>
      </w:hyperlink>
    </w:p>
    <w:p>
      <w:pPr>
        <w:pStyle w:val="FigureList"/>
      </w:pPr>
      <w:hyperlink w:anchor="v14_172" w:history="1">
        <w:r>
          <w:rPr>
            <w:rFonts w:ascii="Times New Roman" w:hAnsi="Times New Roman" w:eastAsia="Songti SC"/>
            <w:color w:val="000000"/>
            <w:sz w:val="22"/>
          </w:rPr>
          <w:t>图3-2 关系影响域增强与成对学习的训练架构</w:t>
        </w:r>
        <w:r>
          <w:rPr>
            <w:rFonts w:ascii="Times New Roman" w:hAnsi="Times New Roman" w:eastAsia="Songti SC"/>
            <w:color w:val="000000"/>
            <w:sz w:val="22"/>
          </w:rPr>
          <w:tab/>
          <w:t>23</w:t>
        </w:r>
      </w:hyperlink>
    </w:p>
    <w:p>
      <w:pPr>
        <w:pStyle w:val="FigureList"/>
      </w:pPr>
      <w:hyperlink w:anchor="v14_179" w:history="1">
        <w:r>
          <w:rPr>
            <w:rFonts w:ascii="Times New Roman" w:hAnsi="Times New Roman" w:eastAsia="Songti SC"/>
            <w:color w:val="000000"/>
            <w:sz w:val="22"/>
          </w:rPr>
          <w:t>图3-3 训练方案与学习目标的严格关系结果（估算情景）</w:t>
        </w:r>
        <w:r>
          <w:rPr>
            <w:rFonts w:ascii="Times New Roman" w:hAnsi="Times New Roman" w:eastAsia="Songti SC"/>
            <w:color w:val="000000"/>
            <w:sz w:val="22"/>
          </w:rPr>
          <w:tab/>
          <w:t>32</w:t>
        </w:r>
      </w:hyperlink>
    </w:p>
    <w:p>
      <w:pPr>
        <w:pStyle w:val="FigureList"/>
      </w:pPr>
      <w:hyperlink w:anchor="v14_183" w:history="1">
        <w:r>
          <w:rPr>
            <w:rFonts w:ascii="Times New Roman" w:hAnsi="Times New Roman" w:eastAsia="Songti SC"/>
            <w:color w:val="000000"/>
            <w:sz w:val="22"/>
          </w:rPr>
          <w:t>图4-1 组件替换及受影响关系的事务式处理示意（人为构造）</w:t>
        </w:r>
        <w:r>
          <w:rPr>
            <w:rFonts w:ascii="Times New Roman" w:hAnsi="Times New Roman" w:eastAsia="Songti SC"/>
            <w:color w:val="000000"/>
            <w:sz w:val="22"/>
          </w:rPr>
          <w:tab/>
          <w:t>36</w:t>
        </w:r>
      </w:hyperlink>
    </w:p>
    <w:p>
      <w:pPr>
        <w:pStyle w:val="FigureList"/>
      </w:pPr>
      <w:hyperlink w:anchor="v14_186" w:history="1">
        <w:r>
          <w:rPr>
            <w:rFonts w:ascii="Times New Roman" w:hAnsi="Times New Roman" w:eastAsia="Songti SC"/>
            <w:color w:val="000000"/>
            <w:sz w:val="22"/>
          </w:rPr>
          <w:t>图4-2 多候选驱动的依赖闭合修正执行流程</w:t>
        </w:r>
        <w:r>
          <w:rPr>
            <w:rFonts w:ascii="Times New Roman" w:hAnsi="Times New Roman" w:eastAsia="Songti SC"/>
            <w:color w:val="000000"/>
            <w:sz w:val="22"/>
          </w:rPr>
          <w:tab/>
          <w:t>48</w:t>
        </w:r>
      </w:hyperlink>
    </w:p>
    <w:p>
      <w:pPr>
        <w:pStyle w:val="FigureList"/>
      </w:pPr>
      <w:hyperlink w:anchor="v14_194" w:history="1">
        <w:r>
          <w:rPr>
            <w:rFonts w:ascii="Times New Roman" w:hAnsi="Times New Roman" w:eastAsia="Songti SC"/>
            <w:color w:val="000000"/>
            <w:sz w:val="22"/>
          </w:rPr>
          <w:t>图4-3 联合修正中的关系恢复与原真阳性损失（估算情景）</w:t>
        </w:r>
        <w:r>
          <w:rPr>
            <w:rFonts w:ascii="Times New Roman" w:hAnsi="Times New Roman" w:eastAsia="Songti SC"/>
            <w:color w:val="000000"/>
            <w:sz w:val="22"/>
          </w:rPr>
          <w:tab/>
          <w:t>58</w:t>
        </w:r>
      </w:hyperlink>
    </w:p>
    <w:p>
      <w:pPr>
        <w:pStyle w:val="FigureList"/>
      </w:pPr>
      <w:hyperlink w:anchor="v14_199" w:history="1">
        <w:r>
          <w:rPr>
            <w:rFonts w:ascii="Times New Roman" w:hAnsi="Times New Roman" w:eastAsia="Songti SC"/>
            <w:color w:val="000000"/>
            <w:sz w:val="22"/>
          </w:rPr>
          <w:t>图5-1 两个训练条件下的推理增量与交互关系（估算情景）</w:t>
        </w:r>
        <w:r>
          <w:rPr>
            <w:rFonts w:ascii="Times New Roman" w:hAnsi="Times New Roman" w:eastAsia="Songti SC"/>
            <w:color w:val="000000"/>
            <w:sz w:val="22"/>
          </w:rPr>
          <w:tab/>
          <w:t>62</w:t>
        </w:r>
      </w:hyperlink>
    </w:p>
    <w:p>
      <w:pPr>
        <w:pStyle w:val="FigureList"/>
      </w:pPr>
      <w:hyperlink w:anchor="v14_223" w:history="1">
        <w:r>
          <w:rPr>
            <w:rFonts w:ascii="Times New Roman" w:hAnsi="Times New Roman" w:eastAsia="Songti SC"/>
            <w:color w:val="000000"/>
            <w:sz w:val="22"/>
          </w:rPr>
          <w:t>图H-1 给定成本与完成度假设下的预算结果</w:t>
        </w:r>
        <w:r>
          <w:rPr>
            <w:rFonts w:ascii="Times New Roman" w:hAnsi="Times New Roman" w:eastAsia="Songti SC"/>
            <w:color w:val="000000"/>
            <w:sz w:val="22"/>
          </w:rPr>
          <w:tab/>
          <w:t>101</w:t>
        </w:r>
      </w:hyperlink>
      <w:r>
        <w:fldChar w:fldCharType="end"/>
      </w:r>
    </w:p>
    <w:p>
      <w:pPr>
        <w:pStyle w:val="FrontHeading"/>
      </w:pPr>
      <w:r>
        <w:t>表目录</w:t>
      </w:r>
    </w:p>
    <w:p>
      <w:pPr>
        <w:pStyle w:val="TableList"/>
      </w:pPr>
      <w:r>
        <w:fldChar w:fldCharType="begin"/>
      </w:r>
      <w:r>
        <w:instrText xml:space="preserve"> TOC \h \z \t "Table Caption,1" </w:instrText>
      </w:r>
      <w:r>
        <w:fldChar w:fldCharType="separate"/>
      </w:r>
      <w:hyperlink w:anchor="v14_164" w:history="1">
        <w:r>
          <w:rPr>
            <w:rFonts w:ascii="Times New Roman" w:hAnsi="Times New Roman" w:eastAsia="Songti SC"/>
            <w:color w:val="000000"/>
            <w:sz w:val="22"/>
          </w:rPr>
          <w:t>表1-1 近邻方法与本文研究位置</w:t>
        </w:r>
        <w:r>
          <w:rPr>
            <w:rFonts w:ascii="Times New Roman" w:hAnsi="Times New Roman" w:eastAsia="Songti SC"/>
            <w:color w:val="000000"/>
            <w:sz w:val="22"/>
          </w:rPr>
          <w:tab/>
          <w:t>5</w:t>
        </w:r>
      </w:hyperlink>
    </w:p>
    <w:p>
      <w:pPr>
        <w:pStyle w:val="TableList"/>
      </w:pPr>
      <w:hyperlink w:anchor="v14_166" w:history="1">
        <w:r>
          <w:rPr>
            <w:rFonts w:ascii="Times New Roman" w:hAnsi="Times New Roman" w:eastAsia="Songti SC"/>
            <w:color w:val="000000"/>
            <w:sz w:val="22"/>
          </w:rPr>
          <w:t>表1-2 前期成果与本论文深化内容</w:t>
        </w:r>
        <w:r>
          <w:rPr>
            <w:rFonts w:ascii="Times New Roman" w:hAnsi="Times New Roman" w:eastAsia="Songti SC"/>
            <w:color w:val="000000"/>
            <w:sz w:val="22"/>
          </w:rPr>
          <w:tab/>
          <w:t>8</w:t>
        </w:r>
      </w:hyperlink>
    </w:p>
    <w:p>
      <w:pPr>
        <w:pStyle w:val="TableList"/>
      </w:pPr>
      <w:hyperlink w:anchor="v14_167" w:history="1">
        <w:r>
          <w:rPr>
            <w:rFonts w:ascii="Times New Roman" w:hAnsi="Times New Roman" w:eastAsia="Songti SC"/>
            <w:color w:val="000000"/>
            <w:sz w:val="22"/>
          </w:rPr>
          <w:t>表2-1 域内任务与评价边界</w:t>
        </w:r>
        <w:r>
          <w:rPr>
            <w:rFonts w:ascii="Times New Roman" w:hAnsi="Times New Roman" w:eastAsia="Songti SC"/>
            <w:color w:val="000000"/>
            <w:sz w:val="22"/>
          </w:rPr>
          <w:tab/>
          <w:t>10</w:t>
        </w:r>
      </w:hyperlink>
    </w:p>
    <w:p>
      <w:pPr>
        <w:pStyle w:val="TableList"/>
      </w:pPr>
      <w:hyperlink w:anchor="v14_168" w:history="1">
        <w:r>
          <w:rPr>
            <w:rFonts w:ascii="Times New Roman" w:hAnsi="Times New Roman" w:eastAsia="Songti SC"/>
            <w:color w:val="000000"/>
            <w:sz w:val="22"/>
          </w:rPr>
          <w:t>表2-2 公共配置与评价规模（估算情景）</w:t>
        </w:r>
        <w:r>
          <w:rPr>
            <w:rFonts w:ascii="Times New Roman" w:hAnsi="Times New Roman" w:eastAsia="Songti SC"/>
            <w:color w:val="000000"/>
            <w:sz w:val="22"/>
          </w:rPr>
          <w:tab/>
          <w:t>14</w:t>
        </w:r>
      </w:hyperlink>
    </w:p>
    <w:p>
      <w:pPr>
        <w:pStyle w:val="TableList"/>
      </w:pPr>
      <w:hyperlink w:anchor="v14_170" w:history="1">
        <w:r>
          <w:rPr>
            <w:rFonts w:ascii="Times New Roman" w:hAnsi="Times New Roman" w:eastAsia="Songti SC"/>
            <w:color w:val="000000"/>
            <w:sz w:val="22"/>
          </w:rPr>
          <w:t>表3-1 关系保持改写的组件示意</w:t>
        </w:r>
        <w:r>
          <w:rPr>
            <w:rFonts w:ascii="Times New Roman" w:hAnsi="Times New Roman" w:eastAsia="Songti SC"/>
            <w:color w:val="000000"/>
            <w:sz w:val="22"/>
          </w:rPr>
          <w:tab/>
          <w:t>19</w:t>
        </w:r>
      </w:hyperlink>
    </w:p>
    <w:p>
      <w:pPr>
        <w:pStyle w:val="TableList"/>
      </w:pPr>
      <w:hyperlink w:anchor="v14_174" w:history="1">
        <w:r>
          <w:rPr>
            <w:rFonts w:ascii="Times New Roman" w:hAnsi="Times New Roman" w:eastAsia="Songti SC"/>
            <w:color w:val="000000"/>
            <w:sz w:val="22"/>
          </w:rPr>
          <w:t>表3-2 训练侧对照与归因条件</w:t>
        </w:r>
        <w:r>
          <w:rPr>
            <w:rFonts w:ascii="Times New Roman" w:hAnsi="Times New Roman" w:eastAsia="Songti SC"/>
            <w:color w:val="000000"/>
            <w:sz w:val="22"/>
          </w:rPr>
          <w:tab/>
          <w:t>28</w:t>
        </w:r>
      </w:hyperlink>
    </w:p>
    <w:p>
      <w:pPr>
        <w:pStyle w:val="TableList"/>
      </w:pPr>
      <w:hyperlink w:anchor="v14_175" w:history="1">
        <w:r>
          <w:rPr>
            <w:rFonts w:ascii="Times New Roman" w:hAnsi="Times New Roman" w:eastAsia="Songti SC"/>
            <w:color w:val="000000"/>
            <w:sz w:val="22"/>
          </w:rPr>
          <w:t>表3-3 接受样本的标签漂移率（%）（估算情景）</w:t>
        </w:r>
        <w:r>
          <w:rPr>
            <w:rFonts w:ascii="Times New Roman" w:hAnsi="Times New Roman" w:eastAsia="Songti SC"/>
            <w:color w:val="000000"/>
            <w:sz w:val="22"/>
          </w:rPr>
          <w:tab/>
          <w:t>29</w:t>
        </w:r>
      </w:hyperlink>
    </w:p>
    <w:p>
      <w:pPr>
        <w:pStyle w:val="TableList"/>
      </w:pPr>
      <w:hyperlink w:anchor="v14_176" w:history="1">
        <w:r>
          <w:rPr>
            <w:rFonts w:ascii="Times New Roman" w:hAnsi="Times New Roman" w:eastAsia="Songti SC"/>
            <w:color w:val="000000"/>
            <w:sz w:val="22"/>
          </w:rPr>
          <w:t>表3-4 接受与拒绝样本的因素漂移审计（估算情景）</w:t>
        </w:r>
        <w:r>
          <w:rPr>
            <w:rFonts w:ascii="Times New Roman" w:hAnsi="Times New Roman" w:eastAsia="Songti SC"/>
            <w:color w:val="000000"/>
            <w:sz w:val="22"/>
          </w:rPr>
          <w:tab/>
          <w:t>30</w:t>
        </w:r>
      </w:hyperlink>
    </w:p>
    <w:p>
      <w:pPr>
        <w:pStyle w:val="TableList"/>
      </w:pPr>
      <w:hyperlink w:anchor="v14_177" w:history="1">
        <w:r>
          <w:rPr>
            <w:rFonts w:ascii="Times New Roman" w:hAnsi="Times New Roman" w:eastAsia="Songti SC"/>
            <w:color w:val="000000"/>
            <w:sz w:val="22"/>
          </w:rPr>
          <w:t>表3-5 训练方案的严格抽取结果（匹配训练规模）（估算情景）</w:t>
        </w:r>
        <w:r>
          <w:rPr>
            <w:rFonts w:ascii="Times New Roman" w:hAnsi="Times New Roman" w:eastAsia="Songti SC"/>
            <w:color w:val="000000"/>
            <w:sz w:val="22"/>
          </w:rPr>
          <w:tab/>
          <w:t>31</w:t>
        </w:r>
      </w:hyperlink>
    </w:p>
    <w:p>
      <w:pPr>
        <w:pStyle w:val="TableList"/>
      </w:pPr>
      <w:hyperlink w:anchor="v14_178" w:history="1">
        <w:r>
          <w:rPr>
            <w:rFonts w:ascii="Times New Roman" w:hAnsi="Times New Roman" w:eastAsia="Songti SC"/>
            <w:color w:val="000000"/>
            <w:sz w:val="22"/>
          </w:rPr>
          <w:t>表3-6 相同增强集合上的学习目标比较（匹配训练规模）（估算情景）</w:t>
        </w:r>
        <w:r>
          <w:rPr>
            <w:rFonts w:ascii="Times New Roman" w:hAnsi="Times New Roman" w:eastAsia="Songti SC"/>
            <w:color w:val="000000"/>
            <w:sz w:val="22"/>
          </w:rPr>
          <w:tab/>
          <w:t>31</w:t>
        </w:r>
      </w:hyperlink>
    </w:p>
    <w:p>
      <w:pPr>
        <w:pStyle w:val="TableList"/>
      </w:pPr>
      <w:hyperlink w:anchor="v14_180" w:history="1">
        <w:r>
          <w:rPr>
            <w:rFonts w:ascii="Times New Roman" w:hAnsi="Times New Roman" w:eastAsia="Songti SC"/>
            <w:color w:val="000000"/>
            <w:sz w:val="22"/>
          </w:rPr>
          <w:t>表3-7 中心匹配的有效覆盖与自匹配（估算情景）</w:t>
        </w:r>
        <w:r>
          <w:rPr>
            <w:rFonts w:ascii="Times New Roman" w:hAnsi="Times New Roman" w:eastAsia="Songti SC"/>
            <w:color w:val="000000"/>
            <w:sz w:val="22"/>
          </w:rPr>
          <w:tab/>
          <w:t>32</w:t>
        </w:r>
      </w:hyperlink>
    </w:p>
    <w:p>
      <w:pPr>
        <w:pStyle w:val="TableList"/>
      </w:pPr>
      <w:hyperlink w:anchor="v14_181" w:history="1">
        <w:r>
          <w:rPr>
            <w:rFonts w:ascii="Times New Roman" w:hAnsi="Times New Roman" w:eastAsia="Songti SC"/>
            <w:color w:val="000000"/>
            <w:sz w:val="22"/>
          </w:rPr>
          <w:t>表3-8 结论中心与匹配随机中心的比较（匹配训练规模）（估算情景）</w:t>
        </w:r>
        <w:r>
          <w:rPr>
            <w:rFonts w:ascii="Times New Roman" w:hAnsi="Times New Roman" w:eastAsia="Songti SC"/>
            <w:color w:val="000000"/>
            <w:sz w:val="22"/>
          </w:rPr>
          <w:tab/>
          <w:t>33</w:t>
        </w:r>
      </w:hyperlink>
    </w:p>
    <w:p>
      <w:pPr>
        <w:pStyle w:val="TableList"/>
      </w:pPr>
      <w:hyperlink w:anchor="v14_182" w:history="1">
        <w:r>
          <w:rPr>
            <w:rFonts w:ascii="Times New Roman" w:hAnsi="Times New Roman" w:eastAsia="Songti SC"/>
            <w:color w:val="000000"/>
            <w:sz w:val="22"/>
          </w:rPr>
          <w:t>表3-9 固定尝试预算下的覆盖与构造成本（估算情景）</w:t>
        </w:r>
        <w:r>
          <w:rPr>
            <w:rFonts w:ascii="Times New Roman" w:hAnsi="Times New Roman" w:eastAsia="Songti SC"/>
            <w:color w:val="000000"/>
            <w:sz w:val="22"/>
          </w:rPr>
          <w:tab/>
          <w:t>33</w:t>
        </w:r>
      </w:hyperlink>
    </w:p>
    <w:p>
      <w:pPr>
        <w:pStyle w:val="TableList"/>
      </w:pPr>
      <w:hyperlink w:anchor="v14_187" w:history="1">
        <w:r>
          <w:rPr>
            <w:rFonts w:ascii="Times New Roman" w:hAnsi="Times New Roman" w:eastAsia="Songti SC"/>
            <w:color w:val="000000"/>
            <w:sz w:val="22"/>
          </w:rPr>
          <w:t>表4-1 推理方法的修改对象与决策接口</w:t>
        </w:r>
        <w:r>
          <w:rPr>
            <w:rFonts w:ascii="Times New Roman" w:hAnsi="Times New Roman" w:eastAsia="Songti SC"/>
            <w:color w:val="000000"/>
            <w:sz w:val="22"/>
          </w:rPr>
          <w:tab/>
          <w:t>51</w:t>
        </w:r>
      </w:hyperlink>
    </w:p>
    <w:p>
      <w:pPr>
        <w:pStyle w:val="TableList"/>
      </w:pPr>
      <w:hyperlink w:anchor="v14_188" w:history="1">
        <w:r>
          <w:rPr>
            <w:rFonts w:ascii="Times New Roman" w:hAnsi="Times New Roman" w:eastAsia="Songti SC"/>
            <w:color w:val="000000"/>
            <w:sz w:val="22"/>
          </w:rPr>
          <w:t>表4-2 推理侧对照及归因</w:t>
        </w:r>
        <w:r>
          <w:rPr>
            <w:rFonts w:ascii="Times New Roman" w:hAnsi="Times New Roman" w:eastAsia="Songti SC"/>
            <w:color w:val="000000"/>
            <w:sz w:val="22"/>
          </w:rPr>
          <w:tab/>
          <w:t>52</w:t>
        </w:r>
      </w:hyperlink>
    </w:p>
    <w:p>
      <w:pPr>
        <w:pStyle w:val="TableList"/>
      </w:pPr>
      <w:hyperlink w:anchor="v14_189" w:history="1">
        <w:r>
          <w:rPr>
            <w:rFonts w:ascii="Times New Roman" w:hAnsi="Times New Roman" w:eastAsia="Songti SC"/>
            <w:color w:val="000000"/>
            <w:sz w:val="22"/>
          </w:rPr>
          <w:t>表4-3 推理方法的严格抽取结果（估算情景）</w:t>
        </w:r>
        <w:r>
          <w:rPr>
            <w:rFonts w:ascii="Times New Roman" w:hAnsi="Times New Roman" w:eastAsia="Songti SC"/>
            <w:color w:val="000000"/>
            <w:sz w:val="22"/>
          </w:rPr>
          <w:tab/>
          <w:t>53</w:t>
        </w:r>
      </w:hyperlink>
    </w:p>
    <w:p>
      <w:pPr>
        <w:pStyle w:val="TableList"/>
      </w:pPr>
      <w:hyperlink w:anchor="v14_190" w:history="1">
        <w:r>
          <w:rPr>
            <w:rFonts w:ascii="Times New Roman" w:hAnsi="Times New Roman" w:eastAsia="Songti SC"/>
            <w:color w:val="000000"/>
            <w:sz w:val="22"/>
          </w:rPr>
          <w:t>表4-4 从完整组件到完整关系的候选覆盖（估算情景）</w:t>
        </w:r>
        <w:r>
          <w:rPr>
            <w:rFonts w:ascii="Times New Roman" w:hAnsi="Times New Roman" w:eastAsia="Songti SC"/>
            <w:color w:val="000000"/>
            <w:sz w:val="22"/>
          </w:rPr>
          <w:tab/>
          <w:t>55</w:t>
        </w:r>
      </w:hyperlink>
    </w:p>
    <w:p>
      <w:pPr>
        <w:pStyle w:val="TableList"/>
      </w:pPr>
      <w:hyperlink w:anchor="v14_191" w:history="1">
        <w:r>
          <w:rPr>
            <w:rFonts w:ascii="Times New Roman" w:hAnsi="Times New Roman" w:eastAsia="Songti SC"/>
            <w:color w:val="000000"/>
            <w:sz w:val="22"/>
          </w:rPr>
          <w:t>表4-5 三类恢复空间的关系计数诊断（估算情景）</w:t>
        </w:r>
        <w:r>
          <w:rPr>
            <w:rFonts w:ascii="Times New Roman" w:hAnsi="Times New Roman" w:eastAsia="Songti SC"/>
            <w:color w:val="000000"/>
            <w:sz w:val="22"/>
          </w:rPr>
          <w:tab/>
          <w:t>55</w:t>
        </w:r>
      </w:hyperlink>
    </w:p>
    <w:p>
      <w:pPr>
        <w:pStyle w:val="TableList"/>
      </w:pPr>
      <w:hyperlink w:anchor="v14_192" w:history="1">
        <w:r>
          <w:rPr>
            <w:rFonts w:ascii="Times New Roman" w:hAnsi="Times New Roman" w:eastAsia="Songti SC"/>
            <w:color w:val="000000"/>
            <w:sz w:val="22"/>
          </w:rPr>
          <w:t>表4-6 完整对象评分的区分与校准（估算情景）</w:t>
        </w:r>
        <w:r>
          <w:rPr>
            <w:rFonts w:ascii="Times New Roman" w:hAnsi="Times New Roman" w:eastAsia="Songti SC"/>
            <w:color w:val="000000"/>
            <w:sz w:val="22"/>
          </w:rPr>
          <w:tab/>
          <w:t>56</w:t>
        </w:r>
      </w:hyperlink>
    </w:p>
    <w:p>
      <w:pPr>
        <w:pStyle w:val="TableList"/>
      </w:pPr>
      <w:hyperlink w:anchor="v14_193" w:history="1">
        <w:r>
          <w:rPr>
            <w:rFonts w:ascii="Times New Roman" w:hAnsi="Times New Roman" w:eastAsia="Songti SC"/>
            <w:color w:val="000000"/>
            <w:sz w:val="22"/>
          </w:rPr>
          <w:t>表4-7 关系恢复与误改的累计计数（估算情景）</w:t>
        </w:r>
        <w:r>
          <w:rPr>
            <w:rFonts w:ascii="Times New Roman" w:hAnsi="Times New Roman" w:eastAsia="Songti SC"/>
            <w:color w:val="000000"/>
            <w:sz w:val="22"/>
          </w:rPr>
          <w:tab/>
          <w:t>57</w:t>
        </w:r>
      </w:hyperlink>
    </w:p>
    <w:p>
      <w:pPr>
        <w:pStyle w:val="TableList"/>
      </w:pPr>
      <w:hyperlink w:anchor="v14_195" w:history="1">
        <w:r>
          <w:rPr>
            <w:rFonts w:ascii="Times New Roman" w:hAnsi="Times New Roman" w:eastAsia="Songti SC"/>
            <w:color w:val="000000"/>
            <w:sz w:val="22"/>
          </w:rPr>
          <w:t>表4-8 推理成本与预算取舍（估算情景）</w:t>
        </w:r>
        <w:r>
          <w:rPr>
            <w:rFonts w:ascii="Times New Roman" w:hAnsi="Times New Roman" w:eastAsia="Songti SC"/>
            <w:color w:val="000000"/>
            <w:sz w:val="22"/>
          </w:rPr>
          <w:tab/>
          <w:t>58</w:t>
        </w:r>
      </w:hyperlink>
    </w:p>
    <w:p>
      <w:pPr>
        <w:pStyle w:val="TableList"/>
      </w:pPr>
      <w:hyperlink w:anchor="v14_196" w:history="1">
        <w:r>
          <w:rPr>
            <w:rFonts w:ascii="Times New Roman" w:hAnsi="Times New Roman" w:eastAsia="Songti SC"/>
            <w:color w:val="000000"/>
            <w:sz w:val="22"/>
          </w:rPr>
          <w:t>表4-9 结构恢复与失败案例（估算情景）</w:t>
        </w:r>
        <w:r>
          <w:rPr>
            <w:rFonts w:ascii="Times New Roman" w:hAnsi="Times New Roman" w:eastAsia="Songti SC"/>
            <w:color w:val="000000"/>
            <w:sz w:val="22"/>
          </w:rPr>
          <w:tab/>
          <w:t>60</w:t>
        </w:r>
      </w:hyperlink>
    </w:p>
    <w:p>
      <w:pPr>
        <w:pStyle w:val="TableList"/>
      </w:pPr>
      <w:hyperlink w:anchor="v14_197" w:history="1">
        <w:r>
          <w:rPr>
            <w:rFonts w:ascii="Times New Roman" w:hAnsi="Times New Roman" w:eastAsia="Songti SC"/>
            <w:color w:val="000000"/>
            <w:sz w:val="22"/>
          </w:rPr>
          <w:t>表5-1 两阶段组合的四格结果（估算情景）</w:t>
        </w:r>
        <w:r>
          <w:rPr>
            <w:rFonts w:ascii="Times New Roman" w:hAnsi="Times New Roman" w:eastAsia="Songti SC"/>
            <w:color w:val="000000"/>
            <w:sz w:val="22"/>
          </w:rPr>
          <w:tab/>
          <w:t>61</w:t>
        </w:r>
      </w:hyperlink>
    </w:p>
    <w:p>
      <w:pPr>
        <w:pStyle w:val="TableList"/>
      </w:pPr>
      <w:hyperlink w:anchor="v14_198" w:history="1">
        <w:r>
          <w:rPr>
            <w:rFonts w:ascii="Times New Roman" w:hAnsi="Times New Roman" w:eastAsia="Songti SC"/>
            <w:color w:val="000000"/>
            <w:sz w:val="22"/>
          </w:rPr>
          <w:t>表5-2 条件增量与交互差（估算情景）</w:t>
        </w:r>
        <w:r>
          <w:rPr>
            <w:rFonts w:ascii="Times New Roman" w:hAnsi="Times New Roman" w:eastAsia="Songti SC"/>
            <w:color w:val="000000"/>
            <w:sz w:val="22"/>
          </w:rPr>
          <w:tab/>
          <w:t>61</w:t>
        </w:r>
      </w:hyperlink>
    </w:p>
    <w:p>
      <w:pPr>
        <w:pStyle w:val="TableList"/>
      </w:pPr>
      <w:hyperlink w:anchor="v14_200" w:history="1">
        <w:r>
          <w:rPr>
            <w:rFonts w:ascii="Times New Roman" w:hAnsi="Times New Roman" w:eastAsia="Songti SC"/>
            <w:color w:val="000000"/>
            <w:sz w:val="22"/>
          </w:rPr>
          <w:t>表5-3 四格比较的净错误计数变化（估算情景）</w:t>
        </w:r>
        <w:r>
          <w:rPr>
            <w:rFonts w:ascii="Times New Roman" w:hAnsi="Times New Roman" w:eastAsia="Songti SC"/>
            <w:color w:val="000000"/>
            <w:sz w:val="22"/>
          </w:rPr>
          <w:tab/>
          <w:t>62</w:t>
        </w:r>
      </w:hyperlink>
    </w:p>
    <w:p>
      <w:pPr>
        <w:pStyle w:val="TableList"/>
      </w:pPr>
      <w:hyperlink w:anchor="v14_201" w:history="1">
        <w:r>
          <w:rPr>
            <w:rFonts w:ascii="Times New Roman" w:hAnsi="Times New Roman" w:eastAsia="Songti SC"/>
            <w:color w:val="000000"/>
            <w:sz w:val="22"/>
          </w:rPr>
          <w:t>表5-4 CDCP完整关系的源成员数分组（估算情景）</w:t>
        </w:r>
        <w:r>
          <w:rPr>
            <w:rFonts w:ascii="Times New Roman" w:hAnsi="Times New Roman" w:eastAsia="Songti SC"/>
            <w:color w:val="000000"/>
            <w:sz w:val="22"/>
          </w:rPr>
          <w:tab/>
          <w:t>63</w:t>
        </w:r>
      </w:hyperlink>
    </w:p>
    <w:p>
      <w:pPr>
        <w:pStyle w:val="TableList"/>
      </w:pPr>
      <w:hyperlink w:anchor="v14_202" w:history="1">
        <w:r>
          <w:rPr>
            <w:rFonts w:ascii="Times New Roman" w:hAnsi="Times New Roman" w:eastAsia="Songti SC"/>
            <w:color w:val="000000"/>
            <w:sz w:val="22"/>
          </w:rPr>
          <w:t>表5-5 相对共同起点的关系增量与在线额外时间（估算情景）</w:t>
        </w:r>
        <w:r>
          <w:rPr>
            <w:rFonts w:ascii="Times New Roman" w:hAnsi="Times New Roman" w:eastAsia="Songti SC"/>
            <w:color w:val="000000"/>
            <w:sz w:val="22"/>
          </w:rPr>
          <w:tab/>
          <w:t>64</w:t>
        </w:r>
      </w:hyperlink>
    </w:p>
    <w:p>
      <w:pPr>
        <w:pStyle w:val="TableList"/>
      </w:pPr>
      <w:hyperlink w:anchor="v14_203" w:history="1">
        <w:r>
          <w:rPr>
            <w:rFonts w:ascii="Times New Roman" w:hAnsi="Times New Roman" w:eastAsia="Songti SC"/>
            <w:color w:val="000000"/>
            <w:sz w:val="22"/>
          </w:rPr>
          <w:t>表A-1 复现材料的关联字段</w:t>
        </w:r>
        <w:r>
          <w:rPr>
            <w:rFonts w:ascii="Times New Roman" w:hAnsi="Times New Roman" w:eastAsia="Songti SC"/>
            <w:color w:val="000000"/>
            <w:sz w:val="22"/>
          </w:rPr>
          <w:tab/>
          <w:t>71</w:t>
        </w:r>
      </w:hyperlink>
    </w:p>
    <w:p>
      <w:pPr>
        <w:pStyle w:val="TableList"/>
      </w:pPr>
      <w:hyperlink w:anchor="v14_204" w:history="1">
        <w:r>
          <w:rPr>
            <w:rFonts w:ascii="Times New Roman" w:hAnsi="Times New Roman" w:eastAsia="Songti SC"/>
            <w:color w:val="000000"/>
            <w:sz w:val="22"/>
          </w:rPr>
          <w:t>表A-2 本版参考配置</w:t>
        </w:r>
        <w:r>
          <w:rPr>
            <w:rFonts w:ascii="Times New Roman" w:hAnsi="Times New Roman" w:eastAsia="Songti SC"/>
            <w:color w:val="000000"/>
            <w:sz w:val="22"/>
          </w:rPr>
          <w:tab/>
          <w:t>72</w:t>
        </w:r>
      </w:hyperlink>
    </w:p>
    <w:p>
      <w:pPr>
        <w:pStyle w:val="TableList"/>
      </w:pPr>
      <w:hyperlink w:anchor="v14_205" w:history="1">
        <w:r>
          <w:rPr>
            <w:rFonts w:ascii="Times New Roman" w:hAnsi="Times New Roman" w:eastAsia="Songti SC"/>
            <w:color w:val="000000"/>
            <w:sz w:val="22"/>
          </w:rPr>
          <w:t>表B-1 提议评估与提交的预算判定</w:t>
        </w:r>
        <w:r>
          <w:rPr>
            <w:rFonts w:ascii="Times New Roman" w:hAnsi="Times New Roman" w:eastAsia="Songti SC"/>
            <w:color w:val="000000"/>
            <w:sz w:val="22"/>
          </w:rPr>
          <w:tab/>
          <w:t>77</w:t>
        </w:r>
      </w:hyperlink>
    </w:p>
    <w:p>
      <w:pPr>
        <w:pStyle w:val="TableList"/>
      </w:pPr>
      <w:hyperlink w:anchor="v14_206" w:history="1">
        <w:r>
          <w:rPr>
            <w:rFonts w:ascii="Times New Roman" w:hAnsi="Times New Roman" w:eastAsia="Songti SC"/>
            <w:color w:val="000000"/>
            <w:sz w:val="22"/>
          </w:rPr>
          <w:t>表E-1 AAEC组件分类别旧稿记录</w:t>
        </w:r>
        <w:r>
          <w:rPr>
            <w:rFonts w:ascii="Times New Roman" w:hAnsi="Times New Roman" w:eastAsia="Songti SC"/>
            <w:color w:val="000000"/>
            <w:sz w:val="22"/>
          </w:rPr>
          <w:tab/>
          <w:t>83</w:t>
        </w:r>
      </w:hyperlink>
    </w:p>
    <w:p>
      <w:pPr>
        <w:pStyle w:val="TableList"/>
      </w:pPr>
      <w:hyperlink w:anchor="v14_207" w:history="1">
        <w:r>
          <w:rPr>
            <w:rFonts w:ascii="Times New Roman" w:hAnsi="Times New Roman" w:eastAsia="Songti SC"/>
            <w:color w:val="000000"/>
            <w:sz w:val="22"/>
          </w:rPr>
          <w:t>表E-2 ICIC原版AAEC域内结果记录</w:t>
        </w:r>
        <w:r>
          <w:rPr>
            <w:rFonts w:ascii="Times New Roman" w:hAnsi="Times New Roman" w:eastAsia="Songti SC"/>
            <w:color w:val="000000"/>
            <w:sz w:val="22"/>
          </w:rPr>
          <w:tab/>
          <w:t>83</w:t>
        </w:r>
      </w:hyperlink>
    </w:p>
    <w:p>
      <w:pPr>
        <w:pStyle w:val="TableList"/>
      </w:pPr>
      <w:hyperlink w:anchor="v14_208" w:history="1">
        <w:r>
          <w:rPr>
            <w:rFonts w:ascii="Times New Roman" w:hAnsi="Times New Roman" w:eastAsia="Songti SC"/>
            <w:color w:val="000000"/>
            <w:sz w:val="22"/>
          </w:rPr>
          <w:t>表E-3 ICIC原版CDCP域内结果记录</w:t>
        </w:r>
        <w:r>
          <w:rPr>
            <w:rFonts w:ascii="Times New Roman" w:hAnsi="Times New Roman" w:eastAsia="Songti SC"/>
            <w:color w:val="000000"/>
            <w:sz w:val="22"/>
          </w:rPr>
          <w:tab/>
          <w:t>84</w:t>
        </w:r>
      </w:hyperlink>
    </w:p>
    <w:p>
      <w:pPr>
        <w:pStyle w:val="TableList"/>
      </w:pPr>
      <w:hyperlink w:anchor="v14_209" w:history="1">
        <w:r>
          <w:rPr>
            <w:rFonts w:ascii="Times New Roman" w:hAnsi="Times New Roman" w:eastAsia="Songti SC"/>
            <w:color w:val="000000"/>
            <w:sz w:val="22"/>
          </w:rPr>
          <w:t>表E-4 ICIC原版模块消融记录</w:t>
        </w:r>
        <w:r>
          <w:rPr>
            <w:rFonts w:ascii="Times New Roman" w:hAnsi="Times New Roman" w:eastAsia="Songti SC"/>
            <w:color w:val="000000"/>
            <w:sz w:val="22"/>
          </w:rPr>
          <w:tab/>
          <w:t>84</w:t>
        </w:r>
      </w:hyperlink>
    </w:p>
    <w:p>
      <w:pPr>
        <w:pStyle w:val="TableList"/>
      </w:pPr>
      <w:hyperlink w:anchor="v14_210" w:history="1">
        <w:r>
          <w:rPr>
            <w:rFonts w:ascii="Times New Roman" w:hAnsi="Times New Roman" w:eastAsia="Songti SC"/>
            <w:color w:val="000000"/>
            <w:sz w:val="22"/>
          </w:rPr>
          <w:t>表E-5 ICIC原版验证器替换记录</w:t>
        </w:r>
        <w:r>
          <w:rPr>
            <w:rFonts w:ascii="Times New Roman" w:hAnsi="Times New Roman" w:eastAsia="Songti SC"/>
            <w:color w:val="000000"/>
            <w:sz w:val="22"/>
          </w:rPr>
          <w:tab/>
          <w:t>85</w:t>
        </w:r>
      </w:hyperlink>
    </w:p>
    <w:p>
      <w:pPr>
        <w:pStyle w:val="TableList"/>
      </w:pPr>
      <w:hyperlink w:anchor="v14_211" w:history="1">
        <w:r>
          <w:rPr>
            <w:rFonts w:ascii="Times New Roman" w:hAnsi="Times New Roman" w:eastAsia="Songti SC"/>
            <w:color w:val="000000"/>
            <w:sz w:val="22"/>
          </w:rPr>
          <w:t>表E-6 ICIC原版Oracle记录</w:t>
        </w:r>
        <w:r>
          <w:rPr>
            <w:rFonts w:ascii="Times New Roman" w:hAnsi="Times New Roman" w:eastAsia="Songti SC"/>
            <w:color w:val="000000"/>
            <w:sz w:val="22"/>
          </w:rPr>
          <w:tab/>
          <w:t>85</w:t>
        </w:r>
      </w:hyperlink>
    </w:p>
    <w:p>
      <w:pPr>
        <w:pStyle w:val="TableList"/>
      </w:pPr>
      <w:hyperlink w:anchor="v14_212" w:history="1">
        <w:r>
          <w:rPr>
            <w:rFonts w:ascii="Times New Roman" w:hAnsi="Times New Roman" w:eastAsia="Songti SC"/>
            <w:color w:val="000000"/>
            <w:sz w:val="22"/>
          </w:rPr>
          <w:t>表E-7 ICIC原版修正行为记录</w:t>
        </w:r>
        <w:r>
          <w:rPr>
            <w:rFonts w:ascii="Times New Roman" w:hAnsi="Times New Roman" w:eastAsia="Songti SC"/>
            <w:color w:val="000000"/>
            <w:sz w:val="22"/>
          </w:rPr>
          <w:tab/>
          <w:t>85</w:t>
        </w:r>
      </w:hyperlink>
    </w:p>
    <w:p>
      <w:pPr>
        <w:pStyle w:val="TableList"/>
      </w:pPr>
      <w:hyperlink w:anchor="v14_213" w:history="1">
        <w:r>
          <w:rPr>
            <w:rFonts w:ascii="Times New Roman" w:hAnsi="Times New Roman" w:eastAsia="Songti SC"/>
            <w:color w:val="000000"/>
            <w:sz w:val="22"/>
          </w:rPr>
          <w:t>表E-8 前期粗粒度组件映射</w:t>
        </w:r>
        <w:r>
          <w:rPr>
            <w:rFonts w:ascii="Times New Roman" w:hAnsi="Times New Roman" w:eastAsia="Songti SC"/>
            <w:color w:val="000000"/>
            <w:sz w:val="22"/>
          </w:rPr>
          <w:tab/>
          <w:t>86</w:t>
        </w:r>
      </w:hyperlink>
    </w:p>
    <w:p>
      <w:pPr>
        <w:pStyle w:val="TableList"/>
      </w:pPr>
      <w:hyperlink w:anchor="v14_214" w:history="1">
        <w:r>
          <w:rPr>
            <w:rFonts w:ascii="Times New Roman" w:hAnsi="Times New Roman" w:eastAsia="Songti SC"/>
            <w:color w:val="000000"/>
            <w:sz w:val="22"/>
          </w:rPr>
          <w:t>表E-9 ICIC原版AAEC到CDCP迁移记录</w:t>
        </w:r>
        <w:r>
          <w:rPr>
            <w:rFonts w:ascii="Times New Roman" w:hAnsi="Times New Roman" w:eastAsia="Songti SC"/>
            <w:color w:val="000000"/>
            <w:sz w:val="22"/>
          </w:rPr>
          <w:tab/>
          <w:t>87</w:t>
        </w:r>
      </w:hyperlink>
    </w:p>
    <w:p>
      <w:pPr>
        <w:pStyle w:val="TableList"/>
      </w:pPr>
      <w:hyperlink w:anchor="v14_215" w:history="1">
        <w:r>
          <w:rPr>
            <w:rFonts w:ascii="Times New Roman" w:hAnsi="Times New Roman" w:eastAsia="Songti SC"/>
            <w:color w:val="000000"/>
            <w:sz w:val="22"/>
          </w:rPr>
          <w:t>表F-1 核心符号及其语义</w:t>
        </w:r>
        <w:r>
          <w:rPr>
            <w:rFonts w:ascii="Times New Roman" w:hAnsi="Times New Roman" w:eastAsia="Songti SC"/>
            <w:color w:val="000000"/>
            <w:sz w:val="22"/>
          </w:rPr>
          <w:tab/>
          <w:t>88</w:t>
        </w:r>
      </w:hyperlink>
    </w:p>
    <w:p>
      <w:pPr>
        <w:pStyle w:val="TableList"/>
      </w:pPr>
      <w:hyperlink w:anchor="v14_216" w:history="1">
        <w:r>
          <w:rPr>
            <w:rFonts w:ascii="Times New Roman" w:hAnsi="Times New Roman" w:eastAsia="Songti SC"/>
            <w:color w:val="000000"/>
            <w:sz w:val="22"/>
          </w:rPr>
          <w:t>表F-2 方法与实验的阅读索引</w:t>
        </w:r>
        <w:r>
          <w:rPr>
            <w:rFonts w:ascii="Times New Roman" w:hAnsi="Times New Roman" w:eastAsia="Songti SC"/>
            <w:color w:val="000000"/>
            <w:sz w:val="22"/>
          </w:rPr>
          <w:tab/>
          <w:t>90</w:t>
        </w:r>
      </w:hyperlink>
    </w:p>
    <w:p>
      <w:pPr>
        <w:pStyle w:val="TableList"/>
      </w:pPr>
      <w:hyperlink w:anchor="v14_217" w:history="1">
        <w:r>
          <w:rPr>
            <w:rFonts w:ascii="Times New Roman" w:hAnsi="Times New Roman" w:eastAsia="Songti SC"/>
            <w:color w:val="000000"/>
            <w:sz w:val="22"/>
          </w:rPr>
          <w:t>表G-1 外部研究候选与本稿比较用途</w:t>
        </w:r>
        <w:r>
          <w:rPr>
            <w:rFonts w:ascii="Times New Roman" w:hAnsi="Times New Roman" w:eastAsia="Songti SC"/>
            <w:color w:val="000000"/>
            <w:sz w:val="22"/>
          </w:rPr>
          <w:tab/>
          <w:t>91</w:t>
        </w:r>
      </w:hyperlink>
    </w:p>
    <w:p>
      <w:pPr>
        <w:pStyle w:val="TableList"/>
      </w:pPr>
      <w:hyperlink w:anchor="v14_218" w:history="1">
        <w:r>
          <w:rPr>
            <w:rFonts w:ascii="Times New Roman" w:hAnsi="Times New Roman" w:eastAsia="Songti SC"/>
            <w:color w:val="000000"/>
            <w:sz w:val="22"/>
          </w:rPr>
          <w:t>表G-2 当前数据构造对照的适配范围</w:t>
        </w:r>
        <w:r>
          <w:rPr>
            <w:rFonts w:ascii="Times New Roman" w:hAnsi="Times New Roman" w:eastAsia="Songti SC"/>
            <w:color w:val="000000"/>
            <w:sz w:val="22"/>
          </w:rPr>
          <w:tab/>
          <w:t>92</w:t>
        </w:r>
      </w:hyperlink>
    </w:p>
    <w:p>
      <w:pPr>
        <w:pStyle w:val="TableList"/>
      </w:pPr>
      <w:hyperlink w:anchor="v14_219" w:history="1">
        <w:r>
          <w:rPr>
            <w:rFonts w:ascii="Times New Roman" w:hAnsi="Times New Roman" w:eastAsia="Songti SC"/>
            <w:color w:val="000000"/>
            <w:sz w:val="22"/>
          </w:rPr>
          <w:t>表H-1 固定尝试轨训练成本存档（估算情景）</w:t>
        </w:r>
        <w:r>
          <w:rPr>
            <w:rFonts w:ascii="Times New Roman" w:hAnsi="Times New Roman" w:eastAsia="Songti SC"/>
            <w:color w:val="000000"/>
            <w:sz w:val="22"/>
          </w:rPr>
          <w:tab/>
          <w:t>95</w:t>
        </w:r>
      </w:hyperlink>
    </w:p>
    <w:p>
      <w:pPr>
        <w:pStyle w:val="TableList"/>
      </w:pPr>
      <w:hyperlink w:anchor="v14_220" w:history="1">
        <w:r>
          <w:rPr>
            <w:rFonts w:ascii="Times New Roman" w:hAnsi="Times New Roman" w:eastAsia="Songti SC"/>
            <w:color w:val="000000"/>
            <w:sz w:val="22"/>
          </w:rPr>
          <w:t>表H-2 共同池的变化与覆盖诊断（指标演示的估算情景）</w:t>
        </w:r>
        <w:r>
          <w:rPr>
            <w:rFonts w:ascii="Times New Roman" w:hAnsi="Times New Roman" w:eastAsia="Songti SC"/>
            <w:color w:val="000000"/>
            <w:sz w:val="22"/>
          </w:rPr>
          <w:tab/>
          <w:t>98</w:t>
        </w:r>
      </w:hyperlink>
    </w:p>
    <w:p>
      <w:pPr>
        <w:pStyle w:val="TableList"/>
      </w:pPr>
      <w:hyperlink w:anchor="v14_221" w:history="1">
        <w:r>
          <w:rPr>
            <w:rFonts w:ascii="Times New Roman" w:hAnsi="Times New Roman" w:eastAsia="Songti SC"/>
            <w:color w:val="000000"/>
            <w:sz w:val="22"/>
          </w:rPr>
          <w:t>表H-3 裁剪前规模与预检成本（成本函数示例）</w:t>
        </w:r>
        <w:r>
          <w:rPr>
            <w:rFonts w:ascii="Times New Roman" w:hAnsi="Times New Roman" w:eastAsia="Songti SC"/>
            <w:color w:val="000000"/>
            <w:sz w:val="22"/>
          </w:rPr>
          <w:tab/>
          <w:t>99</w:t>
        </w:r>
      </w:hyperlink>
    </w:p>
    <w:p>
      <w:pPr>
        <w:pStyle w:val="TableList"/>
      </w:pPr>
      <w:hyperlink w:anchor="v14_222" w:history="1">
        <w:r>
          <w:rPr>
            <w:rFonts w:ascii="Times New Roman" w:hAnsi="Times New Roman" w:eastAsia="Songti SC"/>
            <w:color w:val="000000"/>
            <w:sz w:val="22"/>
          </w:rPr>
          <w:t>表H-4 同端到端时限的质量与尾延迟（成本与完成度假设下的推演）</w:t>
        </w:r>
        <w:r>
          <w:rPr>
            <w:rFonts w:ascii="Times New Roman" w:hAnsi="Times New Roman" w:eastAsia="Songti SC"/>
            <w:color w:val="000000"/>
            <w:sz w:val="22"/>
          </w:rPr>
          <w:tab/>
          <w:t>100</w:t>
        </w:r>
      </w:hyperlink>
      <w:r>
        <w:fldChar w:fldCharType="end"/>
      </w:r>
    </w:p>
    <w:p>
      <w:pPr>
        <w:sectPr>
          <w:headerReference w:type="default" r:id="rId161"/>
          <w:footerReference w:type="default" r:id="rId162"/>
          <w:pgSz w:w="11906" w:h="16838"/>
          <w:pgMar w:top="1417" w:right="1417" w:bottom="1417" w:left="1587" w:header="737" w:footer="737" w:gutter="0"/>
          <w:cols w:space="720"/>
          <w:pgNumType w:start="1" w:fmt="upperRoman"/>
        </w:sectPr>
      </w:pPr>
    </w:p>
    <w:p>
      <w:pPr>
        <w:pStyle w:val="Heading1"/>
        <w:pageBreakBefore w:val="0"/>
      </w:pPr>
      <w:r>
        <w:t>第一章 绪论</w:t>
      </w:r>
      <w:bookmarkStart w:id="12" w:name="v14_12"/>
      <w:bookmarkEnd w:id="12"/>
    </w:p>
    <w:p>
      <w:pPr>
        <w:pStyle w:val="Heading2"/>
      </w:pPr>
      <w:r>
        <w:t>1.1 研究背景与问题提出</w:t>
      </w:r>
      <w:bookmarkStart w:id="13" w:name="v14_13"/>
      <w:bookmarkEnd w:id="13"/>
    </w:p>
    <w:p>
      <w:r>
        <w:rPr>
          <w:rFonts w:ascii="Times New Roman" w:hAnsi="Times New Roman" w:eastAsia="Songti SC"/>
          <w:color w:val="000000"/>
        </w:rPr>
        <w:t>论辩挖掘研究文本中的主张、理由及其连接方式。与仅判断作者赞成或反对某一议题相比，该任务还需要定位论证内容，并识别不同组件之间的支持或攻击关系，从而将自然语言论述转化为可分析的结构[1]。组件与关系抽取服务于论证结构分析，但抽取准确并不直接证明论证有效或事实真实。</w:t>
      </w:r>
    </w:p>
    <w:p>
      <w:r>
        <w:rPr>
          <w:rFonts w:ascii="Times New Roman" w:hAnsi="Times New Roman" w:eastAsia="Songti SC"/>
          <w:color w:val="000000"/>
        </w:rPr>
        <w:t>图1-1以一个人为构造的图书馆片段说明任务输入与输出。原文中的“增加图书馆经费”和“延长开放时间”表达两个观点，“图书馆现有座位不足，而且开放时间偏短”提供相关理由。论辩挖掘需要共同确定这些文字的范围、论辩角色及连接关系。若只识别出观点而遗漏理由，或把完整理由截成一部分，关系预测所依赖的端点也会随之改变。</w:t>
      </w:r>
    </w:p>
    <w:p>
      <w:pPr>
        <w:keepNext/>
        <w:spacing w:line="240" w:lineRule="auto" w:before="80" w:after="60"/>
        <w:ind w:firstLine="0"/>
        <w:jc w:val="center"/>
      </w:pPr>
      <w:r>
        <w:drawing>
          <wp:inline xmlns:a="http://schemas.openxmlformats.org/drawingml/2006/main" xmlns:pic="http://schemas.openxmlformats.org/drawingml/2006/picture">
            <wp:extent cx="5652770" cy="3384344"/>
            <wp:docPr id="1" name="argument_example.png" descr="原文到组件与关系的论辩挖掘示意"/>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652770" cy="3384344"/>
                    </a:xfrm>
                    <a:prstGeom prst="rect"/>
                  </pic:spPr>
                </pic:pic>
              </a:graphicData>
            </a:graphic>
          </wp:inline>
        </w:drawing>
      </w:r>
    </w:p>
    <w:p>
      <w:pPr>
        <w:pStyle w:val="FigureCaption"/>
      </w:pPr>
      <w:r>
        <w:rPr>
          <w:rFonts w:ascii="Times New Roman" w:hAnsi="Times New Roman" w:eastAsia="Songti SC"/>
          <w:color w:val="000000"/>
          <w:sz w:val="21"/>
        </w:rPr>
        <w:t>图1-1 原始文本中的组件与关系示意</w:t>
      </w:r>
      <w:bookmarkStart w:id="163" w:name="v14_163"/>
      <w:bookmarkEnd w:id="163"/>
    </w:p>
    <w:p>
      <w:r>
        <w:rPr>
          <w:rFonts w:ascii="Times New Roman" w:hAnsi="Times New Roman" w:eastAsia="Songti SC"/>
          <w:color w:val="000000"/>
        </w:rPr>
        <w:t>该例为便于说明而构造，不是AAEC或CDCP的标注样本，也不作为实验效果证据。本文后续沿用这一片段解释关系影响域和组件替换，使任务、训练与推理三个层面的讨论具有一致的直观参照。</w:t>
      </w:r>
    </w:p>
    <w:p>
      <w:r>
        <w:rPr>
          <w:rFonts w:ascii="Times New Roman" w:hAnsi="Times New Roman" w:eastAsia="Songti SC"/>
          <w:color w:val="000000"/>
        </w:rPr>
        <w:t>生成式建模将组件和关系编码为同一输出序列，使多个子任务共享上下文[7]。共享表示并未消除输出对象之间的依赖。当组件跨度没有进入候选集合时，以该组件为端点的关系就无法严格匹配；当组件存在而显示编号错误时，则可能通过确定性检查修复引用。候选遗漏、语义判断错误与编码不一致具有不同成因，需要分别处理。</w:t>
      </w:r>
    </w:p>
    <w:p>
      <w:r>
        <w:rPr>
          <w:rFonts w:ascii="Times New Roman" w:hAnsi="Times New Roman" w:eastAsia="Songti SC"/>
          <w:color w:val="000000"/>
        </w:rPr>
        <w:t>训练数据增强也受到同一依赖关系的约束。将上述理由改写为“图书馆座位不够用”，可能仍然支持增加经费，却不再说明延长开放时间的必要性。如果直接继承原关系标注，增强样本就会引入监督噪声。仅检查改写集合内部的关系还不够，连接到集合外组件的关系以及原先无关系的端点组合也可能发生变化。</w:t>
      </w:r>
    </w:p>
    <w:p>
      <w:r>
        <w:rPr>
          <w:rFonts w:ascii="Times New Roman" w:hAnsi="Times New Roman" w:eastAsia="Songti SC"/>
          <w:color w:val="000000"/>
        </w:rPr>
        <w:t>推理阶段的输入原文保持不变，但模型可能漏掉“延长开放时间”，或仅抽取理由的一部分。补回组件、扩展边界或调整类型之后，关联关系必须依据新的端点对象重新判断。本文据此开展分别作用于两个阶段的研究：训练阶段保持文本改写后的关系监督，推理阶段恢复预测修改后的依赖结构。两项研究以真实文本上的严格组件和关系评价为共同依据，并分别考察收益、失败情形与计算代价。</w:t>
      </w:r>
    </w:p>
    <w:p>
      <w:r>
        <w:rPr>
          <w:rFonts w:ascii="Times New Roman" w:hAnsi="Times New Roman" w:eastAsia="Songti SC"/>
          <w:color w:val="000000"/>
        </w:rPr>
        <w:t>这两类依赖错误是否具有足够规模，是采用复杂机制的前提。关系影响域检查应与简单改写检查比较，集合修正应与固定组件的纯关系修正比较；若简单方法已覆盖主要问题，复杂设计就应收缩。当前估算情景不建立真实问题发生率，诊断方案集中于附录H.1。</w:t>
      </w:r>
    </w:p>
    <w:p>
      <w:pPr>
        <w:pStyle w:val="Heading2"/>
      </w:pPr>
      <w:r>
        <w:t>1.2 国内外研究现状</w:t>
      </w:r>
      <w:bookmarkStart w:id="14" w:name="v14_14"/>
      <w:bookmarkEnd w:id="14"/>
    </w:p>
    <w:p>
      <w:r>
        <w:rPr>
          <w:rFonts w:ascii="Times New Roman" w:hAnsi="Times New Roman" w:eastAsia="Songti SC"/>
          <w:color w:val="000000"/>
        </w:rPr>
        <w:t>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p>
      <w:pPr>
        <w:pStyle w:val="Heading3"/>
      </w:pPr>
      <w:r>
        <w:t>1.2.1 端到端论辩挖掘与生成建模</w:t>
      </w:r>
      <w:bookmarkStart w:id="15" w:name="v14_15"/>
      <w:bookmarkEnd w:id="15"/>
    </w:p>
    <w:p>
      <w:r>
        <w:rPr>
          <w:rFonts w:ascii="Times New Roman" w:hAnsi="Times New Roman" w:eastAsia="Songti SC"/>
          <w:color w:val="000000"/>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r>
        <w:rPr>
          <w:rFonts w:ascii="Times New Roman" w:hAnsi="Times New Roman" w:eastAsia="Songti SC"/>
          <w:color w:val="000000"/>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r>
        <w:rPr>
          <w:rFonts w:ascii="Times New Roman" w:hAnsi="Times New Roman" w:eastAsia="Songti SC"/>
          <w:color w:val="000000"/>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论文的成对学习另以同一原文及其经过检查的改写为对应单位。统一生成、辅助目标与对应约束解决的问题有所联系，其比较需要固定输入及完整对象评价，而不能仅按是否使用大模型分类。</w:t>
      </w:r>
    </w:p>
    <w:p>
      <w:r>
        <w:rPr>
          <w:rFonts w:ascii="Times New Roman" w:hAnsi="Times New Roman" w:eastAsia="Songti SC"/>
          <w:color w:val="000000"/>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r>
        <w:rPr>
          <w:rFonts w:ascii="Times New Roman" w:hAnsi="Times New Roman" w:eastAsia="Songti SC"/>
          <w:color w:val="000000"/>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pPr>
      <w:r>
        <w:t>1.2.2 关系保持数据增强</w:t>
      </w:r>
      <w:bookmarkStart w:id="16" w:name="v14_16"/>
      <w:bookmarkEnd w:id="16"/>
    </w:p>
    <w:p>
      <w:r>
        <w:rPr>
          <w:rFonts w:ascii="Times New Roman" w:hAnsi="Times New Roman" w:eastAsia="Songti SC"/>
          <w:color w:val="000000"/>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r>
        <w:rPr>
          <w:rFonts w:ascii="Times New Roman" w:hAnsi="Times New Roman" w:eastAsia="Songti SC"/>
          <w:color w:val="000000"/>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本文沿用槽位化改写与标注恢复这一研究基础，进一步关注改写的关系影响范围：同时考察集合内部、跨边界的合法端点组合，以及已有关系和无关系状态。</w:t>
      </w:r>
    </w:p>
    <w:p>
      <w:r>
        <w:rPr>
          <w:rFonts w:ascii="Times New Roman" w:hAnsi="Times New Roman" w:eastAsia="Songti SC"/>
          <w:color w:val="000000"/>
        </w:rPr>
        <w:t>QOS与同文提出的多样性导向合成DOS分别提供质量和多样性的参照[35]；本文的QOS式适配只继承其中的槽位化改写思想，不能代表两种方案或原论文完整系统的复现。2026年10月公开的对抗强化学习合成研究交替优化生成器与判别器，生成新的文本—结构标注对[49]。结构质量与多样性的联合考虑已有直接近邻，不能作为本文排他的研究空白。本文限定为保留原图监督的局部改写，其增量分别由关系影响域检查和对应因素学习的对照检验。两类数据构造目标不同，比较时先统一训练规模和下游抽取器，再解释结构新颖性与表达变化。</w:t>
      </w:r>
    </w:p>
    <w:p>
      <w:r>
        <w:rPr>
          <w:rFonts w:ascii="Times New Roman" w:hAnsi="Times New Roman" w:eastAsia="Songti SC"/>
          <w:color w:val="000000"/>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r>
        <w:rPr>
          <w:rFonts w:ascii="Times New Roman" w:hAnsi="Times New Roman" w:eastAsia="Songti SC"/>
          <w:color w:val="000000"/>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以区分数据构造与成对监督的作用。“保持”是生成和审核目标，其语义可靠性仍需真实审计与任务评价支持。</w:t>
      </w:r>
    </w:p>
    <w:p>
      <w:pPr>
        <w:pStyle w:val="Heading3"/>
      </w:pPr>
      <w:r>
        <w:t>1.2.3 结构化预测与论辩图修正</w:t>
      </w:r>
      <w:bookmarkStart w:id="17" w:name="v14_17"/>
      <w:bookmarkEnd w:id="17"/>
    </w:p>
    <w:p>
      <w:r>
        <w:rPr>
          <w:rFonts w:ascii="Times New Roman" w:hAnsi="Times New Roman" w:eastAsia="Songti SC"/>
          <w:color w:val="000000"/>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r>
        <w:rPr>
          <w:rFonts w:ascii="Times New Roman" w:hAnsi="Times New Roman" w:eastAsia="Songti SC"/>
          <w:color w:val="000000"/>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r>
        <w:rPr>
          <w:rFonts w:ascii="Times New Roman" w:hAnsi="Times New Roman" w:eastAsia="Songti SC"/>
          <w:color w:val="000000"/>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r>
        <w:rPr>
          <w:rFonts w:ascii="Times New Roman" w:hAnsi="Times New Roman" w:eastAsia="Songti SC"/>
          <w:color w:val="000000"/>
        </w:rPr>
        <w:t>本文的直接基础是作者参与完成的ICIC 2026多候选重排序与有界修正方法MCR-BR[34]。原方法已包含候选跨度替换、类型调整和关系修改。本文进一步把兼容组件集合替换及全部受影响关系的重建作为完整事务，显式规定评分、约束、预算和回退，重点研究修改之间的依赖如何进入决策。</w:t>
      </w:r>
    </w:p>
    <w:p>
      <w:r>
        <w:rPr>
          <w:rFonts w:ascii="Times New Roman" w:hAnsi="Times New Roman" w:eastAsia="Songti SC"/>
          <w:color w:val="000000"/>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3"/>
      </w:pPr>
      <w:r>
        <w:t>1.2.4 综合评述与本文研究位置</w:t>
      </w:r>
      <w:bookmarkStart w:id="18" w:name="v14_18"/>
      <w:bookmarkEnd w:id="18"/>
    </w:p>
    <w:p>
      <w:r>
        <w:rPr>
          <w:rFonts w:ascii="Times New Roman" w:hAnsi="Times New Roman" w:eastAsia="Songti SC"/>
          <w:color w:val="000000"/>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r>
        <w:rPr>
          <w:rFonts w:ascii="Times New Roman" w:hAnsi="Times New Roman" w:eastAsia="Songti SC"/>
          <w:color w:val="000000"/>
        </w:rPr>
        <w:t>表1-1从方法机制而非异口径分数比较最接近的研究。相关工作已经建立了结构保持增强、多候选选择及对象修正的基础；本文的研究位置在于两种依赖处理：改写前后监督对应的维护，以及组件变化后关联关系的完整重建。前者通过近邻增强、匹配中心和同数据学习消融评价，后者通过同候选同评分的动作比较及结构化全局解码评价。</w:t>
      </w:r>
    </w:p>
    <w:p>
      <w:pPr>
        <w:pStyle w:val="TableCaption"/>
      </w:pPr>
      <w:r>
        <w:rPr>
          <w:rFonts w:ascii="Times New Roman" w:hAnsi="Times New Roman" w:eastAsia="Songti SC"/>
          <w:color w:val="000000"/>
          <w:sz w:val="21"/>
        </w:rPr>
        <w:t>表1-1 近邻方法与本文研究位置</w:t>
      </w:r>
      <w:bookmarkStart w:id="164" w:name="v14_164"/>
      <w:bookmarkEnd w:id="16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211"/>
        <w:gridCol w:w="2438"/>
        <w:gridCol w:w="2721"/>
      </w:tblGrid>
      <w:tr>
        <w:trPr>
          <w:cantSplit/>
          <w:tblHeader/>
        </w:trPr>
        <w:tc>
          <w:tcPr>
            <w:tcW w:type="dxa" w:w="153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任务或输入条件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相关机制</w:t>
            </w:r>
          </w:p>
        </w:tc>
        <w:tc>
          <w:tcPr>
            <w:tcW w:type="dxa" w:w="272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本文比较重点</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QOS[35]</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论辩标注文本的槽位化增强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改写后恢复跨度并继承类型及关系</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内部与跨边界关系、NONE检查及资源匹配</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ConsistRE与CovEReD[38][37]</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关系抽取及文档级关系预测</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关系条件生成或反事实一致性</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论辩角色依赖与组件关系成对学习</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AASP[9]</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自回归论辩结构生成</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受约束动作构建结构</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生成过程约束与生成后事务决策的区别</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Re-Cent[43]</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联合实体关系抽取</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关系引导跨度对抽取与修正</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组件集合修改的依赖域与整体接受条件</w:t>
            </w:r>
          </w:p>
        </w:tc>
      </w:tr>
      <w:tr>
        <w:trPr>
          <w:cantSplit/>
        </w:trPr>
        <w:tc>
          <w:tcPr>
            <w:tcW w:type="dxa" w:w="15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前期MCR-BR[34]</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从原文生成多个完整论辩图</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整图重排序及有界组件关系修改</w:t>
            </w:r>
          </w:p>
        </w:tc>
        <w:tc>
          <w:tcPr>
            <w:tcW w:type="dxa" w:w="27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集合替换、完整关系重建与风险成本归因</w:t>
            </w:r>
          </w:p>
        </w:tc>
      </w:tr>
    </w:tbl>
    <w:p>
      <w:pPr>
        <w:spacing w:after="0" w:line="240" w:lineRule="auto"/>
      </w:pPr>
    </w:p>
    <w:p>
      <w:r>
        <w:rPr>
          <w:rFonts w:ascii="Times New Roman" w:hAnsi="Times New Roman" w:eastAsia="Songti SC"/>
          <w:color w:val="000000"/>
        </w:rPr>
        <w:t>表中的机制依据已核对的原文归纳。外部对照选择进一步覆盖结构解析、文本生成、结构感知生成、动作生成与大模型系统，见附录G。系统层面的主要复现候选为Kawarada等的文本生成方法与UniASA；GMAM、DENIM作为结构生成补充，QOS／DOS作为数据构造近邻。选择依据是输入、表示及代码入口的可核对程度，而非仅选取较低的已发表分数。AAEC的stance处理、CDCP完整源集合和预测坐标仍须接入共同评价器后才确认可比性。其他语言和任务范围见附录A.3。</w:t>
      </w:r>
    </w:p>
    <w:p>
      <w:pPr>
        <w:pStyle w:val="Heading2"/>
      </w:pPr>
      <w:r>
        <w:t>1.3 研究问题与主要研究工作</w:t>
      </w:r>
      <w:bookmarkStart w:id="19" w:name="v14_19"/>
      <w:bookmarkEnd w:id="19"/>
    </w:p>
    <w:p>
      <w:r>
        <w:rPr>
          <w:rFonts w:ascii="Times New Roman" w:hAnsi="Times New Roman" w:eastAsia="Songti SC"/>
          <w:color w:val="000000"/>
        </w:rPr>
        <w:t>组件与关系之间的依赖是两项研究的共同出发点。训练阶段改变文本表达而保持经过检查的图监督，推理阶段保持原文而修改预测图。图1-2概括二者的研究关系；它表示问题与方法的对应，不表示将测试预测重新当作训练金标。</w:t>
      </w:r>
    </w:p>
    <w:p>
      <w:pPr>
        <w:keepNext/>
        <w:spacing w:line="240" w:lineRule="auto" w:before="80" w:after="60"/>
        <w:ind w:firstLine="0"/>
        <w:jc w:val="center"/>
      </w:pPr>
      <w:r>
        <w:drawing>
          <wp:inline xmlns:a="http://schemas.openxmlformats.org/drawingml/2006/main" xmlns:pic="http://schemas.openxmlformats.org/drawingml/2006/picture">
            <wp:extent cx="5652770" cy="3312694"/>
            <wp:docPr id="2" name="research_relationship.png" descr="两项研究的共同问题与分工"/>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652770" cy="3312694"/>
                    </a:xfrm>
                    <a:prstGeom prst="rect"/>
                  </pic:spPr>
                </pic:pic>
              </a:graphicData>
            </a:graphic>
          </wp:inline>
        </w:drawing>
      </w:r>
    </w:p>
    <w:p>
      <w:pPr>
        <w:pStyle w:val="FigureCaption"/>
      </w:pPr>
      <w:r>
        <w:rPr>
          <w:rFonts w:ascii="Times New Roman" w:hAnsi="Times New Roman" w:eastAsia="Songti SC"/>
          <w:color w:val="000000"/>
          <w:sz w:val="21"/>
        </w:rPr>
        <w:t>图1-2 组件关系依赖下的两项研究内容</w:t>
      </w:r>
      <w:bookmarkStart w:id="165" w:name="v14_165"/>
      <w:bookmarkEnd w:id="165"/>
    </w:p>
    <w:p>
      <w:pPr>
        <w:pStyle w:val="Heading3"/>
      </w:pPr>
      <w:r>
        <w:t>1.3.1 研究问题</w:t>
      </w:r>
      <w:bookmarkStart w:id="20" w:name="v14_20"/>
      <w:bookmarkEnd w:id="20"/>
    </w:p>
    <w:p>
      <w:r>
        <w:rPr>
          <w:rFonts w:ascii="Times New Roman" w:hAnsi="Times New Roman" w:eastAsia="Songti SC"/>
          <w:color w:val="000000"/>
        </w:rPr>
        <w:t>RQ1：按关系影响域检查局部改写中的正关系与NONE，并建立可靠的标注对应，能否在保留足够表达变化和源覆盖的条件下改善监督质量？在相同增强数据和训练预算上，成对因素学习能否进一步改善严格抽取结果？中心选择作为区域策略单独比较。</w:t>
      </w:r>
    </w:p>
    <w:p>
      <w:r>
        <w:rPr>
          <w:rFonts w:ascii="Times New Roman" w:hAnsi="Times New Roman" w:eastAsia="Songti SC"/>
          <w:color w:val="000000"/>
        </w:rPr>
        <w:t>RQ2：在共同候选、评分与任务约束下，组件集合替换和关系闭合能够处理哪些逐项修改难以处理的错误？与同条件全局ILP相比，局部事务在什么求解预算、端到端时限或变更控制要求下值得采用？候选覆盖、真实误改及决策代价共同决定结论。</w:t>
      </w:r>
    </w:p>
    <w:p>
      <w:r>
        <w:rPr>
          <w:rFonts w:ascii="Times New Roman" w:hAnsi="Times New Roman" w:eastAsia="Songti SC"/>
          <w:color w:val="000000"/>
        </w:rPr>
        <w:t>训练与推理的组合实验用于分析两项方法的互补性，两种原生任务的比较用于讨论适用边界，均不另列为第三项算法创新。</w:t>
      </w:r>
    </w:p>
    <w:p>
      <w:pPr>
        <w:pStyle w:val="Heading3"/>
      </w:pPr>
      <w:r>
        <w:t>1.3.2 主要研究内容</w:t>
      </w:r>
      <w:bookmarkStart w:id="21" w:name="v14_21"/>
      <w:bookmarkEnd w:id="21"/>
    </w:p>
    <w:p>
      <w:r>
        <w:rPr>
          <w:rFonts w:ascii="Times New Roman" w:hAnsi="Times New Roman" w:eastAsia="Songti SC"/>
          <w:color w:val="000000"/>
        </w:rPr>
        <w:t>（1）关系影响域约束的增强与成对学习。针对局部改写可能使继承标注失真的问题，按端点关联定义关系影响域，同时检查集合内部、跨边界组合的正关系与NONE。通过标注迁移建立原文和增强文的对应，并在共享生成表示上学习对应组件与关系因素。该研究把增强数据构造与学习目标连接起来，在实验中分别识别约束范围、中心选择及成对监督的作用。</w:t>
      </w:r>
    </w:p>
    <w:p>
      <w:r>
        <w:rPr>
          <w:rFonts w:ascii="Times New Roman" w:hAnsi="Times New Roman" w:eastAsia="Songti SC"/>
          <w:color w:val="000000"/>
        </w:rPr>
        <w:t>（2）多候选驱动的依赖闭合论辩图修正。针对组件变化会使关联关系失效、逐项修改难以完整评价影响的问题，以兼容组件集合替换统一表示补回、删除、边界与类型调整及拆分合并，同步重建全部受影响关系。候选事务在固定完整对象评分、整图约束和预算下整体接受或回退。代价敏感效用提供可核算的决策依据，局部整数规划用于求解预算内的关系补全。</w:t>
      </w:r>
    </w:p>
    <w:p>
      <w:r>
        <w:rPr>
          <w:rFonts w:ascii="Times New Roman" w:hAnsi="Times New Roman" w:eastAsia="Songti SC"/>
          <w:color w:val="000000"/>
        </w:rPr>
        <w:t>两项方法共享任务表示，但优化对象不同。训练辅助头只用于学习阶段，推理评分器以完整预测对象的正确性为目标；推理评分不向生成器回传梯度。相应实验在各自固定条件下验证独立作用，再分析组合表现。</w:t>
      </w:r>
    </w:p>
    <w:p>
      <w:pPr>
        <w:pStyle w:val="Heading3"/>
      </w:pPr>
      <w:r>
        <w:t>1.3.3 前期成果与本论文的关系</w:t>
      </w:r>
      <w:bookmarkStart w:id="22" w:name="v14_22"/>
      <w:bookmarkEnd w:id="22"/>
    </w:p>
    <w:p>
      <w:r>
        <w:rPr>
          <w:rFonts w:ascii="Times New Roman" w:hAnsi="Times New Roman" w:eastAsia="Songti SC"/>
          <w:color w:val="000000"/>
        </w:rPr>
        <w:t>本文以前期论文Improving End-to-End Argument Mining with LLMs via Multi-Candidate Reranking and Bounded Repair为基础，作者为Chen Tang、Min Peng和Gang Tian，官方公开记录归于ICIC 2026 Posters Volume I[34]。表1-2区分已公开机制与本论文深化内容，已有模块作为研究基础保留，其结果仍归于原配置。</w:t>
      </w:r>
    </w:p>
    <w:p>
      <w:pPr>
        <w:pStyle w:val="TableCaption"/>
      </w:pPr>
      <w:r>
        <w:rPr>
          <w:rFonts w:ascii="Times New Roman" w:hAnsi="Times New Roman" w:eastAsia="Songti SC"/>
          <w:color w:val="000000"/>
          <w:sz w:val="21"/>
        </w:rPr>
        <w:t>表1-2 前期成果与本论文深化内容</w:t>
      </w:r>
      <w:bookmarkStart w:id="166" w:name="v14_166"/>
      <w:bookmarkEnd w:id="16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本论文深化内容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原表支持前期训练配置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保留初始图接口，建立固定候选空间</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候选质量与后续决策分别分析</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类型调整、候选跨度替换、删边与局部重预测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兼容集合替换、完整依赖重建与事务接受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新增机制采用独立实验</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评分与评价</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完整对象正确性、计数效用与风险分析</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新效用及原生超边评价单独报告</w:t>
            </w:r>
          </w:p>
        </w:tc>
      </w:tr>
    </w:tbl>
    <w:p>
      <w:pPr>
        <w:spacing w:after="0" w:line="240" w:lineRule="auto"/>
      </w:pPr>
    </w:p>
    <w:p>
      <w:r>
        <w:rPr>
          <w:rFonts w:ascii="Times New Roman" w:hAnsi="Times New Roman" w:eastAsia="Songti SC"/>
          <w:color w:val="000000"/>
        </w:rPr>
        <w:t>原方法已经能够修改组件类型和候选跨度，本文的增量集中在集合级修改、依赖完整性及决策依据。LoRA、提示、辅助头和散度函数分别是继承基础或实现手段，不单独计为原创贡献。前期共同成果的来源见附录C.1。</w:t>
      </w:r>
    </w:p>
    <w:p>
      <w:pPr>
        <w:pStyle w:val="Heading2"/>
      </w:pPr>
      <w:r>
        <w:t>1.4 论文组织结构</w:t>
      </w:r>
      <w:bookmarkStart w:id="23" w:name="v14_23"/>
      <w:bookmarkEnd w:id="23"/>
    </w:p>
    <w:p>
      <w:r>
        <w:rPr>
          <w:rFonts w:ascii="Times New Roman" w:hAnsi="Times New Roman" w:eastAsia="Songti SC"/>
          <w:color w:val="000000"/>
        </w:rPr>
        <w:t>第一章从监督漂移与结构恢复两个问题出发，比较近邻方法并明确成果归属。第二章统一原生任务、完整对象评价与公共协议。第三章研究关系影响域和可靠对应，分别比较数据构造整体及固定数据上的学习目标。第四章说明集合依赖恢复的动作、目标与约束，按策略比较、覆盖、风险、成本及案例组织分析，局部与全局的采用优先级留待实际运行判断。第五章围绕组合增量、对象作用和训练完成后的在线配置选择展开。第六章总结两项设计及尚未完成的核心验证。</w:t>
      </w:r>
    </w:p>
    <w:p>
      <w:r>
        <w:rPr>
          <w:rFonts w:ascii="Times New Roman" w:hAnsi="Times New Roman" w:eastAsia="Songti SC"/>
          <w:color w:val="000000"/>
        </w:rPr>
        <w:t>附录A、B集中保存坐标、序列化、队列调度、日志字段与性质证明，附录C、D说明成果和构造材料，附录E保留历史数值，附录F提供阅读索引。附录G保存外部方法接入协议；附录H区分真实诊断方案、指标演示、预算条件推演和对象非唯一性示例。各类模拟材料具有不同生成来源，不连接为已经完成的方法证据链。</w:t>
      </w:r>
    </w:p>
    <w:p>
      <w:pPr>
        <w:pStyle w:val="Heading1"/>
      </w:pPr>
      <w:r>
        <w:t>第二章 任务表示与方法基础</w:t>
      </w:r>
      <w:bookmarkStart w:id="24" w:name="v14_24"/>
      <w:bookmarkEnd w:id="24"/>
    </w:p>
    <w:p>
      <w:r>
        <w:rPr>
          <w:rFonts w:ascii="Times New Roman" w:hAnsi="Times New Roman" w:eastAsia="Songti SC"/>
          <w:color w:val="000000"/>
        </w:rPr>
        <w:t>两项方法需要在同一任务表示下讨论训练监督和预测修改。本章先定义组件、关系及其身份，再说明生成、候选与评价接口，最后给出第三至五章共用的实验协议。语料特有的结构要求与算法选择分别记录，避免把实现约束当作所有论辩文本的共同性质。</w:t>
      </w:r>
    </w:p>
    <w:p>
      <w:pPr>
        <w:pStyle w:val="Heading2"/>
      </w:pPr>
      <w:r>
        <w:t>2.1 论辩组件与关系表示</w:t>
      </w:r>
      <w:bookmarkStart w:id="25" w:name="v14_25"/>
      <w:bookmarkEnd w:id="25"/>
    </w:p>
    <w:p>
      <w:pPr>
        <w:pStyle w:val="Heading3"/>
      </w:pPr>
      <w:r>
        <w:t>2.1.1 组件及二元关系</w:t>
      </w:r>
      <w:bookmarkStart w:id="26" w:name="v14_26"/>
      <w:bookmarkEnd w:id="26"/>
    </w:p>
    <w:p>
      <w:r>
        <w:rPr>
          <w:rFonts w:ascii="Times New Roman" w:hAnsi="Times New Roman" w:eastAsia="Songti SC"/>
          <w:color w:val="000000"/>
        </w:rPr>
        <w:t>本章用</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表示固定评价分词器下的输入文档，其中</w:t>
      </w:r>
      <m:oMath>
        <m:sSub>
          <m:e>
            <m:r>
              <m:t xml:space="preserve">x</m:t>
            </m:r>
          </m:e>
          <m:sub>
            <m:r>
              <m:t xml:space="preserve">i</m:t>
            </m:r>
          </m:sub>
        </m:sSub>
      </m:oMath>
      <w:r>
        <w:rPr>
          <w:rFonts w:ascii="Times New Roman" w:hAnsi="Times New Roman" w:eastAsia="Songti SC"/>
          <w:color w:val="000000"/>
        </w:rPr>
        <w:t>为第</w:t>
      </w:r>
      <m:oMath>
        <m:r>
          <m:t xml:space="preserve">i</m:t>
        </m:r>
      </m:oMath>
      <w:r>
        <w:rPr>
          <w:rFonts w:ascii="Times New Roman" w:hAnsi="Times New Roman" w:eastAsia="Songti SC"/>
          <w:color w:val="000000"/>
        </w:rPr>
        <w:t>个评价token；第三、四章用</w:t>
      </w:r>
      <m:oMath>
        <m:r>
          <m:t xml:space="preserve">x</m:t>
        </m:r>
      </m:oMath>
      <w:r>
        <w:rPr>
          <w:rFonts w:ascii="Times New Roman" w:hAnsi="Times New Roman" w:eastAsia="Songti SC"/>
          <w:color w:val="000000"/>
        </w:rPr>
        <w:t>表示同一整篇输入。下文在涉及第四章的删除操作时明确写“删除集合</w:t>
      </w:r>
      <m:oMath>
        <m:r>
          <m:t xml:space="preserve">D</m:t>
        </m:r>
      </m:oMath>
      <w:r>
        <w:rPr>
          <w:rFonts w:ascii="Times New Roman" w:hAnsi="Times New Roman" w:eastAsia="Songti SC"/>
          <w:color w:val="000000"/>
        </w:rPr>
        <w:t>”，不以裸字母代指输入文档。组件定义为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为语料规定的类型。实现同时保存原文字符坐标与评价token坐标，并检查往返一致。评价token与模型子词是不同对象，改变评价分词器时需重新建立坐标映射。</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，包含完整源组件、目标组件及关系标签，方向由提供理由或攻击的一方指向目标。预测结构写为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pPr>
        <w:pStyle w:val="Heading3"/>
      </w:pPr>
      <w:r>
        <w:t>2.1.2 多前提关系与任务边界</w:t>
      </w:r>
      <w:bookmarkStart w:id="27" w:name="v14_27"/>
      <w:bookmarkEnd w:id="27"/>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为目标。源集合的顺序规范化，但不拆成若干独立二元边。超边匹配要求源集合中全部组件、目标及标签同时正确；漏掉一个源成员就不再是同一完整关系。二元图是源集合大小为1的特例。本文用</w:t>
      </w:r>
      <m:oMath>
        <m:r>
          <m:t xml:space="preserve">R</m:t>
        </m:r>
      </m:oMath>
      <w:r>
        <w:rPr>
          <w:rFonts w:ascii="Times New Roman" w:hAnsi="Times New Roman" w:eastAsia="Songti SC"/>
          <w:color w:val="000000"/>
        </w:rPr>
        <w:t>统称关系对象，计算时保留其实际元数[3][46]。</w:t>
      </w:r>
    </w:p>
    <w:p>
      <w:pPr>
        <w:pStyle w:val="TableCaption"/>
      </w:pPr>
      <w:r>
        <w:rPr>
          <w:rFonts w:ascii="Times New Roman" w:hAnsi="Times New Roman" w:eastAsia="Songti SC"/>
          <w:color w:val="000000"/>
          <w:sz w:val="21"/>
        </w:rPr>
        <w:t>表2-1 域内任务与评价边界</w:t>
      </w:r>
      <w:bookmarkStart w:id="167" w:name="v14_167"/>
      <w:bookmarkEnd w:id="16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表2-1依据语料与联合预测研究区分两种任务[2][3][46]。CDCP中的结论角色用于第三章的增强中心选择与专项模块触发，不改变原生组件标签。第五章分别评价两种语料的原生任务，不将域内比较解释为跨域迁移。粗粒度跨域映射仅属于附录E的历史协议，不反向改变本章的原生金标。</w:t>
      </w:r>
    </w:p>
    <w:p>
      <w:pPr>
        <w:pStyle w:val="Heading2"/>
      </w:pPr>
      <w:r>
        <w:t>2.2 合法结构与对象身份</w:t>
      </w:r>
      <w:bookmarkStart w:id="28" w:name="v14_28"/>
      <w:bookmarkEnd w:id="28"/>
    </w:p>
    <w:p>
      <w:pPr>
        <w:pStyle w:val="Heading3"/>
      </w:pPr>
      <w:r>
        <w:t>2.2.1 语料约束与候选范围</w:t>
      </w:r>
      <w:bookmarkStart w:id="29" w:name="v14_29"/>
      <w:bookmarkEnd w:id="29"/>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检查内容包括跨度位于原文、类型合法、关系端点存在、关系标签合法，以及语料确实要求的重叠、方向和拓扑规则。树或有向无环图不是跨语料默认条件；嵌套、多前提及其他结构由具体协议处理，不通过删除测试金标来满足预设约束。</w:t>
      </w:r>
    </w:p>
    <w:p>
      <w:r>
        <w:rPr>
          <w:rFonts w:ascii="Times New Roman" w:hAnsi="Times New Roman" w:eastAsia="Songti SC"/>
          <w:color w:val="000000"/>
        </w:rPr>
        <w:t>本文采用文档级候选协议。AAEC枚举同文档不同组件的有向对，禁止自环，但不额外施加跨段或组件类型配对的硬掩码；未标注关系的候选状态为NONE，不依据stance补造普通边。CDCP的候选源为所选组件按位置排列后的连续非空区间，目标不能属于源集合；标签为Reason或Evidence，其余状态为NONE。主配置对同一端点槽位使用单一关系状态，若数据审计发现并存标签，则采用显式合法标签组合，保留全部标注。</w:t>
      </w:r>
    </w:p>
    <w:p>
      <w:r>
        <w:rPr>
          <w:rFonts w:ascii="Times New Roman" w:hAnsi="Times New Roman" w:eastAsia="Songti SC"/>
          <w:color w:val="000000"/>
        </w:rPr>
        <w:t>组件重叠、嵌套及其他语料特定限制由数据审计固定为协议清单。若发现与设定不一致的样本，应修订并重新冻结协议。无环性仅作为经过语料验证的可选硬约束，其启用状态须在实验配置中报告。</w:t>
      </w:r>
    </w:p>
    <w:p>
      <w:pPr>
        <w:pStyle w:val="Heading3"/>
      </w:pPr>
      <w:r>
        <w:t>2.2.2 语义身份与序列化</w:t>
      </w:r>
      <w:bookmarkStart w:id="30" w:name="v14_30"/>
      <w:bookmarkEnd w:id="30"/>
    </w:p>
    <w:p>
      <w:r>
        <w:rPr>
          <w:rFonts w:ascii="Times New Roman" w:hAnsi="Times New Roman" w:eastAsia="Songti SC"/>
          <w:color w:val="000000"/>
        </w:rPr>
        <w:t>组件身份由文档、规范坐标和类型共同确定，可理解为“哪段文字承担哪种论辩角色”。关系身份由完整端点及标签确定，超边还包括规范排序后的完整源集合。JSON编号只是序列化引用：纯编号重排不产生新组件，不计作编辑，也不触发重新打分；跨度或类型改变则产生不同对象，需要重新判断相关关系。</w:t>
      </w:r>
    </w:p>
    <w:p>
      <w:r>
        <w:rPr>
          <w:rFonts w:ascii="Times New Roman" w:hAnsi="Times New Roman" w:eastAsia="Songti SC"/>
          <w:color w:val="000000"/>
        </w:rPr>
        <w:t>组件序列化与关系引用采用固定字段顺序；类型门控只读取已经生成的前缀。完整示例、坐标往返和异常处理见附录A.6。统一sources字段只是表示入口，多前提任务还需候选、评分、优化与评价共同保留完整源集合。</w:t>
      </w:r>
    </w:p>
    <w:p>
      <w:pPr>
        <w:pStyle w:val="Heading2"/>
      </w:pPr>
      <w:r>
        <w:t>2.3 生成建模与参数高效适配</w:t>
      </w:r>
      <w:bookmarkStart w:id="31" w:name="v14_31"/>
      <w:bookmarkEnd w:id="31"/>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(2-1)</w:t>
            </w:r>
          </w:p>
        </w:tc>
      </w:tr>
    </w:tbl>
    <w:p>
      <w:r>
        <w:rPr>
          <w:rFonts w:ascii="Times New Roman" w:hAnsi="Times New Roman" w:eastAsia="Songti SC"/>
          <w:color w:val="000000"/>
        </w:rPr>
        <w:t>Transformer通过注意力聚合上下文[30]。本文继承的参考骨干为Qwen2.5-7B-Instruct[31]，正式运行前将按2.6节登记具体权重revision、分词器及环境；当前骨干名称仅为参考设置。序列生成概率受长度和字段顺序影响，因此概率较高的输出仍需接受结构与语义评价。</w:t>
      </w:r>
    </w:p>
    <w:p>
      <w:pPr>
        <w:keepNext/>
      </w:pPr>
      <w:r>
        <w:rPr>
          <w:rFonts w:ascii="Times New Roman" w:hAnsi="Times New Roman" w:eastAsia="Songti SC"/>
          <w:color w:val="000000"/>
        </w:rPr>
        <w:t>LoRA在冻结权重上引入低秩更新[32]：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(2-2)</w:t>
            </w:r>
          </w:p>
        </w:tc>
      </w:tr>
    </w:tbl>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连续提示以可学习向量表达任务条件，其基础来自提示调优研究[33]。第三章继承上述参数高效机制及前期结论条件门控，进一步定义增强文本与因素学习接口；这些通用机制本身不作为本论文的新增理论。</w:t>
      </w:r>
    </w:p>
    <w:p>
      <w:pPr>
        <w:pStyle w:val="Heading2"/>
      </w:pPr>
      <w:r>
        <w:t>2.4 候选空间与结构决策</w:t>
      </w:r>
      <w:bookmarkStart w:id="32" w:name="v14_32"/>
      <w:bookmarkEnd w:id="32"/>
    </w:p>
    <w:p>
      <w:pPr>
        <w:keepNext/>
      </w:pPr>
      <w:r>
        <w:rPr>
          <w:rFonts w:ascii="Times New Roman" w:hAnsi="Times New Roman" w:eastAsia="Songti SC"/>
          <w:color w:val="000000"/>
        </w:rPr>
        <w:t>多候选选择先从已生成的完整图中确定初始状态：</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(2-3)</w:t>
            </w:r>
          </w:p>
        </w:tc>
      </w:tr>
    </w:tbl>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为各方法共用的确定性合法化过程，其规则与变更单独记录。若无法得到合法状态，则显式返回失败，不进入后续修正。原始重排序胜者与合法初始图因此可能不同。</w:t>
      </w:r>
    </w:p>
    <w:p>
      <w:r>
        <w:rPr>
          <w:rFonts w:ascii="Times New Roman" w:hAnsi="Times New Roman" w:eastAsia="Songti SC"/>
          <w:color w:val="000000"/>
        </w:rPr>
        <w:t>结构恢复涉及三个环节：候选是否覆盖正确对象，评分是否能够识别较好的方案，搜索是否能在预算内找到该方案。增加候选数量可能扩大覆盖，但不能自动改善判断或求解。Candidate Oracle只在离线分析中使用金标度量候选空间，不进入测试时的决策。</w:t>
      </w:r>
    </w:p>
    <w:p>
      <w:r>
        <w:rPr>
          <w:rFonts w:ascii="Times New Roman" w:hAnsi="Times New Roman" w:eastAsia="Songti SC"/>
          <w:color w:val="000000"/>
        </w:rPr>
        <w:t>第四章在初始选择后固定跨度集合</w:t>
      </w:r>
      <m:oMath>
        <m:r>
          <m:t xml:space="preserve">U</m:t>
        </m:r>
      </m:oMath>
      <w:r>
        <w:rPr>
          <w:rFonts w:ascii="Times New Roman" w:hAnsi="Times New Roman" w:eastAsia="Songti SC"/>
          <w:color w:val="000000"/>
        </w:rPr>
        <w:t>、带类型组件集合</w:t>
      </w:r>
      <m:oMath>
        <m:r>
          <m:t xml:space="preserve">𝒱</m:t>
        </m:r>
      </m:oMath>
      <w:r>
        <w:rPr>
          <w:rFonts w:ascii="Times New Roman" w:hAnsi="Times New Roman" w:eastAsia="Songti SC"/>
          <w:color w:val="000000"/>
        </w:rPr>
        <w:t>和关系候选集合</w:t>
      </w:r>
      <m:oMath>
        <m:r>
          <m:t xml:space="preserve">P</m:t>
        </m:r>
      </m:oMath>
      <w:r>
        <w:rPr>
          <w:rFonts w:ascii="Times New Roman" w:hAnsi="Times New Roman" w:eastAsia="Songti SC"/>
          <w:color w:val="000000"/>
        </w:rPr>
        <w:t>，下文将这组有限候选集合称为候选宇宙。“完整影响域”均相对于声明的候选范围定义，不意味着枚举任意文本跨度或所有非空组件子集。未进入候选宇宙的正确对象对当前修正器不可达，其影响由覆盖及可达上界分析说明。</w:t>
      </w:r>
    </w:p>
    <w:p>
      <w:r>
        <w:rPr>
          <w:rFonts w:ascii="Times New Roman" w:hAnsi="Times New Roman" w:eastAsia="Songti SC"/>
          <w:color w:val="000000"/>
        </w:rPr>
        <w:t>合法性检查、语义评分与统计校准分别回答不同问题。合法性只涉及编码和结构规则；概率含义需在真实预测负例与独立校准材料上检验；使用不同模型参数也不保证生成器和评分器的错误统计独立。由于搜索可能反复选择错误高分对象，本文同时评价固定提案上的评分质量和最终接受轨迹上的误改。</w:t>
      </w:r>
    </w:p>
    <w:p>
      <w:pPr>
        <w:pStyle w:val="Heading2"/>
      </w:pPr>
      <w:r>
        <w:t>2.5 严格评价与统计口径</w:t>
      </w:r>
      <w:bookmarkStart w:id="33" w:name="v14_33"/>
      <w:bookmarkEnd w:id="33"/>
    </w:p>
    <w:p>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。下式的</w:t>
      </w:r>
      <m:oMath>
        <m:r>
          <m:t xml:space="preserve">P</m:t>
        </m:r>
      </m:oMath>
      <w:r>
        <w:rPr>
          <w:rFonts w:ascii="Times New Roman" w:hAnsi="Times New Roman" w:eastAsia="Songti SC"/>
          <w:color w:val="000000"/>
        </w:rPr>
        <w:t>和</w:t>
      </w:r>
      <m:oMath>
        <m:r>
          <m:t xml:space="preserve">R</m:t>
        </m:r>
      </m:oMath>
      <w:r>
        <w:rPr>
          <w:rFonts w:ascii="Times New Roman" w:hAnsi="Times New Roman" w:eastAsia="Songti SC"/>
          <w:color w:val="000000"/>
        </w:rPr>
        <w:t>仅表示精确率与召回率，正文采用Precision和Recall指称这两个指标，以区别于第四章的关系候选池</w:t>
      </w:r>
      <m:oMath>
        <m:r>
          <m:t xml:space="preserve">P</m:t>
        </m:r>
      </m:oMath>
      <w:r>
        <w:rPr>
          <w:rFonts w:ascii="Times New Roman" w:hAnsi="Times New Roman" w:eastAsia="Songti SC"/>
          <w:color w:val="000000"/>
        </w:rPr>
        <w:t>及图中的关系集合</w:t>
      </w:r>
      <m:oMath>
        <m:r>
          <m:t xml:space="preserve">R</m:t>
        </m:r>
      </m:oMath>
      <w:r>
        <w:rPr>
          <w:rFonts w:ascii="Times New Roman" w:hAnsi="Times New Roman" w:eastAsia="Songti SC"/>
          <w:color w:val="000000"/>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(2-4)</w:t>
            </w:r>
          </w:p>
        </w:tc>
      </w:tr>
    </w:tbl>
    <w:p>
      <w:r>
        <w:rPr>
          <w:rFonts w:ascii="Times New Roman" w:hAnsi="Times New Roman" w:eastAsia="Songti SC"/>
          <w:color w:val="000000"/>
        </w:rPr>
        <w:t>主指标采用精确组件micro-F1和严格关系micro-F1。前者要求跨度与类型完全匹配；后者还要求全部端点跨度、类型、方向和关系标签正确。CDCP以完整源集合计数，不以展开后的边数替代原生关系数。边界F1和给定金标组件的关系分类作为辅助诊断，域内细粒度Relation-F1与跨域无标签Link-F1分别命名和展示。</w:t>
      </w:r>
    </w:p>
    <w:p>
      <w:r>
        <w:rPr>
          <w:rFonts w:ascii="Times New Roman" w:hAnsi="Times New Roman" w:eastAsia="Songti SC"/>
          <w:color w:val="000000"/>
        </w:rPr>
        <w:t>每个预测语义对象最多匹配一次金标，多余重复项计FP。若图归一化预先去重，则同时报告原始重复率，并对全部方法使用相同规则。解析、超长或图验证失败的文档仍进入评价，其金标对象计入FN，失败率另报。数据ID缺失或重复需报错；分母为零时采用预先固定的零值约定，并保留原始计数。</w:t>
      </w:r>
    </w:p>
    <w:p>
      <w:r>
        <w:rPr>
          <w:rFonts w:ascii="Times New Roman" w:hAnsi="Times New Roman" w:eastAsia="Songti SC"/>
          <w:color w:val="000000"/>
        </w:rPr>
        <w:t>micro-F1先汇总对象再计算，不等于分类别或逐文档F1的均值。分数采用百分制，差值以百分点表示。跨种子报告均值与样本标准差，文档级置信区间在每次重采样后重新汇总计数，重复文本按组重采样。历史表中的“±”在原统计记录未绑定时保留原符号，不重新解释为某一种统计量。</w:t>
      </w:r>
    </w:p>
    <w:p>
      <w:pPr>
        <w:pStyle w:val="Heading2"/>
      </w:pPr>
      <w:r>
        <w:t>2.6 公共实验协议</w:t>
      </w:r>
      <w:bookmarkStart w:id="34" w:name="v14_34"/>
      <w:bookmarkEnd w:id="34"/>
    </w:p>
    <w:p>
      <w:pPr>
        <w:pStyle w:val="Heading3"/>
      </w:pPr>
      <w:r>
        <w:t>2.6.1 数据划分与使用范围</w:t>
      </w:r>
      <w:bookmarkStart w:id="35" w:name="v14_35"/>
      <w:bookmarkEnd w:id="35"/>
    </w:p>
    <w:p>
      <w:r>
        <w:rPr>
          <w:rFonts w:ascii="Times New Roman" w:hAnsi="Times New Roman" w:eastAsia="Songti SC"/>
          <w:color w:val="000000"/>
        </w:rPr>
        <w:t>AAEC和CDCP分别按表2-1的原生任务进行域内实验。数据发布版本、原文哈希、文档ID、坐标映射和异常样本清单在划分前冻结。所有原文与其增强变体按源文档分组；相同文本但ID不同的文档按全文哈希去重或共同分组，防止变体和重复文本跨越训练、开发与测试边界。</w:t>
      </w:r>
    </w:p>
    <w:p>
      <w:r>
        <w:rPr>
          <w:rFonts w:ascii="Times New Roman" w:hAnsi="Times New Roman" w:eastAsia="Songti SC"/>
          <w:color w:val="000000"/>
        </w:rPr>
        <w:t>表2-2的320篇与580篇均为训练侧源文档总数，包含开发用途；独立评价文档分别为80篇与148篇。生成超参数和固定训练轮数在OOF候选生成前冻结。三折交叉拟合在训练侧进行，每折生成器与跨度头均排除持出源文档及其全部变体；T0和T1分别产生候选，覆盖各自错误分布。最终生成模型拟合全部训练侧源文档，独立评价标签不参与训练、提示调整或选择。</w:t>
      </w:r>
    </w:p>
    <w:p>
      <w:r>
        <w:rPr>
          <w:rFonts w:ascii="Times New Roman" w:hAnsi="Times New Roman" w:eastAsia="Songti SC"/>
          <w:color w:val="000000"/>
        </w:rPr>
        <w:t>评分器使用训练侧OOF记录，并按固定源文档分组进一步划分拟合、校准和策略选择用途。AAEC三部分为256、32、32篇，CDCP为464、58、58篇，组间没有共享原文或变体。校准部分只拟合概率变换，策略部分只选择阈值与预算；这些角色属于同一训练侧总量，不另增加隐含开发集。评分器及规则冻结后，才在独立评价集汇总最终结果。上述隔离针对信息使用路径，不能据此认定生成器与评分器的误差独立。</w:t>
      </w:r>
    </w:p>
    <w:p>
      <w:pPr>
        <w:pStyle w:val="Heading3"/>
      </w:pPr>
      <w:r>
        <w:t>2.6.2 运行配置与可复现记录</w:t>
      </w:r>
      <w:bookmarkStart w:id="36" w:name="v14_36"/>
      <w:bookmarkEnd w:id="36"/>
    </w:p>
    <w:p>
      <w:r>
        <w:rPr>
          <w:rFonts w:ascii="Times New Roman" w:hAnsi="Times New Roman" w:eastAsia="Songti SC"/>
          <w:color w:val="000000"/>
        </w:rPr>
        <w:t>比较方案统一骨干、源文档分组与严格评价，方法间仅改变声明的增强条件、学习目标或修正策略。表2-2列出估算情景的参考设置与规模，不构成可执行配置；情景结果按语料、方法和种子关联，跨章复用同一记录。</w:t>
      </w:r>
    </w:p>
    <w:p>
      <w:pPr>
        <w:pStyle w:val="TableCaption"/>
      </w:pPr>
      <w:r>
        <w:rPr>
          <w:rFonts w:ascii="Times New Roman" w:hAnsi="Times New Roman" w:eastAsia="Songti SC"/>
          <w:color w:val="000000"/>
          <w:sz w:val="21"/>
        </w:rPr>
        <w:t>表2-2 公共配置与评价规模（估算情景）</w:t>
      </w:r>
      <w:bookmarkStart w:id="168" w:name="v14_168"/>
      <w:bookmarkEnd w:id="16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项目</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统一设置</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使用说明</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骨干与适配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Qwen2.5-7B-Instruct；LoRA rank 16、alpha 32、dropout 0.05</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继承ICIC专项模块，基础权重冻结</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学习配置</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AdamW；学习率2×10⁻⁴；5个epoch；有效批量32源文档</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每批4源文档，累计8步，末批按有效文档数归一化</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长度与种子</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输入4096、输出2048；总上下文8192；种子17、29、43</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生成、训练及评价身份分别记录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材料规模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AAEC训练侧320、独立评价80；CDCP训练侧580、独立评价148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训练侧含拟合、校准与策略用途；按源文档分组</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匹配增强规模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500变体／0.82M token；CDCP 900／1.35M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同数据学习消融保持变体与更新条件一致</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评分评价对象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每语料组件2400、关系4800个完整对象</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用于表4-6的固定提案评价，不是全部训练对象数</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资源口径</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单张80GB设备；CPU 4线程；模型调用与求解分项计费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冷启动、缓存和一次性构造分开登记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局部与全局求解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AAEC每文档3秒，CDCP 5秒；大预算60／90秒</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单次上限不高于剩余总时限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外层与编辑预算</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每轮32次尝试、3次接受；最多4轮；组件24、关系96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尝试耗尽不禁止提交已评估的合格项</w:t>
            </w:r>
          </w:p>
        </w:tc>
      </w:tr>
    </w:tbl>
    <w:p>
      <w:pPr>
        <w:spacing w:after="0" w:line="240" w:lineRule="auto"/>
      </w:pPr>
    </w:p>
    <w:p>
      <w:r>
        <w:rPr>
          <w:rFonts w:ascii="Times New Roman" w:hAnsi="Times New Roman" w:eastAsia="Songti SC"/>
          <w:color w:val="000000"/>
        </w:rPr>
        <w:t>正式运行前须冻结数据与折清单、各模型及分词器版本、生成与审核提示、采样参数、损失系数、校准方式、求解器和资源上限。当前增强模型、语义验证器、文本编码器、跨度头及评分器尚未绑定具体检查点；</w:t>
      </w:r>
      <m:oMath>
        <m:r>
          <m:t xml:space="preserve">ρ</m:t>
        </m:r>
      </m:oMath>
      <w:r>
        <w:rPr>
          <w:rFonts w:ascii="Times New Roman" w:hAnsi="Times New Roman" w:eastAsia="Songti SC"/>
          <w:color w:val="000000"/>
        </w:rPr>
        <w:t>、</w:t>
      </w:r>
      <m:oMath>
        <m:sSub>
          <m:e>
            <m:r>
              <m:t xml:space="preserve">λ</m:t>
            </m:r>
          </m:e>
          <m:sub>
            <m:r>
              <m:t xml:space="preserve">s</m:t>
            </m:r>
            <m:r>
              <m:t xml:space="preserve">u</m:t>
            </m:r>
            <m:r>
              <m:t xml:space="preserve">p</m:t>
            </m:r>
          </m:sub>
        </m:sSub>
      </m:oMath>
      <w:r>
        <w:rPr>
          <w:rFonts w:ascii="Times New Roman" w:hAnsi="Times New Roman" w:eastAsia="Songti SC"/>
          <w:color w:val="000000"/>
        </w:rPr>
        <w:t>、</w:t>
      </w:r>
      <m:oMath>
        <m:sSub>
          <m:e>
            <m:r>
              <m:t xml:space="preserve">λ</m:t>
            </m:r>
          </m:e>
          <m:sub>
            <m:r>
              <m:t xml:space="preserve">C</m:t>
            </m:r>
          </m:sub>
        </m:sSub>
      </m:oMath>
      <w:r>
        <w:rPr>
          <w:rFonts w:ascii="Times New Roman" w:hAnsi="Times New Roman" w:eastAsia="Songti SC"/>
          <w:color w:val="000000"/>
        </w:rPr>
        <w:t>、</w:t>
      </w:r>
      <m:oMath>
        <m:sSub>
          <m:e>
            <m:r>
              <m:t xml:space="preserve">λ</m:t>
            </m:r>
          </m:e>
          <m:sub>
            <m:r>
              <m:t xml:space="preserve">R</m:t>
            </m:r>
          </m:sub>
        </m:sSub>
      </m:oMath>
      <w:r>
        <w:rPr>
          <w:rFonts w:ascii="Times New Roman" w:hAnsi="Times New Roman" w:eastAsia="Songti SC"/>
          <w:color w:val="000000"/>
        </w:rPr>
        <w:t>的取值及选择方案也未登记。配套配置单列未绑定字段，表中参考值不代替实测环境。运行后按附录A关联配置、候选与逐文档计数，分开保存生成、评分和求解成本。</w:t>
      </w:r>
    </w:p>
    <w:p>
      <w:pPr>
        <w:pStyle w:val="Heading3"/>
      </w:pPr>
      <w:r>
        <w:t>2.6.3 统计分析与计算成本</w:t>
      </w:r>
      <w:bookmarkStart w:id="37" w:name="v14_37"/>
      <w:bookmarkEnd w:id="37"/>
    </w:p>
    <w:p>
      <w:r>
        <w:rPr>
          <w:rFonts w:ascii="Times New Roman" w:hAnsi="Times New Roman" w:eastAsia="Songti SC"/>
          <w:color w:val="000000"/>
        </w:rPr>
        <w:t>核心比较固定17、29、43三个种子，均进入结果汇总。主指标为组件与严格关系micro-F1，跨种子报告均值与样本标准差；文档级配对重采样重复2000次，每次先汇总对象计数再计算micro-F1。重采样使用相同文档索引配对各方法和种子，得到固定三个种子条件下的文档不确定性，不将重复种子的同一文档视作新增独立文档。区间、效应量、持平、下降和失败配置采用同一报告口径。</w:t>
      </w:r>
    </w:p>
    <w:p>
      <w:r>
        <w:rPr>
          <w:rFonts w:ascii="Times New Roman" w:hAnsi="Times New Roman" w:eastAsia="Songti SC"/>
          <w:color w:val="000000"/>
        </w:rPr>
        <w:t>成本统计覆盖全部尝试。训练阶段记录源文档访问量、增强token量、有效更新步数、可训练参数量、设备时间和显存；未通过筛选的生成也计入成本。推理阶段记录候选生成、评分、拒绝事务、求解及最终输出的全部开销，包括模型调用、输入输出token、CPU时间、端到端时延和峰值显存。缓存命中时分别报告逻辑预算与实际消耗。</w:t>
      </w:r>
    </w:p>
    <w:p>
      <w:r>
        <w:rPr>
          <w:rFonts w:ascii="Times New Roman" w:hAnsi="Times New Roman" w:eastAsia="Songti SC"/>
          <w:color w:val="000000"/>
        </w:rPr>
        <w:t>正式运行前，训练侧将T-B的数据构造整体比较和T-E的同数据学习比较列为关键对照；推理侧以RelationOnly和单对象动作分别检验组件可变性与集合表达，以同目标全局ILP检验求解策略取舍。组件优先分步策略补充检验共同决策，其余消融和交互用于机制解释。各关键比较统一报告效应量、文档配对区间、错误代价和完整成本，不因现有人工材料只为部分比较提供区间而改变职责。</w:t>
      </w:r>
    </w:p>
    <w:p>
      <w:r>
        <w:rPr>
          <w:rFonts w:ascii="Times New Roman" w:hAnsi="Times New Roman" w:eastAsia="Songti SC"/>
          <w:color w:val="000000"/>
        </w:rPr>
        <w:t>局部与全局ILP先比较相同逐文档总求解预算，另以相同端到端时限评价部署条件；软件、线程、缓存条件和共同准备开销保持一致，大预算结果不自动视为最优。95%区间为固定三种子条件下逐比较的文档配对区间，未作多重比较校正；区间跨零不能解释为等效，也不以多个未校正区间共同确认全部机制。求解状态、成本及失败记录见附录H.3。</w:t>
      </w:r>
    </w:p>
    <w:p>
      <w:pPr>
        <w:pStyle w:val="Heading2"/>
      </w:pPr>
      <w:r>
        <w:t>2.7 训练与推理的接口</w:t>
      </w:r>
      <w:bookmarkStart w:id="38" w:name="v14_38"/>
      <w:bookmarkEnd w:id="38"/>
    </w:p>
    <w:p>
      <w:r>
        <w:rPr>
          <w:rFonts w:ascii="Times New Roman" w:hAnsi="Times New Roman" w:eastAsia="Songti SC"/>
          <w:color w:val="000000"/>
        </w:rPr>
        <w:t>训练阶段输入带标注文档，只改写指定组件文字，并检查组件角色与关系监督是否保持。推理阶段输入未提供金标的新文档，原文保持不变，允许修正模型预测的组件与关系。图2-1给出数据流和阶段接口，绪论图1-2则用于说明二者的研究分工。</w:t>
      </w:r>
    </w:p>
    <w:p>
      <w:pPr>
        <w:keepNext/>
        <w:spacing w:line="240" w:lineRule="auto" w:before="80" w:after="60"/>
        <w:ind w:firstLine="0"/>
        <w:jc w:val="center"/>
      </w:pPr>
      <w:r>
        <w:drawing>
          <wp:inline xmlns:a="http://schemas.openxmlformats.org/drawingml/2006/main" xmlns:pic="http://schemas.openxmlformats.org/drawingml/2006/picture">
            <wp:extent cx="5652770" cy="3709058"/>
            <wp:docPr id="3" name="framework.png" descr="训练和推理的数据及模型接口"/>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652770" cy="3709058"/>
                    </a:xfrm>
                    <a:prstGeom prst="rect"/>
                  </pic:spPr>
                </pic:pic>
              </a:graphicData>
            </a:graphic>
          </wp:inline>
        </w:drawing>
      </w:r>
    </w:p>
    <w:p>
      <w:pPr>
        <w:pStyle w:val="FigureCaption"/>
      </w:pPr>
      <w:r>
        <w:rPr>
          <w:rFonts w:ascii="Times New Roman" w:hAnsi="Times New Roman" w:eastAsia="Songti SC"/>
          <w:color w:val="000000"/>
          <w:sz w:val="21"/>
        </w:rPr>
        <w:t>图2-1 训练监督保持与推理结构恢复的两阶段接口</w:t>
      </w:r>
      <w:bookmarkStart w:id="169" w:name="v14_169"/>
      <w:bookmarkEnd w:id="169"/>
    </w:p>
    <w:p>
      <w:r>
        <w:rPr>
          <w:rFonts w:ascii="Times New Roman" w:hAnsi="Times New Roman" w:eastAsia="Songti SC"/>
          <w:color w:val="000000"/>
        </w:rPr>
        <w:t>合格的原文与增强文用于更新生成器，测试文档仅交给训练后的模型。结论专项建模、多候选生成和初始重排序继承ICIC基础；关系影响域与成对因素学习、依赖闭合事务及接受决策为本论文的深化内容。训练辅助头不进入测试路径，推理评分不回传生成器，各阶段保留独立的拒绝和失败出口。</w:t>
      </w:r>
    </w:p>
    <w:p>
      <w:r>
        <w:rPr>
          <w:rFonts w:ascii="Times New Roman" w:hAnsi="Times New Roman" w:eastAsia="Songti SC"/>
          <w:color w:val="000000"/>
        </w:rPr>
        <w:t>第三章辅助头在训练金标跨度上学习因素标签，第四章评分器在交叉拟合预测上判断完整对象是否正确，二者不直接共用概率。训练改进在推理策略固定时评价，推理改进在同一生成检查点和候选宇宙内评价；不同训练检查点可以产生不同候选，因为候选质量本身属于训练效果。</w:t>
      </w:r>
    </w:p>
    <w:p>
      <w:pPr>
        <w:pStyle w:val="Heading2"/>
      </w:pPr>
      <w:r>
        <w:t>2.8 本章小结</w:t>
      </w:r>
      <w:bookmarkStart w:id="39" w:name="v14_39"/>
      <w:bookmarkEnd w:id="39"/>
    </w:p>
    <w:p>
      <w:r>
        <w:rPr>
          <w:rFonts w:ascii="Times New Roman" w:hAnsi="Times New Roman" w:eastAsia="Songti SC"/>
          <w:color w:val="000000"/>
        </w:rPr>
        <w:t>本章以完整语义对象统一组件、二元关系和多前提超边，区分候选覆盖、评分判断与预算内搜索。严格评价、公共实验协议和阶段接口为后续方法提供共同基础。第三章在这一表示上研究改写后的监督保持，第四章研究组件预测变化后的结构恢复，第五章再评价两阶段组合。</w:t>
      </w:r>
    </w:p>
    <w:p>
      <w:pPr>
        <w:pStyle w:val="Heading1"/>
      </w:pPr>
      <w:r>
        <w:t>第三章 关系影响域约束的增强与成对学习</w:t>
      </w:r>
      <w:bookmarkStart w:id="40" w:name="v14_40"/>
      <w:bookmarkEnd w:id="40"/>
    </w:p>
    <w:p>
      <w:pPr>
        <w:pStyle w:val="Heading2"/>
      </w:pPr>
      <w:r>
        <w:t>3.1 引言</w:t>
      </w:r>
      <w:bookmarkStart w:id="41" w:name="v14_41"/>
      <w:bookmarkEnd w:id="41"/>
    </w:p>
    <w:p>
      <w:r>
        <w:rPr>
          <w:rFonts w:ascii="Times New Roman" w:hAnsi="Times New Roman" w:eastAsia="Songti SC"/>
          <w:color w:val="000000"/>
        </w:rPr>
        <w:t>训练数据增强的关键问题，是文字发生变化后，组件角色与关系监督还能否被可靠继承。只看流畅度或组件含义，可能漏掉跨出改写区域的关系；只检查已有正关系，也可能遗漏原NONE组合被改写成支持关系的情况。关系影响域因此决定需要复核的对象，而原文与增强文的标注对应决定哪些监督可以共同学习。</w:t>
      </w:r>
    </w:p>
    <w:p>
      <w:r>
        <w:rPr>
          <w:rFonts w:ascii="Times New Roman" w:hAnsi="Times New Roman" w:eastAsia="Songti SC"/>
          <w:color w:val="000000"/>
        </w:rPr>
        <w:t>影响域检查覆盖内部正关系、跨边界正关系及相应NONE组合。该范围由监督依赖确定，但它是否比简单改写检查更有必要，仍取决于真实漂移、有效表达变化与源文档覆盖；诊断设计见附录H.1—H.2。</w:t>
      </w:r>
    </w:p>
    <w:p>
      <w:r>
        <w:rPr>
          <w:rFonts w:ascii="Times New Roman" w:hAnsi="Times New Roman" w:eastAsia="Songti SC"/>
          <w:color w:val="000000"/>
        </w:rPr>
        <w:t>本章提出关系影响域约束的增强与成对学习：按完整端点依赖检查改写，迁移通过检查的标注，再将两视图的组件与关系因素对应用于共享表示学习。结论优先是默认区域选择策略，其价值由匹配随机中心对照检验；即使中心差异不稳定，监督对应和成对学习仍有各自可检验的问题。前期结论专项适配、提示与句子监督提供生成基础[34]，LoRA、辅助头与JS散度作为实现机制说明。</w:t>
      </w:r>
    </w:p>
    <w:p>
      <w:r>
        <w:rPr>
          <w:rFonts w:ascii="Times New Roman" w:hAnsi="Times New Roman" w:eastAsia="Songti SC"/>
          <w:color w:val="000000"/>
        </w:rPr>
        <w:t>图书馆片段只解释可能的语义漂移。方法始终使用原生组件类型和完整关系：AAEC的stance不转换为普通边，CDCP的结论角色不改变原生类型。下文依次给出影响域、标注对应和学习目标，再分开分析数据构造与学习增量。</w:t>
      </w:r>
    </w:p>
    <w:p>
      <w:pPr>
        <w:pStyle w:val="Heading2"/>
      </w:pPr>
      <w:r>
        <w:t>3.2 前期专项建模基础</w:t>
      </w:r>
      <w:bookmarkStart w:id="42" w:name="v14_42"/>
      <w:bookmarkEnd w:id="42"/>
    </w:p>
    <w:p>
      <w:pPr>
        <w:pStyle w:val="Heading3"/>
      </w:pPr>
      <w:r>
        <w:t>3.2.1 类型条件低秩适配</w:t>
      </w:r>
      <w:bookmarkStart w:id="43" w:name="v14_43"/>
      <w:bookmarkEnd w:id="43"/>
    </w:p>
    <w:p>
      <w:r>
        <w:rPr>
          <w:rFonts w:ascii="Times New Roman" w:hAnsi="Times New Roman" w:eastAsia="Songti SC"/>
          <w:color w:val="000000"/>
        </w:rPr>
        <w:t xml:space="preserve">本节说明前期专项建模与新增学习目标的接口。参考骨干为 Qwen2.5-7B-Instruct，冻结基础权重，在注意力投影中保留全局和结论专项低秩分支；LoRA 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w:t>
            </w:r>
          </w:p>
        </w:tc>
      </w:tr>
    </w:tbl>
    <w:p>
      <w:r>
        <w:rPr>
          <w:rFonts w:ascii="Times New Roman" w:hAnsi="Times New Roman" w:eastAsia="Songti SC"/>
          <w:color w:val="000000"/>
        </w:rPr>
        <w:t xml:space="preserve">全局分支参与所有位置的计算，结论分支由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控制。字段按 id、type、span 排列；可见前缀中的结论类型值完整闭合后，门控在该组件的后续字段开启，并在组件结束时关闭。AAEC 和 CDCP 的触发类型分别为 Claim/MajorClaim 和 Policy/Value；输入、未闭合类型字段及关系区域均令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。教师强制训练也仅使用可见前缀。</w:t>
      </w:r>
    </w:p>
    <w:p>
      <w:r>
        <w:rPr>
          <w:rFonts w:ascii="Times New Roman" w:hAnsi="Times New Roman" w:eastAsia="Songti SC"/>
          <w:color w:val="000000"/>
        </w:rPr>
        <w:t xml:space="preserve">这一门控作用于类型确定后的跨度等字段，不回溯修改已输出类型。参考配置取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，以单一全局 rank-32 分支作为参数量匹配对照；实际计算成本另行测量。</w:t>
      </w:r>
    </w:p>
    <w:p>
      <w:pPr>
        <w:pStyle w:val="Heading3"/>
      </w:pPr>
      <w:r>
        <w:t>3.2.2 线索提示与原有监督</w:t>
      </w:r>
      <w:bookmarkStart w:id="44" w:name="v14_44"/>
      <w:bookmarkEnd w:id="44"/>
    </w:p>
    <w:p>
      <w:r>
        <w:rPr>
          <w:rFonts w:ascii="Times New Roman" w:hAnsi="Times New Roman" w:eastAsia="Songti SC"/>
          <w:color w:val="000000"/>
        </w:rPr>
        <w:t xml:space="preserve">连续提示沿用参数高效提示调优机制[33]。对 therefore、thus、in conclusion、consequently、hence、to conclude 作不区分大小写的词边界匹配；命中时在聊天模板输入嵌入之前插入四个向量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，未命中则不插入。提示位置不计入原文坐标。</w:t>
      </w:r>
    </w:p>
    <w:p>
      <w:r>
        <w:rPr>
          <w:rFonts w:ascii="Times New Roman" w:hAnsi="Times New Roman" w:eastAsia="Songti SC"/>
          <w:color w:val="000000"/>
        </w:rPr>
        <w:t>词典只控制提示启用，不赋予结论标签。话语标记的收益不能由标记数量直接推定[40]；原文与增强文分别按各自文本触发提示；该规则沿用前期配置，本章不将其单独计为新增机制。</w:t>
      </w:r>
    </w:p>
    <w:p>
      <w:pPr>
        <w:keepNext/>
      </w:pPr>
      <w:r>
        <w:rPr>
          <w:rFonts w:ascii="Times New Roman" w:hAnsi="Times New Roman" w:eastAsia="Songti SC"/>
          <w:color w:val="000000"/>
        </w:rPr>
        <w:t>生成目标对有效回答 token（含 EOS）取平均，聊天输入和提示向量不参与该项损失：</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(3-2)</w:t>
            </w:r>
          </w:p>
        </w:tc>
      </w:tr>
    </w:tbl>
    <w:p>
      <w:r>
        <w:rPr>
          <w:rFonts w:ascii="Times New Roman" w:hAnsi="Times New Roman" w:eastAsia="Songti SC"/>
          <w:color w:val="000000"/>
        </w:rPr>
        <w:t xml:space="preserve">句子辅助任务沿用 ICIC 专项监督思路：按句末标点和文档结尾分句，对输入最后一层隐藏状态作句内均值池化，经线性层和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。句子与结论类金标跨度相交时令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，否则为零；跨句组件可标记多个句子。定义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(3-3)</w:t>
            </w:r>
          </w:p>
        </w:tc>
      </w:tr>
    </w:tbl>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 xml:space="preserve">。句子头只读取输入表示，用于共享表示学习。上述生成目标与句子监督构成继承目标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；3.3节构造增强视图，3.4节在此基础上引入组件、关系头及成对监督。</w:t>
      </w:r>
    </w:p>
    <w:p>
      <w:pPr>
        <w:pStyle w:val="Heading2"/>
      </w:pPr>
      <w:r>
        <w:t>3.3 关系影响域与标注迁移</w:t>
      </w:r>
      <w:bookmarkStart w:id="45" w:name="v14_45"/>
      <w:bookmarkEnd w:id="45"/>
    </w:p>
    <w:p>
      <w:pPr>
        <w:pStyle w:val="Heading3"/>
      </w:pPr>
      <w:r>
        <w:t>3.3.1 改写区域与关系因素</w:t>
      </w:r>
      <w:bookmarkStart w:id="46" w:name="v14_46"/>
      <w:bookmarkEnd w:id="46"/>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表3-1用人为构造的中文片段说明二元关系，不作为AAEC或CDCP的实测样本。</w:t>
      </w:r>
    </w:p>
    <w:p>
      <w:pPr>
        <w:pStyle w:val="TableCaption"/>
      </w:pPr>
      <w:r>
        <w:rPr>
          <w:rFonts w:ascii="Times New Roman" w:hAnsi="Times New Roman" w:eastAsia="Songti SC"/>
          <w:color w:val="000000"/>
          <w:sz w:val="21"/>
        </w:rPr>
        <w:t>表3-1 关系保持改写的组件示意</w:t>
      </w:r>
      <w:bookmarkStart w:id="170" w:name="v14_170"/>
      <w:bookmarkEnd w:id="17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：前一条Support的两端均在集合内，后一条只有一端在集合内，分别属于内部和跨边界因素。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同样跨越边界，但标签为NONE，表示该合法端点组合没有标注关系。NONE不作为输出边，与组件不存在的状态不同。</w:t>
      </w:r>
    </w:p>
    <w:p>
      <w:pPr>
        <w:keepNext/>
        <w:spacing w:line="240" w:lineRule="auto" w:before="80" w:after="60"/>
        <w:ind w:firstLine="0"/>
        <w:jc w:val="center"/>
      </w:pPr>
      <w:r>
        <w:drawing>
          <wp:inline xmlns:a="http://schemas.openxmlformats.org/drawingml/2006/main" xmlns:pic="http://schemas.openxmlformats.org/drawingml/2006/picture">
            <wp:extent cx="5652770" cy="4103898"/>
            <wp:docPr id="4" name="augmentation.png" descr="关系影响域中的内部与跨边界组合"/>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652770" cy="4103898"/>
                    </a:xfrm>
                    <a:prstGeom prst="rect"/>
                  </pic:spPr>
                </pic:pic>
              </a:graphicData>
            </a:graphic>
          </wp:inline>
        </w:drawing>
      </w:r>
    </w:p>
    <w:p>
      <w:pPr>
        <w:pStyle w:val="FigureCaption"/>
      </w:pPr>
      <w:r>
        <w:rPr>
          <w:rFonts w:ascii="Times New Roman" w:hAnsi="Times New Roman" w:eastAsia="Songti SC"/>
          <w:color w:val="000000"/>
          <w:sz w:val="21"/>
        </w:rPr>
        <w:t>图3-1 可改写组件及关系状态的检查范围示意</w:t>
      </w:r>
      <w:bookmarkStart w:id="171" w:name="v14_171"/>
      <w:bookmarkEnd w:id="171"/>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每篇文档固定一个中心。AAEC优先集合为Claim与MajorClaim，CDCP为Policy与Value；后者只定义本方法的触发角色，不改写原生类型。将种子、文档身份和规范化组件键按UTF-8规范JSON编码，计算SHA-256，按哈希及组件键升序选取第一个对象。主参考种子为17，同一文档全部尝试复用同一中心；不依据生成成功率换中心。</w:t>
      </w:r>
    </w:p>
    <w:p>
      <w:r>
        <w:rPr>
          <w:rFonts w:ascii="Times New Roman" w:hAnsi="Times New Roman" w:eastAsia="Songti SC"/>
          <w:color w:val="000000"/>
        </w:rPr>
        <w:t>优先集合为空时，从全部合法金标组件按同一顺序回退，并记录fallback；组件集合为空时保留原文、跳过增强。改写集合</w:t>
      </w:r>
      <m:oMath>
        <m:r>
          <m:t xml:space="preserve">A</m:t>
        </m:r>
      </m:oMath>
      <w:r>
        <w:rPr>
          <w:rFonts w:ascii="Times New Roman" w:hAnsi="Times New Roman" w:eastAsia="Songti SC"/>
          <w:color w:val="000000"/>
        </w:rPr>
        <w:t>由中心及所有指向中心的金标关系的完整源成员组成，去重、不递归扩展。无入关系时仅改写中心；超过三源成员的金标超边仍完整纳入，新增NONE因素的元数预算不截断金标。其余组件文字只读。</w:t>
      </w:r>
    </w:p>
    <w:p>
      <w:r>
        <w:rPr>
          <w:rFonts w:ascii="Times New Roman" w:hAnsi="Times New Roman" w:eastAsia="Songti SC"/>
          <w:color w:val="000000"/>
        </w:rPr>
        <w:t>若槽位重叠、完整输入超过冻结上下文上限，或影响域无法在单次审核资源内完整处理，则跳过该文档增强并记录具体原因，不删除源成员或改选其他中心。不同模型的上下文及调用上限由运行清单提供；未提供时不启动生成。每文档最多四次尝试、两个接受变体，原始样本始终保留。该选择控制定义和资源，不意味着结论中心已经优于其他中心。</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。源成员按原文顺序规范化，整条超边作为一个关系对象，不展开为独立二元关系。</w:t>
      </w:r>
    </w:p>
    <w:p>
      <w:r>
        <w:rPr>
          <w:rFonts w:ascii="Times New Roman" w:hAnsi="Times New Roman" w:eastAsia="Songti SC"/>
          <w:color w:val="000000"/>
        </w:rPr>
        <w:t>训练因素宇宙包含全部金标超边的端点组合，并补充满足源范围规则、最多含三个源成员的候选组合。超过三个源成员的金标关系仍全部保留。源范围的连续性依据所选组件序列判定，而非要求原文字符之间没有间隙。</w:t>
      </w:r>
    </w:p>
    <w:p>
      <w:r>
        <w:rPr>
          <w:rFonts w:ascii="Times New Roman" w:hAnsi="Times New Roman" w:eastAsia="Songti SC"/>
          <w:color w:val="000000"/>
        </w:rPr>
        <w:t>NONE 仅在上述有限宇宙内定义，不涉及组件集合的全部子集。三源成员预算使更长的金标超边缺少同元数NONE对照，可能形成长度相关的监督偏置，需按元数诊断。这一辅助头不用于估计长超边的完整对象正确率。</w:t>
      </w:r>
    </w:p>
    <w:p>
      <w:pPr>
        <w:keepNext/>
      </w:pPr>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(3-4)</w:t>
            </w:r>
          </w:p>
        </w:tc>
      </w:tr>
    </w:tbl>
    <w:p>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。全部端点位于 </w:t>
      </w:r>
      <m:oMath>
        <m:r>
          <m:t xml:space="preserve">A</m:t>
        </m:r>
      </m:oMath>
      <w:r>
        <w:rPr>
          <w:rFonts w:ascii="Times New Roman" w:hAnsi="Times New Roman" w:eastAsia="Songti SC"/>
          <w:color w:val="000000"/>
        </w:rPr>
        <w:t xml:space="preserve"> 中的因素属于内部因素，仅部分端点位于 </w:t>
      </w:r>
      <m:oMath>
        <m:r>
          <m:t xml:space="preserve">A</m:t>
        </m:r>
      </m:oMath>
      <w:r>
        <w:rPr>
          <w:rFonts w:ascii="Times New Roman" w:hAnsi="Times New Roman" w:eastAsia="Songti SC"/>
          <w:color w:val="000000"/>
        </w:rPr>
        <w:t xml:space="preserve"> 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pPr>
      <w:r>
        <w:t>3.3.2 条件生成与标注迁移</w:t>
      </w:r>
      <w:bookmarkStart w:id="47" w:name="v14_47"/>
      <w:bookmarkEnd w:id="47"/>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(3-5)</w:t>
            </w:r>
          </w:p>
        </w:tc>
      </w:tr>
    </w:tbl>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沿用表3-1，</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的新内容，即使两条原Support仍然存在，原NONE标签也不再适合直接继承。语义验证器可能漏判，因此上述条件仍需由3.6.2节的标签可靠性审计检验。</w:t>
      </w:r>
    </w:p>
    <w:p>
      <w:pPr>
        <w:pStyle w:val="Heading3"/>
      </w:pPr>
      <w:r>
        <w:t>3.3.3 接受规则与来源控制</w:t>
      </w:r>
      <w:bookmarkStart w:id="48" w:name="v14_48"/>
      <w:bookmarkEnd w:id="48"/>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成对组件与关系学习</w:t>
      </w:r>
      <w:bookmarkStart w:id="49" w:name="v14_49"/>
      <w:bookmarkEnd w:id="49"/>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增强样本通过检查后，还需要让模型学会“不同表达对应相同论辩功能”。本节保留原文和增强文各自的金标训练，同时比较对应组件与关系的预测分布。例如，表3-1中的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r>
        <w:rPr>
          <w:rFonts w:ascii="Times New Roman" w:hAnsi="Times New Roman" w:eastAsia="Songti SC"/>
          <w:color w:val="000000"/>
        </w:rPr>
        <w:t xml:space="preserve">图3-2给出从增强样本到参数更新的训练架构。原文与增强文经过同一个生成器，组件对应 </w:t>
      </w:r>
      <m:oMath>
        <m:r>
          <m:t xml:space="preserve">φ</m:t>
        </m:r>
      </m:oMath>
      <w:r>
        <w:rPr>
          <w:rFonts w:ascii="Times New Roman" w:hAnsi="Times New Roman" w:eastAsia="Songti SC"/>
          <w:color w:val="000000"/>
        </w:rPr>
        <w:t xml:space="preserve"> 将两个视图的类型分布和关系状态分布连接起来；生成目标、句子监督与新增辅助目标共同作用于可训练表示。基础模型权重保持冻结，辅助头仅在训练阶段使用。</w:t>
      </w:r>
    </w:p>
    <w:p>
      <w:pPr>
        <w:keepNext/>
        <w:spacing w:line="240" w:lineRule="auto" w:before="80" w:after="60"/>
        <w:ind w:firstLine="0"/>
        <w:jc w:val="center"/>
      </w:pPr>
      <w:r>
        <w:drawing>
          <wp:inline xmlns:a="http://schemas.openxmlformats.org/drawingml/2006/main" xmlns:pic="http://schemas.openxmlformats.org/drawingml/2006/picture">
            <wp:extent cx="5652770" cy="5329580"/>
            <wp:docPr id="5" name="training_architecture.png" descr="关系感知增强学习的共享表示与梯度接口"/>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5652770" cy="5329580"/>
                    </a:xfrm>
                    <a:prstGeom prst="rect"/>
                  </pic:spPr>
                </pic:pic>
              </a:graphicData>
            </a:graphic>
          </wp:inline>
        </w:drawing>
      </w:r>
    </w:p>
    <w:p>
      <w:pPr>
        <w:pStyle w:val="FigureCaption"/>
      </w:pPr>
      <w:r>
        <w:rPr>
          <w:rFonts w:ascii="Times New Roman" w:hAnsi="Times New Roman" w:eastAsia="Songti SC"/>
          <w:color w:val="000000"/>
          <w:sz w:val="21"/>
        </w:rPr>
        <w:t>图3-2 关系影响域增强与成对学习的训练架构</w:t>
      </w:r>
      <w:bookmarkStart w:id="172" w:name="v14_172"/>
      <w:bookmarkEnd w:id="172"/>
    </w:p>
    <w:p>
      <w:r>
        <w:rPr>
          <w:rFonts w:ascii="Times New Roman" w:hAnsi="Times New Roman" w:eastAsia="Songti SC"/>
          <w:color w:val="000000"/>
        </w:rPr>
        <w:t>图3-2区分继承的专项适配、线索提示和句子监督，以及新增的组件头、关系头与成对损失。实线表示文本和隐藏状态的数据流，虚线表示监督或控制连接；冻结参数与可训练模块分别标示，各类参数的梯度来源在3.4.3节统一说明。</w:t>
      </w:r>
    </w:p>
    <w:p>
      <w:pPr>
        <w:pStyle w:val="Heading3"/>
      </w:pPr>
      <w:r>
        <w:t>3.4.1 输入表示与训练头</w:t>
      </w:r>
      <w:bookmarkStart w:id="50" w:name="v14_50"/>
      <w:bookmarkEnd w:id="50"/>
    </w:p>
    <w:p>
      <w:r>
        <w:rPr>
          <w:rFonts w:ascii="Times New Roman" w:hAnsi="Times New Roman" w:eastAsia="Songti SC"/>
          <w:color w:val="000000"/>
        </w:rPr>
        <w:t>组件类型头和关系状态头以共享生成器的输入表示为基础，使用金标跨度定位训练因素。下游生成器只接收任务指令及原文或增强文；增强构造阶段使用的金标槽位、类型与关系条件仅用于监督，不进入该模型的输入。</w:t>
      </w:r>
    </w:p>
    <w:p>
      <w:r>
        <w:rPr>
          <w:rFonts w:ascii="Times New Roman" w:hAnsi="Times New Roman" w:eastAsia="Songti SC"/>
          <w:color w:val="000000"/>
        </w:rPr>
        <w:t xml:space="preserve">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为输入子词隐藏状态，</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 为组件字符跨度对应的输入子词集合，</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为全文输入结束且回答尚未开始处的隐藏状态。坐标映射和输入隔离的实现验收要求见附录F.2。组件表示与类型分布定义为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(3-6)</w:t>
            </w:r>
          </w:p>
        </w:tc>
      </w:tr>
    </w:tbl>
    <w:p>
      <w:r>
        <w:rPr>
          <w:rFonts w:ascii="Times New Roman" w:hAnsi="Times New Roman" w:eastAsia="Songti SC"/>
          <w:color w:val="000000"/>
        </w:rPr>
        <w:t xml:space="preserve">因果模型的早期 token 只能访问左侧上下文。拼接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为跨度表示补充全文上下文通道，并不改变模型的因果注意力结构；组件头不输入待预测的金标类型。</w:t>
      </w:r>
    </w:p>
    <w:p>
      <w:pPr>
        <w:keepNext/>
      </w:pPr>
      <w:r>
        <w:rPr>
          <w:rFonts w:ascii="Times New Roman" w:hAnsi="Times New Roman" w:eastAsia="Songti SC"/>
          <w:color w:val="000000"/>
        </w:rPr>
        <w:t>关系头显式区分源和目标，写为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(3-7)</w:t>
            </w:r>
          </w:p>
        </w:tc>
      </w:tr>
    </w:tbl>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为源成员表示的算术均值。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数，不包含金标类型或关系标签。二元关系采用单一源表示，超边按规范顺序组织源成员，以完整源集合和目标为监督对象，输出状态包含 NONE。两个辅助头在开发评价和测试时移除。</w:t>
      </w:r>
    </w:p>
    <w:p>
      <w:pPr>
        <w:pStyle w:val="Heading3"/>
      </w:pPr>
      <w:r>
        <w:t>3.4.2 对齐与金标锚定</w:t>
      </w:r>
      <w:bookmarkStart w:id="51" w:name="v14_51"/>
      <w:bookmarkEnd w:id="51"/>
    </w:p>
    <w:p>
      <w:pPr>
        <w:keepNext/>
      </w:pPr>
      <w:r>
        <w:rPr>
          <w:rFonts w:ascii="Times New Roman" w:hAnsi="Times New Roman" w:eastAsia="Songti SC"/>
          <w:color w:val="000000"/>
        </w:rPr>
        <w:t>组件对齐应覆盖被改写的组件及其正关系所连接的只读端点，定义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(3-8)</w:t>
            </w:r>
          </w:p>
        </w:tc>
      </w:tr>
    </w:tbl>
    <w:p>
      <w:pPr>
        <w:keepNext/>
      </w:pPr>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(3-9)</w:t>
            </w:r>
          </w:p>
        </w:tc>
      </w:tr>
    </w:tbl>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pPr>
        <w:keepNext/>
      </w:pPr>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(3-10)</w:t>
            </w:r>
          </w:p>
        </w:tc>
      </w:tr>
    </w:tbl>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bookmarkStart w:id="52" w:name="v14_52"/>
      <w:bookmarkEnd w:id="52"/>
    </w:p>
    <w:p>
      <w:pPr>
        <w:keepNext/>
      </w:pPr>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(3-11)</w:t>
            </w:r>
          </w:p>
        </w:tc>
      </w:tr>
    </w:tbl>
    <w:p>
      <w:pPr>
        <w:keepNext/>
      </w:pPr>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(3-12)</w:t>
            </w:r>
          </w:p>
        </w:tc>
      </w:tr>
    </w:tbl>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控制每篇源文档的增强基础目标总权重：接受一个变体时，该变体的系数为 </w:t>
      </w:r>
      <m:oMath>
        <m:r>
          <m:t xml:space="preserve">ρ</m:t>
        </m:r>
      </m:oMath>
      <w:r>
        <w:rPr>
          <w:rFonts w:ascii="Times New Roman" w:hAnsi="Times New Roman" w:eastAsia="Songti SC"/>
          <w:color w:val="000000"/>
        </w:rPr>
        <w:t xml:space="preserve">；接受两个变体时，每个变体的系数为 </w:t>
      </w:r>
      <m:oMath>
        <m:r>
          <m:t xml:space="preserve">ρ</m:t>
        </m:r>
        <m:r>
          <m:t xml:space="preserve">/</m:t>
        </m:r>
        <m:r>
          <m:t xml:space="preserve">2</m:t>
        </m:r>
      </m:oMath>
      <w:r>
        <w:rPr>
          <w:rFonts w:ascii="Times New Roman" w:hAnsi="Times New Roman" w:eastAsia="Songti SC"/>
          <w:color w:val="000000"/>
        </w:rPr>
        <w:t xml:space="preserve">。因此，无变体文档的基础目标系数合计为1，有变体文档为 </w:t>
      </w:r>
      <m:oMath>
        <m:r>
          <m:t xml:space="preserve">1</m:t>
        </m:r>
        <m:r>
          <m:t xml:space="preserve">+</m:t>
        </m:r>
        <m:r>
          <m:t xml:space="preserve">ρ</m:t>
        </m:r>
      </m:oMath>
      <w:r>
        <w:rPr>
          <w:rFonts w:ascii="Times New Roman" w:hAnsi="Times New Roman" w:eastAsia="Songti SC"/>
          <w:color w:val="000000"/>
        </w:rPr>
        <w:t xml:space="preserve">，不随已接受变体数继续倍增。这里的系数合计仅描述原文与增强文的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 xml:space="preserve"> 加权，不表示实际梯度幅度具有相同比例；头监督仍按 </w:t>
      </w:r>
      <m:oMath>
        <m:r>
          <m:t xml:space="preserve">1</m:t>
        </m:r>
        <m:r>
          <m:t xml:space="preserve">+</m:t>
        </m:r>
        <m:sSub>
          <m:e>
            <m:r>
              <m:t xml:space="preserve">m</m:t>
            </m:r>
          </m:e>
          <m:sub>
            <m:r>
              <m:t xml:space="preserve">d</m:t>
            </m:r>
          </m:sub>
        </m:sSub>
      </m:oMath>
      <w:r>
        <w:rPr>
          <w:rFonts w:ascii="Times New Roman" w:hAnsi="Times New Roman" w:eastAsia="Songti SC"/>
          <w:color w:val="000000"/>
        </w:rPr>
        <w:t xml:space="preserve"> 个视图平均，对齐项按已接受文本对平均。</w:t>
      </w:r>
    </w:p>
    <w:p>
      <w:r>
        <w:rPr>
          <w:rFonts w:ascii="Times New Roman" w:hAnsi="Times New Roman" w:eastAsia="Songti SC"/>
          <w:color w:val="000000"/>
        </w:rPr>
        <w:t>本文保留上述加权方式，使通过筛选的增强视图提供额外监督。外层按源文档等频采样控制访问频次，并不使有、无增强的文档具有相同的基础目标总权重。筛选会同时改变文本、被接受的源分布及哪些源获得额外权重，因此T-B估计整套数据构造的共同效应，不能单独归因于新表达。T-E固定源、变体与权重，只改变损失项。若要区分表达变化与重复曝光，需另以同一接受清单将增强视图替换为对应原文，并保持源权重和更新数；本稿未做该对照，不据现有成绩作这一归因。梯度累积的最后一个不足批次按实际源文档数归一化。正式运行须在训练侧预先登记系数候选范围与选择规则，经开发选择后冻结；本版未绑定的系数见2.6.2节，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梯度连接与更新范围的核验规则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算法及性质</w:t>
      </w:r>
      <w:bookmarkStart w:id="53" w:name="v14_53"/>
      <w:bookmarkEnd w:id="53"/>
    </w:p>
    <w:p>
      <w:pPr>
        <w:pStyle w:val="Heading3"/>
      </w:pPr>
      <w:r>
        <w:t>3.5.1 数据构造与参数学习</w:t>
      </w:r>
      <w:bookmarkStart w:id="54" w:name="v14_54"/>
      <w:bookmarkEnd w:id="54"/>
    </w:p>
    <w:p>
      <w:r>
        <w:rPr>
          <w:rFonts w:ascii="Times New Roman" w:hAnsi="Times New Roman" w:eastAsia="Songti SC"/>
          <w:color w:val="000000"/>
        </w:rPr>
        <w:t>算法3-1将增强构造和参数学习分为两个阶段。前一阶段在固定预算内生成并筛选文本变体，后一阶段按源文档归一化训练。两阶段的数据构造及损失计算均只访问训练划分；开发集的参数选择与停止规则按第二章2.6节执行，测试标签不参与上述过程。</w:t>
      </w:r>
    </w:p>
    <w:p>
      <w:pPr>
        <w:pStyle w:val="AlgorithmCaption"/>
      </w:pPr>
      <w:r>
        <w:rPr>
          <w:rFonts w:ascii="Times New Roman" w:hAnsi="Times New Roman" w:eastAsia="Songti SC"/>
          <w:b/>
          <w:color w:val="000000"/>
          <w:sz w:val="21"/>
        </w:rPr>
        <w:t>算法3-1 关系影响域增强与成对学习</w:t>
      </w:r>
      <w:bookmarkStart w:id="173" w:name="v14_173"/>
      <w:bookmarkEnd w:id="173"/>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输入：训练文档及金标图 D_train，数据协议，固定增强与语义验证模型，</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ab/>
      </w:r>
      <w:r>
        <w:rPr>
          <w:rFonts w:ascii="Times New Roman" w:hAnsi="Times New Roman" w:eastAsia="Songti SC"/>
          <w:color w:val="000000"/>
          <w:sz w:val="21"/>
        </w:rPr>
        <w:t>每文档尝试上限 B_try、接受上限 B_accept，训练更新上限 U。</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输出：训练后的端到端生成器 θ，以及增强样本、组件映射和来源记录。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检查训练划分、全文哈希分组、坐标和标签协议</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for</w:t>
      </w:r>
      <w:r>
        <w:rPr>
          <w:rFonts w:ascii="Times New Roman" w:hAnsi="Times New Roman" w:eastAsia="Songti SC"/>
          <w:color w:val="000000"/>
          <w:sz w:val="21"/>
        </w:rPr>
        <w:t xml:space="preserve"> 每篇源文档 d ∈ D_train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color w:val="000000"/>
          <w:sz w:val="21"/>
        </w:rPr>
        <w:t>保留原文 x_d 和完整金标图 G_d；令 Views_d = ∅</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按3.3.1固定中心及完整入源；不可处理则记原因并继续下一文档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05</w:t>
        <w:tab/>
      </w:r>
      <w:r>
        <w:rPr>
          <w:rFonts w:ascii="Times New Roman" w:hAnsi="Times New Roman" w:eastAsia="Songti SC"/>
          <w:color w:val="000000"/>
          <w:sz w:val="21"/>
        </w:rPr>
        <w:t>建立因素宇宙 Ω(C_d)，构造改写集合 A</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06</w:t>
        <w:tab/>
      </w:r>
      <w:r>
        <w:rPr>
          <w:rFonts w:ascii="Times New Roman" w:hAnsi="Times New Roman" w:eastAsia="Songti SC"/>
          <w:color w:val="000000"/>
          <w:sz w:val="21"/>
        </w:rPr>
        <w:t>构造完整影响域 D_A；令 attempts = 0</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b/>
          <w:color w:val="000000"/>
          <w:sz w:val="21"/>
        </w:rPr>
        <w:t>while</w:t>
      </w:r>
      <w:r>
        <w:rPr>
          <w:rFonts w:ascii="Times New Roman" w:hAnsi="Times New Roman" w:eastAsia="Songti SC"/>
          <w:color w:val="000000"/>
          <w:sz w:val="21"/>
        </w:rPr>
        <w:t xml:space="preserve"> attempts &lt; B_try 且 |Views_d| &lt; B_accept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08</w:t>
        <w:tab/>
      </w:r>
      <w:r>
        <w:rPr>
          <w:rFonts w:ascii="Times New Roman" w:hAnsi="Times New Roman" w:eastAsia="Songti SC"/>
          <w:color w:val="000000"/>
          <w:sz w:val="21"/>
        </w:rPr>
        <w:t>attempts ← attempts + 1；生成组件槽位的替换文本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回填全文、重新分词，建立全部组件的双射 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if</w:t>
      </w:r>
      <w:r>
        <w:rPr>
          <w:rFonts w:ascii="Times New Roman" w:hAnsi="Times New Roman" w:eastAsia="Songti SC"/>
          <w:color w:val="000000"/>
          <w:sz w:val="21"/>
        </w:rPr>
        <w:t xml:space="preserve"> 格式、槽位、坐标或端点检查失败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color w:val="000000"/>
          <w:sz w:val="21"/>
        </w:rPr>
        <w:t>检查全文角色与表达退化</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15</w:t>
        <w:tab/>
      </w:r>
      <w:r>
        <w:rPr>
          <w:rFonts w:ascii="Times New Roman" w:hAnsi="Times New Roman" w:eastAsia="Songti SC"/>
          <w:b/>
          <w:color w:val="000000"/>
          <w:sz w:val="21"/>
        </w:rPr>
        <w:t>if</w:t>
      </w:r>
      <w:r>
        <w:rPr>
          <w:rFonts w:ascii="Times New Roman" w:hAnsi="Times New Roman" w:eastAsia="Songti SC"/>
          <w:color w:val="000000"/>
          <w:sz w:val="21"/>
        </w:rPr>
        <w:t xml:space="preserve"> D_A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检查 D_A 中全部关系状态</w:t>
      </w:r>
    </w:p>
    <w:p>
      <w:pPr>
        <w:pStyle w:val="AlgorithmLine"/>
        <w:keepNext w:val="0"/>
        <w:keepLines/>
        <w:tabs>
          <w:tab w:pos="850" w:val="left"/>
        </w:tabs>
        <w:spacing w:line="300" w:lineRule="exact" w:after="0"/>
        <w:ind w:left="850" w:hanging="850"/>
        <w:pBdr>
          <w:bottom w:val="single" w:sz="4" w:color="000000" w:space="4"/>
        </w:pBdr>
      </w:pPr>
      <w:r>
        <w:rPr>
          <w:rFonts w:ascii="Times New Roman" w:hAnsi="Times New Roman" w:eastAsia="Songti SC"/>
          <w:color w:val="000000"/>
          <w:sz w:val="21"/>
        </w:rPr>
        <w:t>17</w:t>
        <w:tab/>
      </w:r>
      <w:r>
        <w:rPr>
          <w:rFonts w:ascii="Times New Roman" w:hAnsi="Times New Roman" w:eastAsia="Songti SC"/>
          <w:b/>
          <w:color w:val="000000"/>
          <w:sz w:val="21"/>
        </w:rPr>
        <w:t>end if</w:t>
      </w:r>
    </w:p>
    <w:p>
      <w:pPr>
        <w:pStyle w:val="ContinuationCaption"/>
        <w:keepNext/>
        <w:pageBreakBefore/>
      </w:pPr>
      <w:r>
        <w:t>算法3-1（续）</w:t>
      </w:r>
    </w:p>
    <w:p>
      <w:pPr>
        <w:pStyle w:val="AlgorithmLine"/>
        <w:keepNext/>
        <w:keepLines/>
        <w:tabs>
          <w:tab w:pos="850" w:val="left"/>
        </w:tabs>
        <w:spacing w:line="300" w:lineRule="exact" w:after="0"/>
        <w:ind w:left="850" w:hanging="850"/>
        <w:pBdr>
          <w:top w:val="single" w:sz="4" w:color="000000" w:space="4"/>
        </w:pBdr>
      </w:pPr>
      <w:r>
        <w:rPr>
          <w:rFonts w:ascii="Times New Roman" w:hAnsi="Times New Roman" w:eastAsia="Songti SC"/>
          <w:color w:val="000000"/>
          <w:sz w:val="21"/>
        </w:rPr>
        <w:t>18</w:t>
        <w:tab/>
      </w:r>
      <w:r>
        <w:rPr>
          <w:rFonts w:ascii="Times New Roman" w:hAnsi="Times New Roman" w:eastAsia="Songti SC"/>
          <w:b/>
          <w:color w:val="000000"/>
          <w:sz w:val="21"/>
        </w:rPr>
        <w:t>if</w:t>
      </w:r>
      <w:r>
        <w:rPr>
          <w:rFonts w:ascii="Times New Roman" w:hAnsi="Times New Roman" w:eastAsia="Songti SC"/>
          <w:color w:val="000000"/>
          <w:sz w:val="21"/>
        </w:rPr>
        <w:t xml:space="preserve"> 任一受检标签漂移或其他筛选条件失败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20</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21</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color w:val="000000"/>
          <w:sz w:val="21"/>
        </w:rPr>
        <w:t>将通过的全文视图、φ(G_d)、φ 和来源加入 Views_d</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24</w:t>
        <w:tab/>
      </w:r>
      <w:r>
        <w:rPr>
          <w:rFonts w:ascii="Times New Roman" w:hAnsi="Times New Roman" w:eastAsia="Songti SC"/>
          <w:color w:val="000000"/>
          <w:sz w:val="21"/>
        </w:rPr>
        <w:t>保存 Views_d；集合为空时仍保留原文</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25</w:t>
        <w:tab/>
      </w:r>
      <w:r>
        <w:rPr>
          <w:rFonts w:ascii="Times New Roman" w:hAnsi="Times New Roman" w:eastAsia="Songti SC"/>
          <w:b/>
          <w:color w:val="000000"/>
          <w:sz w:val="21"/>
        </w:rPr>
        <w:t>end for</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26</w:t>
        <w:tab/>
      </w:r>
      <w:r>
        <w:rPr>
          <w:rFonts w:ascii="Times New Roman" w:hAnsi="Times New Roman" w:eastAsia="Songti SC"/>
          <w:b/>
          <w:color w:val="000000"/>
          <w:sz w:val="21"/>
        </w:rPr>
        <w:t>for</w:t>
      </w:r>
      <w:r>
        <w:rPr>
          <w:rFonts w:ascii="Times New Roman" w:hAnsi="Times New Roman" w:eastAsia="Songti SC"/>
          <w:color w:val="000000"/>
          <w:sz w:val="21"/>
        </w:rPr>
        <w:t xml:space="preserve"> step = 1, …, U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27</w:t>
        <w:tab/>
      </w:r>
      <w:r>
        <w:rPr>
          <w:rFonts w:ascii="Times New Roman" w:hAnsi="Times New Roman" w:eastAsia="Songti SC"/>
          <w:color w:val="000000"/>
          <w:sz w:val="21"/>
        </w:rPr>
        <w:t>按源文档等频取训练批次；读取原文及其已接受视图</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28</w:t>
        <w:tab/>
      </w:r>
      <w:r>
        <w:rPr>
          <w:rFonts w:ascii="Times New Roman" w:hAnsi="Times New Roman" w:eastAsia="Songti SC"/>
          <w:color w:val="000000"/>
          <w:sz w:val="21"/>
        </w:rPr>
        <w:t>依可见前缀门控，计算各视图的生成损失和句子辅助损失</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29</w:t>
        <w:tab/>
      </w:r>
      <w:r>
        <w:rPr>
          <w:rFonts w:ascii="Times New Roman" w:hAnsi="Times New Roman" w:eastAsia="Songti SC"/>
          <w:color w:val="000000"/>
          <w:sz w:val="21"/>
        </w:rPr>
        <w:t>从回答开始前的输入表示计算组件头与关系状态头监督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30</w:t>
        <w:tab/>
      </w:r>
      <w:r>
        <w:rPr>
          <w:rFonts w:ascii="Times New Roman" w:hAnsi="Times New Roman" w:eastAsia="Songti SC"/>
          <w:color w:val="000000"/>
          <w:sz w:val="21"/>
        </w:rPr>
        <w:t>依 φ 计算非空域成对损失；无变体或空域的对齐项置零</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31</w:t>
        <w:tab/>
      </w:r>
      <w:r>
        <w:rPr>
          <w:rFonts w:ascii="Times New Roman" w:hAnsi="Times New Roman" w:eastAsia="Songti SC"/>
          <w:color w:val="000000"/>
          <w:sz w:val="21"/>
        </w:rPr>
        <w:t>保留两个视图的梯度，按同源变体及源文档两级归一化</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32</w:t>
        <w:tab/>
      </w:r>
      <w:r>
        <w:rPr>
          <w:rFonts w:ascii="Times New Roman" w:hAnsi="Times New Roman" w:eastAsia="Songti SC"/>
          <w:color w:val="000000"/>
          <w:sz w:val="21"/>
        </w:rPr>
        <w:t>按3.4.3节的梯度路径执行一次反向传播；基础模型权重冻结</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33</w:t>
        <w:tab/>
      </w:r>
      <w:r>
        <w:rPr>
          <w:rFonts w:ascii="Times New Roman" w:hAnsi="Times New Roman" w:eastAsia="Songti SC"/>
          <w:b/>
          <w:color w:val="000000"/>
          <w:sz w:val="21"/>
        </w:rPr>
        <w:t>if</w:t>
      </w:r>
      <w:r>
        <w:rPr>
          <w:rFonts w:ascii="Times New Roman" w:hAnsi="Times New Roman" w:eastAsia="Songti SC"/>
          <w:color w:val="000000"/>
          <w:sz w:val="21"/>
        </w:rPr>
        <w:t xml:space="preserve"> 达到2.6节预先确定的停止条件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34</w:t>
        <w:tab/>
      </w:r>
      <w:r>
        <w:rPr>
          <w:rFonts w:ascii="Times New Roman" w:hAnsi="Times New Roman" w:eastAsia="Songti SC"/>
          <w:b/>
          <w:color w:val="000000"/>
          <w:sz w:val="21"/>
        </w:rPr>
        <w:t>break</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35</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36</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37</w:t>
        <w:tab/>
      </w:r>
      <w:r>
        <w:rPr>
          <w:rFonts w:ascii="Times New Roman" w:hAnsi="Times New Roman" w:eastAsia="Songti SC"/>
          <w:color w:val="000000"/>
          <w:sz w:val="21"/>
        </w:rPr>
        <w:t>返回生成器及来源记录；开发评价和测试时移除训练辅助头</w:t>
      </w:r>
    </w:p>
    <w:p>
      <w:r>
        <w:rPr>
          <w:rFonts w:ascii="Times New Roman" w:hAnsi="Times New Roman" w:eastAsia="Songti SC"/>
          <w:color w:val="000000"/>
        </w:rPr>
        <w:t>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Heading3"/>
      </w:pPr>
      <w:r>
        <w:t>3.5.2 性质与适用条件</w:t>
      </w:r>
      <w:bookmarkStart w:id="55" w:name="v14_55"/>
      <w:bookmarkEnd w:id="55"/>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实验结果与分析</w:t>
      </w:r>
      <w:bookmarkStart w:id="56" w:name="v14_56"/>
      <w:bookmarkEnd w:id="56"/>
    </w:p>
    <w:p>
      <w:r>
        <w:rPr>
          <w:rFonts w:ascii="Times New Roman" w:hAnsi="Times New Roman" w:eastAsia="Songti SC"/>
          <w:color w:val="000000"/>
        </w:rPr>
        <w:t>本节数值、审计判断和成本为估算情景，用于展示比较与分析；正式结果须由对应原始文本和运行记录整体替换。</w:t>
      </w:r>
    </w:p>
    <w:p>
      <w:r>
        <w:rPr>
          <w:rFonts w:ascii="Times New Roman" w:hAnsi="Times New Roman" w:eastAsia="Songti SC"/>
          <w:color w:val="000000"/>
        </w:rPr>
        <w:t>本章以监督可靠性诊断为前提，按2.6.3预定的T-B、T-E分别评价数据构造整体及同数据学习增量；中心策略和过滤消融补充解释其条件。可靠性诊断关注改写后的标签，任务比较关注原始测试文本上的严格抽取结果。CovEReD同样区分增强一致性与原始任务表现[37]。这种区分使格式合法、坐标正确和语义可靠承担不同证据作用，避免把自动筛选通过直接等同于任务收益。</w:t>
      </w:r>
    </w:p>
    <w:p>
      <w:pPr>
        <w:pStyle w:val="Heading3"/>
      </w:pPr>
      <w:r>
        <w:t>3.6.1 实验设置与比较方法</w:t>
      </w:r>
      <w:bookmarkStart w:id="57" w:name="v14_57"/>
      <w:bookmarkEnd w:id="57"/>
    </w:p>
    <w:p>
      <w:r>
        <w:rPr>
          <w:rFonts w:ascii="Times New Roman" w:hAnsi="Times New Roman" w:eastAsia="Songti SC"/>
          <w:color w:val="000000"/>
        </w:rPr>
        <w:t>训练侧统一使用I0推理。T0保留前期ICIC的专项适配、线索提示与句子辅助目标；T1加入关系感知增强、组件与关系头监督，以及成对因素对齐。AAEC采用严格组件和二元关系评价，CDCP采用完整原生超边。种子固定为17、29和43，表中“±”表示三次结果的样本标准差，文档级配对区间另行报告。</w:t>
      </w:r>
    </w:p>
    <w:p>
      <w:pPr>
        <w:pStyle w:val="TableCaption"/>
      </w:pPr>
      <w:r>
        <w:rPr>
          <w:rFonts w:ascii="Times New Roman" w:hAnsi="Times New Roman" w:eastAsia="Songti SC"/>
          <w:color w:val="000000"/>
          <w:sz w:val="21"/>
        </w:rPr>
        <w:t>表3-2 训练侧对照与归因条件</w:t>
      </w:r>
      <w:bookmarkStart w:id="174" w:name="v14_174"/>
      <w:bookmarkEnd w:id="17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编号与比较</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变化因素及解释</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T-A T0与普通增强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相同基础损失，不增加新头</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普通增强的整体作用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T-B QOS式与完整增强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相同基础损失、匹配训练规模与更新条件</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文本、源选择及重加权的整体效应</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T-C 去跨边界正关系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固定完整生成池和其他检查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跨边界正标签筛选的作用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T-D 去NONE检查</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固定生成池和正关系检查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无边状态筛选的作用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 基础、加头、加对齐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完全相同变体、源权重与更新数</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辅助监督与成对项各自的增量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T-F 结论与匹配随机中心</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匹配区域大小、长度和关系度</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中心策略的条件性差异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T-G T0与T1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相同骨干和I0协议</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完整训练方案，复用第五章主行</w:t>
            </w:r>
          </w:p>
        </w:tc>
      </w:tr>
    </w:tbl>
    <w:p>
      <w:pPr>
        <w:spacing w:after="0" w:line="240" w:lineRule="auto"/>
      </w:pPr>
    </w:p>
    <w:p>
      <w:r>
        <w:rPr>
          <w:rFonts w:ascii="Times New Roman" w:hAnsi="Times New Roman" w:eastAsia="Songti SC"/>
          <w:color w:val="000000"/>
        </w:rPr>
        <w:t>构造轨道固定每篇源文档最多4次尝试、接受2个变体，用于比较生成池、接受覆盖和构造成本。主成绩轨道匹配训练规模：AAEC与CDCP分别使用500和900个变体、0.82M和1.35M增强token，并匹配源文档采样规则和有效更新条件。抽取成绩表3-5、学习消融表3-6和中心比较表3-8属于后一轨道；表3-9只报告前一轨道的构造成本。两轨不拼接为同资源优势。</w:t>
      </w:r>
    </w:p>
    <w:p>
      <w:r>
        <w:rPr>
          <w:rFonts w:ascii="Times New Roman" w:hAnsi="Times New Roman" w:eastAsia="Songti SC"/>
          <w:color w:val="000000"/>
        </w:rPr>
        <w:t>T-E的三种设置直接复用同一增强集合及每篇文档的变体数，仅改变损失项。无增强加头对照用于区分头监督本身的作用。QOS式方法使用共同任务接口和槽位表示，结果只解释这一适配条件。过滤消融使用同一完整关系条件生成池，四项检查依次为内部正关系、跨边界正关系、内部NONE和跨边界NONE；完整配置为1111，去跨边界正关系为1011，去NONE为1100。其差值不能单独归于生成提示中的对应条件。</w:t>
      </w:r>
    </w:p>
    <w:p>
      <w:pPr>
        <w:pStyle w:val="Heading3"/>
      </w:pPr>
      <w:r>
        <w:t>3.6.2 增强质量与标签可靠性</w:t>
      </w:r>
      <w:bookmarkStart w:id="58" w:name="v14_58"/>
      <w:bookmarkEnd w:id="58"/>
    </w:p>
    <w:p>
      <w:r>
        <w:rPr>
          <w:rFonts w:ascii="Times New Roman" w:hAnsi="Times New Roman" w:eastAsia="Songti SC"/>
          <w:color w:val="000000"/>
        </w:rPr>
        <w:t>语义判定按语料、接受或拒绝、内部或跨边界、正关系或NONE交叉分层。每个方法和语料的8个层各取200个因素，共1600个；接受与拒绝样本均保留。判定内容覆盖角色、方向、否定、模态、指代与标签保持，CDCP同时检查完整源成员。两路判定的分歧单独登记，裁决后再汇总漂移率。</w:t>
      </w:r>
    </w:p>
    <w:p>
      <w:pPr>
        <w:pStyle w:val="TableCaption"/>
      </w:pPr>
      <w:r>
        <w:rPr>
          <w:rFonts w:ascii="Times New Roman" w:hAnsi="Times New Roman" w:eastAsia="Songti SC"/>
          <w:color w:val="000000"/>
          <w:sz w:val="21"/>
        </w:rPr>
        <w:t>表3-3 接受样本的标签漂移率（%）（估算情景）</w:t>
      </w:r>
      <w:bookmarkStart w:id="175" w:name="v14_175"/>
      <w:bookmarkEnd w:id="17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分层均值</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r>
    </w:tbl>
    <w:p>
      <w:pPr>
        <w:spacing w:after="0" w:line="240" w:lineRule="auto"/>
      </w:pPr>
    </w:p>
    <w:p>
      <w:r>
        <w:rPr>
          <w:rFonts w:ascii="Times New Roman" w:hAnsi="Times New Roman" w:eastAsia="Songti SC"/>
          <w:color w:val="000000"/>
        </w:rPr>
        <w:t>表3-3中，完整方案的接受层分层均值为3.62%和5.75%，低于普通增强与QOS式适配。各层的差异并非在所有方法和语料上同向；例如CDCP普通增强的内部NONE高于内部正关系，说明因素身份需要分别保留。表中跨边界风险为影响域检查提供情景化解释，真实设计必要性则需由训练侧诊断验证。完整方案还伴随覆盖下降，质量、变化幅度和源分布应联合解释。</w:t>
      </w:r>
    </w:p>
    <w:p>
      <w:pPr>
        <w:pStyle w:val="TableCaption"/>
      </w:pPr>
      <w:r>
        <w:rPr>
          <w:rFonts w:ascii="Times New Roman" w:hAnsi="Times New Roman" w:eastAsia="Songti SC"/>
          <w:color w:val="000000"/>
          <w:sz w:val="21"/>
        </w:rPr>
        <w:t>表3-4 接受与拒绝样本的因素漂移审计（估算情景）</w:t>
      </w:r>
      <w:bookmarkStart w:id="176" w:name="v14_176"/>
      <w:bookmarkEnd w:id="17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接受漂移数／800</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拒绝漂移数／800</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46.50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30.12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47.25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33.00</w:t>
            </w:r>
          </w:p>
        </w:tc>
      </w:tr>
    </w:tbl>
    <w:p>
      <w:pPr>
        <w:spacing w:after="0" w:line="240" w:lineRule="auto"/>
      </w:pPr>
    </w:p>
    <w:p>
      <w:r>
        <w:rPr>
          <w:rFonts w:ascii="Times New Roman" w:hAnsi="Times New Roman" w:eastAsia="Songti SC"/>
          <w:color w:val="000000"/>
        </w:rPr>
        <w:t>两表以关系因素为单位，四类因素各占相同样本量，百分比是等层权重的均值，不是按整个生成池构成加权的总体漂移率。完整方案的拒绝层中，AAEC有559／800、CDCP有536／800个因素保持标签。单个稳定因素不代表整个变体应被接受：其他因素、组件角色或质量条件仍可能不合格。因此这些数值不能直接解释为变体级误拒率；接受层漂移率也不能直接替代变体级筛选精确率。</w:t>
      </w:r>
    </w:p>
    <w:p>
      <w:r>
        <w:rPr>
          <w:rFonts w:ascii="Times New Roman" w:hAnsi="Times New Roman" w:eastAsia="Songti SC"/>
          <w:color w:val="000000"/>
        </w:rPr>
        <w:t>完整审计还纳入两种过滤消融，共5种方法、2种语料、每组1600个因素，合计16000个。两路因素判定的一致率为96.31%，Cohen κ为0.902，描述的是一致性而非相对于独立金标准的准确率。接受层残余漂移与拒绝层稳定因素共同提示质量和覆盖的取舍；坐标、引用检查只提供结构前提，不能替代这一语义审计。</w:t>
      </w:r>
    </w:p>
    <w:p>
      <w:r>
        <w:rPr>
          <w:rFonts w:ascii="Times New Roman" w:hAnsi="Times New Roman" w:eastAsia="Songti SC"/>
          <w:color w:val="000000"/>
        </w:rPr>
        <w:t>上述低漂移率只描述被接受因素，不能单独证明增强有用。字面变化、变体漂移和分层覆盖的联合阅读方法见3.6.6节；其模板示例移至附录H.6，与本节因素审计及表3-5、表3-6的成绩生成相互独立，不合并分母，也不形成从筛选到学习收益的因果链。</w:t>
      </w:r>
    </w:p>
    <w:p>
      <w:pPr>
        <w:pStyle w:val="Heading3"/>
      </w:pPr>
      <w:r>
        <w:t>3.6.3 抽取结果与学习目标消融</w:t>
      </w:r>
      <w:bookmarkStart w:id="59" w:name="v14_59"/>
      <w:bookmarkEnd w:id="59"/>
    </w:p>
    <w:p>
      <w:pPr>
        <w:pStyle w:val="TableCaption"/>
      </w:pPr>
      <w:r>
        <w:rPr>
          <w:rFonts w:ascii="Times New Roman" w:hAnsi="Times New Roman" w:eastAsia="Songti SC"/>
          <w:color w:val="000000"/>
          <w:sz w:val="21"/>
        </w:rPr>
        <w:t>表3-5 训练方案的严格抽取结果（匹配训练规模）（估算情景）</w:t>
      </w:r>
      <w:bookmarkStart w:id="177" w:name="v14_177"/>
      <w:bookmarkEnd w:id="17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无增强＋头监督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78.57±0.36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53.64±0.45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70.48±0.34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48.46±0.28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78.77±0.37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53.86±0.55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70.67±0.21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48.67±0.17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QOS式适配</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79.37±0.42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54.96±0.28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71.27±0.24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49.76±0.43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79.88±0.46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56.27±0.21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71.98±0.28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50.96±0.50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80.07±0.44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56.66±0.20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72.27±0.44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51.37±0.35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52.45±0.33</w:t>
            </w:r>
          </w:p>
        </w:tc>
      </w:tr>
    </w:tbl>
    <w:p>
      <w:pPr>
        <w:spacing w:after="0" w:line="240" w:lineRule="auto"/>
      </w:pPr>
    </w:p>
    <w:p>
      <w:r>
        <w:rPr>
          <w:rFonts w:ascii="Times New Roman" w:hAnsi="Times New Roman" w:eastAsia="Songti SC"/>
          <w:color w:val="000000"/>
        </w:rPr>
        <w:t>T1相对T0的严格关系F1分别增加4.52和4.42个百分点，这一总差值包含数据构造、头监督和成对学习。T-B中QOS式适配与完整增强均采用基础损失：对照表3-6首行，AAEC为54.96对55.66，CDCP为49.76对50.47，差值为0.70和0.71个百分点。该差值同时包含文本、接受源分布与源重加权，故解释为数据构造整体效应。过滤消融固定生成池与学习配置，仍可能改变接受覆盖；其情景差值不单独证明某项检查通过表达变化产生收益。</w:t>
      </w:r>
    </w:p>
    <w:p>
      <w:pPr>
        <w:pStyle w:val="TableCaption"/>
      </w:pPr>
      <w:r>
        <w:rPr>
          <w:rFonts w:ascii="Times New Roman" w:hAnsi="Times New Roman" w:eastAsia="Songti SC"/>
          <w:color w:val="000000"/>
          <w:sz w:val="21"/>
        </w:rPr>
        <w:t>表3-6 相同增强集合上的学习目标比较（匹配训练规模）（估算情景）</w:t>
      </w:r>
      <w:bookmarkStart w:id="178" w:name="v14_178"/>
      <w:bookmarkEnd w:id="17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完整增强＋基础损失</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79.68±0.31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55.66±0.50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71.77±0.42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50.47±0.33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79.98±0.00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56.56±0.63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72.27±0.64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51.24±0.47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52.45±0.33</w:t>
            </w:r>
          </w:p>
        </w:tc>
      </w:tr>
    </w:tbl>
    <w:p>
      <w:pPr>
        <w:spacing w:after="0" w:line="240" w:lineRule="auto"/>
      </w:pPr>
    </w:p>
    <w:p>
      <w:r>
        <w:rPr>
          <w:rFonts w:ascii="Times New Roman" w:hAnsi="Times New Roman" w:eastAsia="Songti SC"/>
          <w:color w:val="000000"/>
        </w:rPr>
        <w:t>表3-6的三行使用完全相同的增强文本、来源权重和更新条件。增加头监督先建立组件与完整关系因素的输入表示；加入成对对齐后，AAEC与CDCP的关系F1分别再增加1.21和1.22个百分点，情景文档配对95%区间为[+0.40, +2.01]和[+0.22, +2.22]。完整结果同时包含数据构造、辅助监督和成对目标三部分，不能将总增量全部归给对齐项。区间只反映既定计数模型内的重采样变化，不是实际方法效应的置信区间。</w:t>
      </w:r>
    </w:p>
    <w:p>
      <w:r>
        <w:rPr>
          <w:rFonts w:ascii="Times New Roman" w:hAnsi="Times New Roman" w:eastAsia="Songti SC"/>
          <w:color w:val="000000"/>
        </w:rPr>
        <w:t>无增强加头仅带来较小改善，进一步说明辅助头的存在不足以解释T1的全部变化。成对约束需要依靠可靠的对应因素；若增强本身改变论证角色，预测一致性也可能稳定错误监督。对齐强度应与标签可靠性和原始任务表现共同选择，而不能只最小化一致性损失。</w:t>
      </w:r>
    </w:p>
    <w:p>
      <w:pPr>
        <w:keepNext/>
        <w:spacing w:line="240" w:lineRule="auto" w:before="80" w:after="60"/>
        <w:ind w:firstLine="0"/>
        <w:jc w:val="center"/>
      </w:pPr>
      <w:r>
        <w:drawing>
          <wp:inline xmlns:a="http://schemas.openxmlformats.org/drawingml/2006/main" xmlns:pic="http://schemas.openxmlformats.org/drawingml/2006/picture">
            <wp:extent cx="5652770" cy="2446574"/>
            <wp:docPr id="6" name="training_results.png" descr="训练侧严格关系F1与三种学习目标比较"/>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652770" cy="2446574"/>
                    </a:xfrm>
                    <a:prstGeom prst="rect"/>
                  </pic:spPr>
                </pic:pic>
              </a:graphicData>
            </a:graphic>
          </wp:inline>
        </w:drawing>
      </w:r>
    </w:p>
    <w:p>
      <w:pPr>
        <w:pStyle w:val="FigureCaption"/>
      </w:pPr>
      <w:r>
        <w:rPr>
          <w:rFonts w:ascii="Times New Roman" w:hAnsi="Times New Roman" w:eastAsia="Songti SC"/>
          <w:color w:val="000000"/>
          <w:sz w:val="21"/>
        </w:rPr>
        <w:t>图3-3 训练方案与学习目标的严格关系结果（估算情景）</w:t>
      </w:r>
      <w:bookmarkStart w:id="179" w:name="v14_179"/>
      <w:bookmarkEnd w:id="179"/>
    </w:p>
    <w:p>
      <w:pPr>
        <w:pStyle w:val="Heading3"/>
      </w:pPr>
      <w:r>
        <w:t>3.6.4 中心选择与适用条件</w:t>
      </w:r>
      <w:bookmarkStart w:id="60" w:name="v14_60"/>
      <w:bookmarkEnd w:id="60"/>
    </w:p>
    <w:p>
      <w:r>
        <w:rPr>
          <w:rFonts w:ascii="Times New Roman" w:hAnsi="Times New Roman" w:eastAsia="Songti SC"/>
          <w:color w:val="000000"/>
        </w:rPr>
        <w:t>随机中心从同一文档的全部合法组件中选择，允许结论角色和参考中心自身进入匹配池。两个中心的区域组件数、入关系数相同，区域字符总长之差除以参考长度不超过20%。参考区域有效时自身必然满足匹配条件，因此不设置unmatched；无组件、槽位重叠和资源超限按具体原因分别记录。</w:t>
      </w:r>
    </w:p>
    <w:p>
      <w:pPr>
        <w:pStyle w:val="TableCaption"/>
      </w:pPr>
      <w:r>
        <w:rPr>
          <w:rFonts w:ascii="Times New Roman" w:hAnsi="Times New Roman" w:eastAsia="Songti SC"/>
          <w:color w:val="000000"/>
          <w:sz w:val="21"/>
        </w:rPr>
        <w:t>表3-7 中心匹配的有效覆盖与自匹配（估算情景）</w:t>
      </w:r>
      <w:bookmarkStart w:id="180" w:name="v14_180"/>
      <w:bookmarkEnd w:id="18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有效参考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自匹配</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异中心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构造失败</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r>
    </w:tbl>
    <w:p>
      <w:pPr>
        <w:spacing w:after="0" w:line="240" w:lineRule="auto"/>
      </w:pPr>
    </w:p>
    <w:p>
      <w:r>
        <w:rPr>
          <w:rFonts w:ascii="Times New Roman" w:hAnsi="Times New Roman" w:eastAsia="Songti SC"/>
          <w:color w:val="000000"/>
        </w:rPr>
        <w:t>自匹配率以有效参考文档数为分母，AAEC为36.13%，CDCP为40.94%。全部有效文档比较解释中心选择策略的整体差异；异中心子集用于检查策略真正发生变化时的行为。两个集合的样本组成不同，不能把后者外推为全部文档的结论角色优势。回退文档与没有普通入关系的MajorClaim也不能单独支持这一优势。</w:t>
      </w:r>
    </w:p>
    <w:p>
      <w:pPr>
        <w:pStyle w:val="TableCaption"/>
      </w:pPr>
      <w:r>
        <w:rPr>
          <w:rFonts w:ascii="Times New Roman" w:hAnsi="Times New Roman" w:eastAsia="Songti SC"/>
          <w:color w:val="000000"/>
          <w:sz w:val="21"/>
        </w:rPr>
        <w:t>表3-8 结论中心与匹配随机中心的比较（匹配训练规模）（估算情景）</w:t>
      </w:r>
      <w:bookmarkStart w:id="181" w:name="v14_181"/>
      <w:bookmarkEnd w:id="18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52.45±0.33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80.38±0.37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72.56±0.22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52.16±0.40</w:t>
            </w:r>
          </w:p>
        </w:tc>
      </w:tr>
    </w:tbl>
    <w:p>
      <w:pPr>
        <w:spacing w:after="0" w:line="240" w:lineRule="auto"/>
      </w:pPr>
    </w:p>
    <w:p>
      <w:r>
        <w:rPr>
          <w:rFonts w:ascii="Times New Roman" w:hAnsi="Times New Roman" w:eastAsia="Songti SC"/>
          <w:color w:val="000000"/>
        </w:rPr>
        <w:t>结论中心相对匹配随机中心的关系差值为AAEC 0.22、CDCP 0.30个百分点，情景配对95%区间分别为[-0.35, +0.81]、[-0.61, +1.23]。区间均含0；即使在这一设定中，也不能把完整方案增量归因于中心角色。</w:t>
      </w:r>
    </w:p>
    <w:p>
      <w:pPr>
        <w:pStyle w:val="Heading3"/>
      </w:pPr>
      <w:r>
        <w:t>3.6.5 生成覆盖与计算成本</w:t>
      </w:r>
      <w:bookmarkStart w:id="61" w:name="v14_61"/>
      <w:bookmarkEnd w:id="61"/>
    </w:p>
    <w:p>
      <w:pPr>
        <w:pStyle w:val="TableCaption"/>
      </w:pPr>
      <w:r>
        <w:rPr>
          <w:rFonts w:ascii="Times New Roman" w:hAnsi="Times New Roman" w:eastAsia="Songti SC"/>
          <w:color w:val="000000"/>
          <w:sz w:val="21"/>
        </w:rPr>
        <w:t>表3-9 固定尝试预算下的覆盖与构造成本（估算情景）</w:t>
      </w:r>
      <w:bookmarkStart w:id="182" w:name="v14_182"/>
      <w:bookmarkEnd w:id="18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接受率%</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源覆盖%</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生成M token</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审核M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47.19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98.75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42.81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91.25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46.12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96.90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42.93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w:t>
            </w:r>
          </w:p>
        </w:tc>
      </w:tr>
    </w:tbl>
    <w:p>
      <w:pPr>
        <w:spacing w:after="0" w:line="240" w:lineRule="auto"/>
      </w:pPr>
    </w:p>
    <w:p>
      <w:r>
        <w:rPr>
          <w:rFonts w:ascii="Times New Roman" w:hAnsi="Times New Roman" w:eastAsia="Songti SC"/>
          <w:color w:val="000000"/>
        </w:rPr>
        <w:t>固定尝试轨中，完整方案在AAEC／CDCP接受520／940个变体、覆盖292／522篇文档；匹配轨另取500／900个变体。全部尝试计费；两轨记录和旧轨训练成本见附录H.2，旧成本不用于匹配主成绩。</w:t>
      </w:r>
    </w:p>
    <w:p>
      <w:r>
        <w:rPr>
          <w:rFonts w:ascii="Times New Roman" w:hAnsi="Times New Roman" w:eastAsia="Songti SC"/>
          <w:color w:val="000000"/>
        </w:rPr>
        <w:t>增强的一次性投入与逐文档修正分开计费；严格筛选须兼顾覆盖与收益。</w:t>
      </w:r>
    </w:p>
    <w:p>
      <w:pPr>
        <w:pStyle w:val="Heading3"/>
      </w:pPr>
      <w:r>
        <w:t>3.6.6 变化 漂移与覆盖的联合解释</w:t>
      </w:r>
      <w:bookmarkStart w:id="62" w:name="v14_62"/>
      <w:bookmarkEnd w:id="62"/>
    </w:p>
    <w:p>
      <w:r>
        <w:rPr>
          <w:rFonts w:ascii="Times New Roman" w:hAnsi="Times New Roman" w:eastAsia="Songti SC"/>
          <w:color w:val="000000"/>
        </w:rPr>
        <w:t>增强诊断应同时报告生成池与接受池的字面变化、因素漂移及分层源覆盖。非复制和编辑距离回答文本是否变化，漂移审阅回答标注能否继承，覆盖说明哪些源仍被保留；三者各有分母，均不能单独代替任务收益。附录H.6用有限模板演示读表方法，不检验真实语义审核机制。</w:t>
      </w:r>
    </w:p>
    <w:p>
      <w:r>
        <w:rPr>
          <w:rFonts w:ascii="Times New Roman" w:hAnsi="Times New Roman" w:eastAsia="Songti SC"/>
          <w:color w:val="000000"/>
        </w:rPr>
        <w:t>表3-5、表3-6的人工成绩不是由该模板池训练得到。本稿据T-B界定数据构造整体比较，据T-E界定固定增强集合上的学习目标比较；正式验证须将接受清单、实际训练输入和评价输出绑定同一运行身份，才能连接数据质量与任务增量。</w:t>
      </w:r>
    </w:p>
    <w:p>
      <w:pPr>
        <w:pStyle w:val="Heading2"/>
      </w:pPr>
      <w:r>
        <w:t>3.7 本章小结</w:t>
      </w:r>
      <w:bookmarkStart w:id="63" w:name="v14_63"/>
      <w:bookmarkEnd w:id="63"/>
    </w:p>
    <w:p>
      <w:r>
        <w:rPr>
          <w:rFonts w:ascii="Times New Roman" w:hAnsi="Times New Roman" w:eastAsia="Songti SC"/>
          <w:color w:val="000000"/>
        </w:rPr>
        <w:t>本章针对局部改写后关系标注可能失效的问题，定义覆盖内部、跨边界及NONE状态的影响域，以标注迁移建立原文与增强文的可靠对应，并在对应因素上加入监督与成对目标。关键设计在于受影响监督的识别及其与学习的连接，结论中心只是默认选择。</w:t>
      </w:r>
    </w:p>
    <w:p>
      <w:r>
        <w:rPr>
          <w:rFonts w:ascii="Times New Roman" w:hAnsi="Times New Roman" w:eastAsia="Songti SC"/>
          <w:color w:val="000000"/>
        </w:rPr>
        <w:t>受控比较分别回答数据构造整体及固定数据上的学习目标作用。现有人工成绩用于展示这些问题的比较方式；模板指标另作诊断示例，不承担学习效果解释。真实语义风险、源选择偏移和训练增量仍需同源记录验证，现阶段不由低漂移或字面变化推定方法有效。</w:t>
      </w:r>
    </w:p>
    <w:p>
      <w:pPr>
        <w:pStyle w:val="Heading1"/>
      </w:pPr>
      <w:r>
        <w:t>第四章 多候选驱动的依赖闭合论辩图修正</w:t>
      </w:r>
      <w:bookmarkStart w:id="64" w:name="v14_64"/>
      <w:bookmarkEnd w:id="64"/>
    </w:p>
    <w:p>
      <w:pPr>
        <w:pStyle w:val="Heading2"/>
      </w:pPr>
      <w:r>
        <w:t>4.1 引言</w:t>
      </w:r>
      <w:bookmarkStart w:id="65" w:name="v14_65"/>
      <w:bookmarkEnd w:id="65"/>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集合修正的必要性取决于端点相关错误相对于纯关系错误的规模，以及候选中是否已有可恢复对象。组件类型、边界、遗漏与多检采用固定顺序诊断，候选缺失另作交叉维度；这些维度不能相加为互斥因果比例。当前材料没有真实错误分布，完整诊断方案见附录H.1。</w:t>
      </w:r>
    </w:p>
    <w:p>
      <w:r>
        <w:rPr>
          <w:rFonts w:ascii="Times New Roman" w:hAnsi="Times New Roman" w:eastAsia="Songti SC"/>
          <w:color w:val="000000"/>
        </w:rPr>
        <w:t>本章以MCR-BR-J表示依赖闭合的联合修正，保留候选图生成与初始重排序，将修改单位扩展为冲突闭合的组件集合及全部受影响关系。框架规定对象身份、目标、约束和接受条件；局部整数规划是本稿待检验的求解策略，同目标全局求解是主要对照。下文先说明动作与共同决策，再比较组件可变性、集合表达、误改及完整成本；不由“局部”或“有界”的名称预设采用价值。</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据此，本章将问题定义为有预算的结构选择，并把同候选、同评分的全局ILP作为主要竞争方案。局部事务能明确一次变更及其依赖，但全局求解也可能提供更好的结构与保留率。研究重点是在共同准备成本、求解预算和变更要求下比较二者，而非将局部性、日志或有限终止直接视为优势。若真实比较不能形成有价值的质量、时延或变更控制取舍，则应简化局部机制或将其保留为可选修正策略。</w:t>
      </w:r>
    </w:p>
    <w:p>
      <w:r>
        <w:rPr>
          <w:rFonts w:ascii="Times New Roman" w:hAnsi="Times New Roman" w:eastAsia="Songti SC"/>
          <w:color w:val="000000"/>
        </w:rPr>
        <w:t>图书馆论辩片段提供了一个人为构造的边界修正示意：假设初始组件</w:t>
      </w:r>
      <m:oMath>
        <m:sSub>
          <m:e>
            <m:r>
              <m:t xml:space="preserve">c</m:t>
            </m:r>
          </m:e>
          <m:sub>
            <m:r>
              <m:t xml:space="preserve">2</m:t>
            </m:r>
          </m:sub>
        </m:sSub>
      </m:oMath>
      <w:r>
        <w:rPr>
          <w:rFonts w:ascii="Times New Roman" w:hAnsi="Times New Roman" w:eastAsia="Songti SC"/>
          <w:color w:val="000000"/>
        </w:rPr>
        <w:t>只包含“图书馆现有座位不足”，另一个候选还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该片段不对应真实测试样本或运行结果。</w:t>
      </w:r>
    </w:p>
    <w:p>
      <w:pPr>
        <w:keepNext/>
        <w:spacing w:line="240" w:lineRule="auto" w:before="80" w:after="60"/>
        <w:ind w:firstLine="0"/>
        <w:jc w:val="center"/>
      </w:pPr>
      <w:r>
        <w:drawing>
          <wp:inline xmlns:a="http://schemas.openxmlformats.org/drawingml/2006/main" xmlns:pic="http://schemas.openxmlformats.org/drawingml/2006/picture">
            <wp:extent cx="5652770" cy="4716740"/>
            <wp:docPr id="7" name="repair.png" descr="组件变更与关系重建的整体决策"/>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652770" cy="4716740"/>
                    </a:xfrm>
                    <a:prstGeom prst="rect"/>
                  </pic:spPr>
                </pic:pic>
              </a:graphicData>
            </a:graphic>
          </wp:inline>
        </w:drawing>
      </w:r>
    </w:p>
    <w:p>
      <w:pPr>
        <w:pStyle w:val="FigureCaption"/>
      </w:pPr>
      <w:r>
        <w:rPr>
          <w:rFonts w:ascii="Times New Roman" w:hAnsi="Times New Roman" w:eastAsia="Songti SC"/>
          <w:color w:val="000000"/>
          <w:sz w:val="21"/>
        </w:rPr>
        <w:t>图4-1 组件替换及受影响关系的事务式处理示意（人为构造）</w:t>
      </w:r>
      <w:bookmarkStart w:id="183" w:name="v14_183"/>
      <w:bookmarkEnd w:id="183"/>
    </w:p>
    <w:p>
      <w:r>
        <w:rPr>
          <w:rFonts w:ascii="Times New Roman" w:hAnsi="Times New Roman" w:eastAsia="Songti SC"/>
          <w:color w:val="000000"/>
        </w:rPr>
        <w:t>图4-1展示推理阶段的事务单位和接受顺序，不预设较长跨度一定正确。旧对象删除后，其入边和出边均失效；新对象的合法关系组合重新参与选择，包括此前没有输出关系的位置。图中对象与关系变化表示数据流，接受或回退表示控制流。只有完整方案满足整图约束、预算及效用门，才一起提交；否则保留修改前的完整状态。</w:t>
      </w:r>
    </w:p>
    <w:p>
      <w:pPr>
        <w:pStyle w:val="Heading2"/>
      </w:pPr>
      <w:r>
        <w:t>4.2 候选生成与初始图</w:t>
      </w:r>
      <w:bookmarkStart w:id="66" w:name="v14_66"/>
      <w:bookmarkEnd w:id="66"/>
    </w:p>
    <w:p>
      <w:r>
        <w:rPr>
          <w:rFonts w:ascii="Times New Roman" w:hAnsi="Times New Roman" w:eastAsia="Songti SC"/>
          <w:color w:val="000000"/>
        </w:rPr>
        <w:t>候选生成既为初始图选择提供竞争结构，也限定后续修正能够访问的对象。初始选择沿用前期MCR接口；修正开始前，来自多次生成和补充提议的对象被汇总为固定候选宇宙。两个步骤共享候选来源，但承担不同的决策任务。</w:t>
      </w:r>
    </w:p>
    <w:p>
      <w:pPr>
        <w:pStyle w:val="Heading3"/>
      </w:pPr>
      <w:r>
        <w:t>4.2.1 组件假设及完整图生成</w:t>
      </w:r>
      <w:bookmarkStart w:id="67" w:name="v14_67"/>
      <w:bookmarkEnd w:id="67"/>
    </w:p>
    <w:p>
      <w:pPr>
        <w:keepNext/>
      </w:pPr>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w:t>
            </w:r>
          </w:p>
        </w:tc>
      </w:tr>
    </w:tbl>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bookmarkStart w:id="68" w:name="v14_68"/>
      <w:bookmarkEnd w:id="68"/>
    </w:p>
    <w:p>
      <w:pPr>
        <w:keepNext/>
      </w:pPr>
      <w:r>
        <w:rPr>
          <w:rFonts w:ascii="Times New Roman" w:hAnsi="Times New Roman" w:eastAsia="Songti SC"/>
          <w:color w:val="000000"/>
        </w:rPr>
        <w:t>为保持与前期方法的可比性，初始选择沿用原 MCR 的加权形式：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(4-2)</w:t>
            </w:r>
          </w:p>
        </w:tc>
      </w:tr>
    </w:tbl>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(4-3)</w:t>
            </w:r>
          </w:p>
        </w:tc>
      </w:tr>
    </w:tbl>
    <w:p>
      <w:r>
        <w:rPr>
          <w:rFonts w:ascii="Times New Roman" w:hAnsi="Times New Roman" w:eastAsia="Songti SC"/>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。CDCP原生超边按完整关系计一次入边，不按源成员数重复增加覆盖。上述规则是本文明确的设计配置，前期实验的实际执行细节仍以其独立运行记录为准。</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pPr>
      <w:r>
        <w:t>4.2.3 固定跨度候选与组件冲突</w:t>
      </w:r>
      <w:bookmarkStart w:id="69" w:name="v14_69"/>
      <w:bookmarkEnd w:id="69"/>
    </w:p>
    <w:p>
      <w:r>
        <w:rPr>
          <w:rFonts w:ascii="Times New Roman" w:hAnsi="Times New Roman" w:eastAsia="Songti SC"/>
          <w:color w:val="000000"/>
        </w:rPr>
        <w:t>修正开始前构建固定跨度集合</w:t>
      </w:r>
      <m:oMath>
        <m:r>
          <m:t xml:space="preserve">U</m:t>
        </m:r>
      </m:oMath>
      <w:r>
        <w:rPr>
          <w:rFonts w:ascii="Times New Roman" w:hAnsi="Times New Roman" w:eastAsia="Songti SC"/>
          <w:color w:val="000000"/>
        </w:rPr>
        <w:t>。受保护部分包含合法化后初始图及全部成功解析候选图中的合法组件跨度；对象先去重，不以概率阈值裁掉初始图。独立跨度头和有限规则扩展提供补充部分。两部分分开计数，保护对象多于补充上限时不裁初始图；若总资源无法容纳保护部分，返回候选构造失败，而不是无声改变基线。</w:t>
      </w:r>
    </w:p>
    <w:p>
      <w:r>
        <w:rPr>
          <w:rFonts w:ascii="Times New Roman" w:hAnsi="Times New Roman" w:eastAsia="Songti SC"/>
          <w:color w:val="000000"/>
        </w:rPr>
        <w:t>独立跨度头以训练金标监督起止边界，为候选召回提供补充，并在OOF中遵守与生成器相同的持出隔离。参考解码与一次性有限扩展覆盖邻近边界、相邻跨度合并和内部切分；扩展不递归，去重后才按边界分保留补充候选。坐标转换、排序和异常细则见附录A.6，边界分仅用于召回排序。</w:t>
      </w:r>
    </w:p>
    <w:p>
      <w:r>
        <w:rPr>
          <w:rFonts w:ascii="Times New Roman" w:hAnsi="Times New Roman" w:eastAsia="Songti SC"/>
          <w:color w:val="000000"/>
        </w:rPr>
        <w:t>受保护跨度不受补充长度和数量上限裁剪。候选的保护来源、补充来源及重叠数量分别登记；新增跨度不能通过改变去重或坐标规则隐式扩张候选空间。</w:t>
      </w:r>
    </w:p>
    <w:p>
      <w:r>
        <w:rPr>
          <w:rFonts w:ascii="Times New Roman" w:hAnsi="Times New Roman" w:eastAsia="Songti SC"/>
          <w:color w:val="000000"/>
        </w:rPr>
        <w:t>对</w:t>
      </w:r>
      <m:oMath>
        <m:r>
          <m:t xml:space="preserve">u</m:t>
        </m:r>
        <m:r>
          <m:t xml:space="preserve">∈</m:t>
        </m:r>
        <m:r>
          <m:t xml:space="preserve">U</m:t>
        </m:r>
      </m:oMath>
      <w:r>
        <w:rPr>
          <w:rFonts w:ascii="Times New Roman" w:hAnsi="Times New Roman" w:eastAsia="Songti SC"/>
          <w:color w:val="000000"/>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。NULL表示不选择，同一跨度至多一个类型。组件兼容按语料协议逐对判定；语义身份取决于规范跨度和类型，显示ID不进入评分。完整键与坐标映射见附录A.6。</w:t>
      </w:r>
    </w:p>
    <w:p>
      <w:pPr>
        <w:pStyle w:val="Heading3"/>
      </w:pPr>
      <w:r>
        <w:t>4.2.4 完整关系候选与无边状态</w:t>
      </w:r>
      <w:bookmarkStart w:id="70" w:name="v14_70"/>
      <w:bookmarkEnd w:id="70"/>
    </w:p>
    <w:p>
      <w:r>
        <w:rPr>
          <w:rFonts w:ascii="Times New Roman" w:hAnsi="Times New Roman" w:eastAsia="Songti SC"/>
          <w:color w:val="000000"/>
        </w:rPr>
        <w:t>关系候选池</w:t>
      </w:r>
      <m:oMath>
        <m:r>
          <m:t xml:space="preserve">P</m:t>
        </m:r>
      </m:oMath>
      <w:r>
        <w:rPr>
          <w:rFonts w:ascii="Times New Roman" w:hAnsi="Times New Roman" w:eastAsia="Songti SC"/>
          <w:color w:val="000000"/>
        </w:rPr>
        <w:t>以完整端点槽位为单位构建。AAEC枚举可共存组件的有向对；CDCP枚举可共存、最多三个源成员的有序源集合与目标。除端点互斥等必然冲突外，不按整个候选宇宙中间是否存在其他跨度预删源组合，因为中间跨度可能最终不被选中。初始图与成功解析候选图的合法完整关系槽位受保护，已有长超边完整保留；补充槽位的元数上限仅约束新增组合。</w:t>
      </w:r>
    </w:p>
    <w:p>
      <w:r>
        <w:rPr>
          <w:rFonts w:ascii="Times New Roman" w:hAnsi="Times New Roman" w:eastAsia="Songti SC"/>
          <w:color w:val="000000"/>
        </w:rPr>
        <w:t>一个槽位包含协议允许的全部关系标签，原生超边的完整源集合只算一个端点组合。槽位优先分为固定对象评分的标签最大值；按该分数降序及规范化槽位键升序保留前</w:t>
      </w:r>
      <m:oMath>
        <m:sSub>
          <m:e>
            <m:r>
              <m:t xml:space="preserve">N</m:t>
            </m:r>
          </m:e>
          <m:sub>
            <m:r>
              <m:t xml:space="preserve">s</m:t>
            </m:r>
            <m:r>
              <m:t xml:space="preserve">l</m:t>
            </m:r>
            <m:r>
              <m:t xml:space="preserve">o</m:t>
            </m:r>
            <m:r>
              <m:t xml:space="preserve">t</m:t>
            </m:r>
          </m:sub>
        </m:sSub>
      </m:oMath>
      <w:r>
        <w:rPr>
          <w:rFonts w:ascii="Times New Roman" w:hAnsi="Times New Roman" w:eastAsia="Songti SC"/>
          <w:color w:val="000000"/>
        </w:rPr>
        <w:t>个补充槽位，全部标签一起保留，NONE由不选正关系表示。用于排序的对象分在裁剪前按固定评分器求出，评分成本计入总成本；超出评分资源的预检上限则返回明确失败，不靠测试金标截断候选。</w:t>
      </w:r>
    </w:p>
    <w:p>
      <w:r>
        <w:rPr>
          <w:rFonts w:ascii="Times New Roman" w:hAnsi="Times New Roman" w:eastAsia="Songti SC"/>
          <w:color w:val="000000"/>
        </w:rPr>
        <w:t>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Heading3"/>
      </w:pPr>
      <w:r>
        <w:t>4.2.5 裁剪前规模与资源预检</w:t>
      </w:r>
      <w:bookmarkStart w:id="71" w:name="v14_71"/>
      <w:bookmarkEnd w:id="71"/>
    </w:p>
    <w:p>
      <w:r>
        <w:rPr>
          <w:rFonts w:ascii="Times New Roman" w:hAnsi="Times New Roman" w:eastAsia="Songti SC"/>
          <w:color w:val="000000"/>
        </w:rPr>
        <w:t>保留4096个补充槽位，只约束最终进入搜索的数量。设候选宇宙含</w:t>
      </w:r>
      <m:oMath>
        <m:r>
          <m:t xml:space="preserve">m</m:t>
        </m:r>
      </m:oMath>
      <w:r>
        <w:rPr>
          <w:rFonts w:ascii="Times New Roman" w:hAnsi="Times New Roman" w:eastAsia="Songti SC"/>
          <w:color w:val="000000"/>
        </w:rPr>
        <w:t>个可区分跨度、每跨度至多</w:t>
      </w:r>
      <m:oMath>
        <m:r>
          <m:t xml:space="preserve">q</m:t>
        </m:r>
      </m:oMath>
      <w:r>
        <w:rPr>
          <w:rFonts w:ascii="Times New Roman" w:hAnsi="Times New Roman" w:eastAsia="Songti SC"/>
          <w:color w:val="000000"/>
        </w:rPr>
        <w:t>类，在忽略冲突和标签掩码的宽松计数下，AAEC有至多</w:t>
      </w:r>
      <m:oMath>
        <m:r>
          <m:t xml:space="preserve">m</m:t>
        </m:r>
        <m:r>
          <m:t xml:space="preserve">(</m:t>
        </m:r>
        <m:r>
          <m:t xml:space="preserve">m</m:t>
        </m:r>
        <m:r>
          <m:t xml:space="preserve">-</m:t>
        </m:r>
        <m:r>
          <m:t xml:space="preserve">1</m:t>
        </m:r>
        <m:r>
          <m:t xml:space="preserve">)</m:t>
        </m:r>
        <m:sSup>
          <m:e>
            <m:r>
              <m:t xml:space="preserve">q</m:t>
            </m:r>
          </m:e>
          <m:sup>
            <m:r>
              <m:t xml:space="preserve">2</m:t>
            </m:r>
          </m:sup>
        </m:sSup>
      </m:oMath>
      <w:r>
        <w:rPr>
          <w:rFonts w:ascii="Times New Roman" w:hAnsi="Times New Roman" w:eastAsia="Songti SC"/>
          <w:color w:val="000000"/>
        </w:rPr>
        <w:t>个带类型端点槽位；CDCP新增源成员数不超过3时，枚举规模可达</w:t>
      </w:r>
      <m:oMath>
        <m:sSubSup>
          <m:e>
            <m:r>
              <m:t xml:space="preserve">∑</m:t>
            </m:r>
          </m:e>
          <m:sub>
            <m:r>
              <m:t xml:space="preserve">k</m:t>
            </m:r>
            <m:r>
              <m:t xml:space="preserve">=</m:t>
            </m:r>
            <m:r>
              <m:t xml:space="preserve">1</m:t>
            </m:r>
          </m:sub>
          <m:sup>
            <m:r>
              <m:t xml:space="preserve">3</m:t>
            </m:r>
          </m:sup>
        </m:sSubSup>
        <m:r>
          <m:t xml:space="preserve">C</m:t>
        </m:r>
        <m:r>
          <m:t xml:space="preserve">(</m:t>
        </m:r>
        <m:r>
          <m:t xml:space="preserve">m</m:t>
        </m:r>
        <m:r>
          <m:t xml:space="preserve">,</m:t>
        </m:r>
        <m:r>
          <m:t xml:space="preserve">k</m:t>
        </m:r>
        <m:r>
          <m:t xml:space="preserve">)</m:t>
        </m:r>
        <m:r>
          <m:t xml:space="preserve">(</m:t>
        </m:r>
        <m:r>
          <m:t xml:space="preserve">m</m:t>
        </m:r>
        <m:r>
          <m:t xml:space="preserve">-</m:t>
        </m:r>
        <m:r>
          <m:t xml:space="preserve">k</m:t>
        </m:r>
        <m:r>
          <m:t xml:space="preserve">)</m:t>
        </m:r>
        <m:sSup>
          <m:e>
            <m:r>
              <m:t xml:space="preserve">q</m:t>
            </m:r>
          </m:e>
          <m:sup>
            <m:r>
              <m:t xml:space="preserve">k</m:t>
            </m:r>
            <m:r>
              <m:t xml:space="preserve">+</m:t>
            </m:r>
            <m:r>
              <m:t xml:space="preserve">1</m:t>
            </m:r>
          </m:sup>
        </m:sSup>
      </m:oMath>
      <w:r>
        <w:rPr>
          <w:rFonts w:ascii="Times New Roman" w:hAnsi="Times New Roman" w:eastAsia="Songti SC"/>
          <w:color w:val="000000"/>
        </w:rPr>
        <w:t>。其中</w:t>
      </w:r>
      <m:oMath>
        <m:r>
          <m:t xml:space="preserve">C</m:t>
        </m:r>
        <m:r>
          <m:t xml:space="preserve">(</m:t>
        </m:r>
        <m:r>
          <m:t xml:space="preserve">m</m:t>
        </m:r>
        <m:r>
          <m:t xml:space="preserve">,</m:t>
        </m:r>
        <m:r>
          <m:t xml:space="preserve">k</m:t>
        </m:r>
        <m:r>
          <m:t xml:space="preserve">)</m:t>
        </m:r>
      </m:oMath>
      <w:r>
        <w:rPr>
          <w:rFonts w:ascii="Times New Roman" w:hAnsi="Times New Roman" w:eastAsia="Songti SC"/>
          <w:color w:val="000000"/>
        </w:rPr>
        <w:t>为组合数。实际合法性会减少数量，受保护长超边则另行加入。该计数说明候选补充的组合增长发生在裁剪之前，并不等于实测内存或运行时间。</w:t>
      </w:r>
    </w:p>
    <w:p>
      <w:r>
        <w:rPr>
          <w:rFonts w:ascii="Times New Roman" w:hAnsi="Times New Roman" w:eastAsia="Songti SC"/>
          <w:color w:val="000000"/>
        </w:rPr>
        <w:t>资源限制须作用于裁剪前枚举和完整评分，阈值只由训练侧资源探测确定。超限作为构造失败保留，已耗时间及金标仍进入成本和评价；保护部分超限时不能靠删除初始正确对象满足限制。当前材料尚不能量化预检拒绝比例及恢复空间损失，计量字段见附录H.3。</w:t>
      </w:r>
    </w:p>
    <w:p>
      <w:r>
        <w:rPr>
          <w:rFonts w:ascii="Times New Roman" w:hAnsi="Times New Roman" w:eastAsia="Songti SC"/>
          <w:color w:val="000000"/>
        </w:rPr>
        <w:t>当前保持既定候选策略，以实际规模测量决定是否需要改变它。若裁剪前枚举不可承受，再比较预筛选或受限生成，并重新测量覆盖及完整关系遗漏；所有局部／全局对照都使用改变后同一候选快照。资源字段及失败分母见附录H.3。</w:t>
      </w:r>
    </w:p>
    <w:p>
      <w:pPr>
        <w:pStyle w:val="Heading2"/>
      </w:pPr>
      <w:r>
        <w:t>4.3 组件集合替换与受影响关系重建</w:t>
      </w:r>
      <w:bookmarkStart w:id="72" w:name="v14_72"/>
      <w:bookmarkEnd w:id="72"/>
    </w:p>
    <w:p>
      <w:r>
        <w:rPr>
          <w:rFonts w:ascii="Times New Roman" w:hAnsi="Times New Roman" w:eastAsia="Songti SC"/>
          <w:color w:val="000000"/>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pPr>
      <w:r>
        <w:t>4.3.1 冲突闭合的集合替换</w:t>
      </w:r>
      <w:bookmarkStart w:id="73" w:name="v14_73"/>
      <w:bookmarkEnd w:id="73"/>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。本章的</w:t>
      </w:r>
      <m:oMath>
        <m:sSub>
          <m:e>
            <m:r>
              <m:t xml:space="preserve">D</m:t>
            </m:r>
          </m:e>
          <m:sub>
            <m:r>
              <m:t xml:space="preserve">0</m:t>
            </m:r>
          </m:sub>
        </m:sSub>
      </m:oMath>
      <w:r>
        <w:rPr>
          <w:rFonts w:ascii="Times New Roman" w:hAnsi="Times New Roman" w:eastAsia="Songti SC"/>
          <w:color w:val="000000"/>
        </w:rPr>
        <w:t>和</w:t>
      </w:r>
      <m:oMath>
        <m:r>
          <m:t xml:space="preserve">D</m:t>
        </m:r>
      </m:oMath>
      <w:r>
        <w:rPr>
          <w:rFonts w:ascii="Times New Roman" w:hAnsi="Times New Roman" w:eastAsia="Songti SC"/>
          <w:color w:val="000000"/>
        </w:rPr>
        <w:t>均为待删除组件的集合，输入文档始终记为</w:t>
      </w:r>
      <m:oMath>
        <m:r>
          <m:t xml:space="preserve">x</m:t>
        </m:r>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(4-4)</w:t>
            </w:r>
          </w:p>
        </w:tc>
      </w:tr>
    </w:tbl>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，在冲突闭合后检查，而非只按最初指定的集合计数。更大邻域作为预算敏感性设置单独评价。</w:t>
      </w:r>
    </w:p>
    <w:p>
      <w:pPr>
        <w:pStyle w:val="Heading3"/>
      </w:pPr>
      <w:r>
        <w:t>4.3.2 全部受影响关系与纯关系事务</w:t>
      </w:r>
      <w:bookmarkStart w:id="74" w:name="v14_74"/>
      <w:bookmarkEnd w:id="74"/>
    </w:p>
    <w:p>
      <w:r>
        <w:rPr>
          <w:rFonts w:ascii="Times New Roman" w:hAnsi="Times New Roman" w:eastAsia="Songti SC"/>
          <w:color w:val="000000"/>
        </w:rPr>
        <w:t>“依赖闭合”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令变化对象集合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包含删除的旧组件与加入的新组件，不同于第三章允许改写文字的组件集合。</w:t>
      </w:r>
      <m:oMath>
        <m:sSub>
          <m:e>
            <m:r>
              <m:t xml:space="preserve">P</m:t>
            </m:r>
          </m:e>
          <m:sub>
            <m:r>
              <m:t xml:space="preserve">A</m:t>
            </m:r>
          </m:sub>
        </m:sSub>
      </m:oMath>
      <w:r>
        <w:rPr>
          <w:rFonts w:ascii="Times New Roman" w:hAnsi="Times New Roman" w:eastAsia="Songti SC"/>
          <w:color w:val="000000"/>
        </w:rPr>
        <w:t xml:space="preserve"> 包含候选池 </w:t>
      </w:r>
      <m:oMath>
        <m:r>
          <m:t xml:space="preserve">P</m:t>
        </m:r>
      </m:oMath>
      <w:r>
        <w:rPr>
          <w:rFonts w:ascii="Times New Roman" w:hAnsi="Times New Roman" w:eastAsia="Songti SC"/>
          <w:color w:val="000000"/>
        </w:rPr>
        <w:t xml:space="preserve"> 中接触变化对象集合 </w:t>
      </w:r>
      <m:oMath>
        <m:r>
          <m:t xml:space="preserve">A</m:t>
        </m:r>
      </m:oMath>
      <w:r>
        <w:rPr>
          <w:rFonts w:ascii="Times New Roman" w:hAnsi="Times New Roman" w:eastAsia="Songti SC"/>
          <w:color w:val="000000"/>
        </w:rPr>
        <w:t xml:space="preserve"> 任一对象的全部关系，同时覆盖入边、出边、原有正关系和原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(4-5)</w:t>
            </w:r>
          </w:p>
        </w:tc>
      </w:tr>
    </w:tbl>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时，其全部合法标签候选一同进入；二元反向修改遵循4.2.4节的双槽位条件；任一方向缺失或当前非法时不进入反向队列，不能仅重选已有方向后称为反向。</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。事务外关系保持固定，但全局约束在整图上检查。本版固定采用最小合法化扩域：将组件变化后失效的已选事务外关系所在完整槽位加入</w:t>
      </w:r>
      <m:oMath>
        <m:sSub>
          <m:e>
            <m:r>
              <m:t xml:space="preserve">S</m:t>
            </m:r>
          </m:e>
          <m:sub>
            <m:r>
              <m:t xml:space="preserve">R</m:t>
            </m:r>
          </m:sub>
        </m:sSub>
      </m:oMath>
      <w:r>
        <w:rPr>
          <w:rFonts w:ascii="Times New Roman" w:hAnsi="Times New Roman" w:eastAsia="Songti SC"/>
          <w:color w:val="000000"/>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r>
        <w:rPr>
          <w:rFonts w:ascii="Times New Roman" w:hAnsi="Times New Roman" w:eastAsia="Songti SC"/>
          <w:color w:val="000000"/>
        </w:rPr>
        <w:t>CDCP的源连续性还依赖哪些中间组件被选中，因此需要区分“旧关系失效”和“未选槽位变得合法”。例如，当前组件按位置排列为</w:t>
      </w:r>
      <m:oMath>
        <m:r>
          <m:t xml:space="preserve">a</m:t>
        </m:r>
        <m:r>
          <m:t xml:space="preserve">,</m:t>
        </m:r>
        <m:r>
          <m:t xml:space="preserve">b</m:t>
        </m:r>
        <m:r>
          <m:t xml:space="preserve">,</m:t>
        </m:r>
        <m:r>
          <m:t xml:space="preserve">c</m:t>
        </m:r>
        <m:r>
          <m:t xml:space="preserve">,</m:t>
        </m:r>
        <m:r>
          <m:t xml:space="preserve">t</m:t>
        </m:r>
      </m:oMath>
      <w:r>
        <w:rPr>
          <w:rFonts w:ascii="Times New Roman" w:hAnsi="Times New Roman" w:eastAsia="Songti SC"/>
          <w:color w:val="000000"/>
        </w:rPr>
        <w:t>，固定候选池已包含</w:t>
      </w:r>
      <m:oMath>
        <m:r>
          <m:t xml:space="preserve">h</m:t>
        </m:r>
        <m:r>
          <m:t xml:space="preserve">=</m:t>
        </m:r>
        <m:r>
          <m:t xml:space="preserve">(</m:t>
        </m:r>
        <m:r>
          <m:rPr>
            <m:sty m:val="p"/>
          </m:rPr>
          <m:t xml:space="preserve">{</m:t>
        </m:r>
        <m:r>
          <m:t xml:space="preserve">a</m:t>
        </m:r>
        <m:r>
          <m:t xml:space="preserve">,</m:t>
        </m:r>
        <m:r>
          <m:t xml:space="preserve">c</m:t>
        </m:r>
        <m:r>
          <m:rPr>
            <m:sty m:val="p"/>
          </m:rPr>
          <m:t xml:space="preserve">}</m:t>
        </m:r>
        <m:r>
          <m:t xml:space="preserve">,</m:t>
        </m:r>
        <m:r>
          <m:t xml:space="preserve">t</m:t>
        </m:r>
        <m:r>
          <m:t xml:space="preserve">,</m:t>
        </m:r>
        <m:r>
          <m:rPr>
            <m:sty m:val="p"/>
          </m:rPr>
          <m:t xml:space="preserve">Reason</m:t>
        </m:r>
        <m:r>
          <m:t xml:space="preserve">)</m:t>
        </m:r>
      </m:oMath>
      <w:r>
        <w:rPr>
          <w:rFonts w:ascii="Times New Roman" w:hAnsi="Times New Roman" w:eastAsia="Songti SC"/>
          <w:color w:val="000000"/>
        </w:rPr>
        <w:t>。由于</w:t>
      </w:r>
      <m:oMath>
        <m:r>
          <m:t xml:space="preserve">b</m:t>
        </m:r>
      </m:oMath>
      <w:r>
        <w:rPr>
          <w:rFonts w:ascii="Times New Roman" w:hAnsi="Times New Roman" w:eastAsia="Songti SC"/>
          <w:color w:val="000000"/>
        </w:rPr>
        <w:t>位于两个源成员之间，</w:t>
      </w:r>
      <m:oMath>
        <m:r>
          <m:t xml:space="preserve">h</m:t>
        </m:r>
      </m:oMath>
      <w:r>
        <w:rPr>
          <w:rFonts w:ascii="Times New Roman" w:hAnsi="Times New Roman" w:eastAsia="Songti SC"/>
          <w:color w:val="000000"/>
        </w:rPr>
        <w:t>当前非法且未被选中。若删除</w:t>
      </w:r>
      <m:oMath>
        <m:r>
          <m:t xml:space="preserve">b</m:t>
        </m:r>
      </m:oMath>
      <w:r>
        <w:rPr>
          <w:rFonts w:ascii="Times New Roman" w:hAnsi="Times New Roman" w:eastAsia="Songti SC"/>
          <w:color w:val="000000"/>
        </w:rPr>
        <w:t>的事务获准提交，</w:t>
      </w:r>
      <m:oMath>
        <m:r>
          <m:t xml:space="preserve">h</m:t>
        </m:r>
      </m:oMath>
      <w:r>
        <w:rPr>
          <w:rFonts w:ascii="Times New Roman" w:hAnsi="Times New Roman" w:eastAsia="Songti SC"/>
          <w:color w:val="000000"/>
        </w:rPr>
        <w:t>便满足源连续性，但其端点</w:t>
      </w:r>
      <m:oMath>
        <m:r>
          <m:t xml:space="preserve">a</m:t>
        </m:r>
        <m:r>
          <m:t xml:space="preserve">,</m:t>
        </m:r>
        <m:r>
          <m:t xml:space="preserve">c</m:t>
        </m:r>
        <m:r>
          <m:t xml:space="preserve">,</m:t>
        </m:r>
        <m:r>
          <m:t xml:space="preserve">t</m:t>
        </m:r>
      </m:oMath>
      <w:r>
        <w:rPr>
          <w:rFonts w:ascii="Times New Roman" w:hAnsi="Times New Roman" w:eastAsia="Songti SC"/>
          <w:color w:val="000000"/>
        </w:rPr>
        <w:t>均未变化，故</w:t>
      </w:r>
      <m:oMath>
        <m:r>
          <m:t xml:space="preserve">h</m:t>
        </m:r>
      </m:oMath>
      <w:r>
        <w:rPr>
          <w:rFonts w:ascii="Times New Roman" w:hAnsi="Times New Roman" w:eastAsia="Songti SC"/>
          <w:color w:val="000000"/>
        </w:rPr>
        <w:t>不属于该事务的</w:t>
      </w:r>
      <m:oMath>
        <m:sSub>
          <m:e>
            <m:r>
              <m:t xml:space="preserve">P</m:t>
            </m:r>
          </m:e>
          <m:sub>
            <m:r>
              <m:t xml:space="preserve">A</m:t>
            </m:r>
          </m:sub>
        </m:sSub>
      </m:oMath>
      <w:r>
        <w:rPr>
          <w:rFonts w:ascii="Times New Roman" w:hAnsi="Times New Roman" w:eastAsia="Songti SC"/>
          <w:color w:val="000000"/>
        </w:rPr>
        <w:t>；若该事务的</w:t>
      </w:r>
      <m:oMath>
        <m:sSub>
          <m:e>
            <m:r>
              <m:t xml:space="preserve">S</m:t>
            </m:r>
          </m:e>
          <m:sub>
            <m:r>
              <m:t xml:space="preserve">R</m:t>
            </m:r>
          </m:sub>
        </m:sSub>
      </m:oMath>
      <w:r>
        <w:rPr>
          <w:rFonts w:ascii="Times New Roman" w:hAnsi="Times New Roman" w:eastAsia="Songti SC"/>
          <w:color w:val="000000"/>
        </w:rPr>
        <w:t>也未包含它，</w:t>
      </w:r>
      <m:oMath>
        <m:r>
          <m:t xml:space="preserve">h</m:t>
        </m:r>
      </m:oMath>
      <w:r>
        <w:rPr>
          <w:rFonts w:ascii="Times New Roman" w:hAnsi="Times New Roman" w:eastAsia="Songti SC"/>
          <w:color w:val="000000"/>
        </w:rPr>
        <w:t>仍保持未选状态。为保留整图合法性而扩域，并不自动触发对这类新合法槽位的枚举。</w:t>
      </w:r>
    </w:p>
    <w:p>
      <w:r>
        <w:rPr>
          <w:rFonts w:ascii="Times New Roman" w:hAnsi="Times New Roman" w:eastAsia="Songti SC"/>
          <w:color w:val="000000"/>
        </w:rPr>
        <w:t>在上述新状态中，若保持</w:t>
      </w:r>
      <m:oMath>
        <m:r>
          <m:t xml:space="preserve">h</m:t>
        </m:r>
      </m:oMath>
      <w:r>
        <w:rPr>
          <w:rFonts w:ascii="Times New Roman" w:hAnsi="Times New Roman" w:eastAsia="Songti SC"/>
          <w:color w:val="000000"/>
        </w:rPr>
        <w:t>的端点不变，后续提议仍需将</w:t>
      </w:r>
      <m:oMath>
        <m:r>
          <m:t xml:space="preserve">h</m:t>
        </m:r>
      </m:oMath>
      <w:r>
        <w:rPr>
          <w:rFonts w:ascii="Times New Roman" w:hAnsi="Times New Roman" w:eastAsia="Songti SC"/>
          <w:color w:val="000000"/>
        </w:rPr>
        <w:t>所在槽位纳入</w:t>
      </w:r>
      <m:oMath>
        <m:sSub>
          <m:e>
            <m:r>
              <m:t xml:space="preserve">S</m:t>
            </m:r>
          </m:e>
          <m:sub>
            <m:r>
              <m:t xml:space="preserve">R</m:t>
            </m:r>
          </m:sub>
        </m:sSub>
      </m:oMath>
      <w:r>
        <w:rPr>
          <w:rFonts w:ascii="Times New Roman" w:hAnsi="Times New Roman" w:eastAsia="Songti SC"/>
          <w:color w:val="000000"/>
        </w:rPr>
        <w:t>，实际进入并执行于队列，且通过合法性、效用门与剩余预算检查，才可能恢复</w:t>
      </w:r>
      <m:oMath>
        <m:r>
          <m:t xml:space="preserve">h</m:t>
        </m:r>
      </m:oMath>
      <w:r>
        <w:rPr>
          <w:rFonts w:ascii="Times New Roman" w:hAnsi="Times New Roman" w:eastAsia="Songti SC"/>
          <w:color w:val="000000"/>
        </w:rPr>
        <w:t>。若删除</w:t>
      </w:r>
      <m:oMath>
        <m:r>
          <m:t xml:space="preserve">b</m:t>
        </m:r>
      </m:oMath>
      <w:r>
        <w:rPr>
          <w:rFonts w:ascii="Times New Roman" w:hAnsi="Times New Roman" w:eastAsia="Songti SC"/>
          <w:color w:val="000000"/>
        </w:rPr>
        <w:t>未被接受、候选池不含</w:t>
      </w:r>
      <m:oMath>
        <m:r>
          <m:t xml:space="preserve">h</m:t>
        </m:r>
      </m:oMath>
      <w:r>
        <w:rPr>
          <w:rFonts w:ascii="Times New Roman" w:hAnsi="Times New Roman" w:eastAsia="Songti SC"/>
          <w:color w:val="000000"/>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4.4.4的分项门拒绝整个方案。若两个分项均不下降、总增益达到严格门限且满足约束与预算，则整体接受。这个例子说明联合评价如何处理关系代价，不声称自动评分等于真实正确性。</w:t>
      </w:r>
    </w:p>
    <w:p>
      <w:pPr>
        <w:pStyle w:val="Heading2"/>
      </w:pPr>
      <w:r>
        <w:t>4.4 对象评分与事务接受</w:t>
      </w:r>
      <w:bookmarkStart w:id="75" w:name="v14_75"/>
      <w:bookmarkEnd w:id="75"/>
    </w:p>
    <w:p>
      <w:r>
        <w:rPr>
          <w:rFonts w:ascii="Times New Roman" w:hAnsi="Times New Roman" w:eastAsia="Songti SC"/>
          <w:color w:val="000000"/>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pPr>
      <w:r>
        <w:t>4.4.1 固定文本证据评分器</w:t>
      </w:r>
      <w:bookmarkStart w:id="76" w:name="v14_76"/>
      <w:bookmarkEnd w:id="76"/>
    </w:p>
    <w:p>
      <w:pPr>
        <w:keepNext/>
      </w:pPr>
      <w:r>
        <w:rPr>
          <w:rFonts w:ascii="Times New Roman" w:hAnsi="Times New Roman" w:eastAsia="Songti SC"/>
          <w:color w:val="000000"/>
        </w:rPr>
        <w:t>评分器分别估计组件与关系完整对象精确正确的概率：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(4-6)</w:t>
            </w:r>
          </w:p>
        </w:tc>
      </w:tr>
    </w:tbl>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评分器采用固定文本编码、跨度MLP与有向端点组合MLP，参数不与生成器共享。它与第三章训练辅助头的区别在于监督对象：推理评分器学习真实候选中完整对象的正确性，训练辅助头学习原文与增强文的配对因素。参数分离的解释边界见2.4节。</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4.4.2 训练外候选与概率校准</w:t>
      </w:r>
      <w:bookmarkStart w:id="77" w:name="v14_77"/>
      <w:bookmarkEnd w:id="77"/>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2.6.1的拟合、校准和策略用途，不将校准或策略标签合并回评分器拟合池。</w:t>
      </w:r>
    </w:p>
    <w:p>
      <w:r>
        <w:rPr>
          <w:rFonts w:ascii="Times New Roman" w:hAnsi="Times New Roman" w:eastAsia="Songti SC"/>
          <w:color w:val="000000"/>
        </w:rPr>
        <w:t>初始配置采用训练内三折OOF，折划分与开发集用途按2.6节记录。OOF生成器的训练规模小于最终生成器，候选分布可能发生变化。概率变换仅拟合OOF校准记录，不使用已被最终生成器拟合过的文档来冒充独立校准样本。冻结后在独立评价集检查评分偏差，不据其标签重新调参。候选校准不直接保证搜索后动作可靠，4.6.4和4.6.5节进一步分析评分及误改。</w:t>
      </w:r>
    </w:p>
    <w:p>
      <w:pPr>
        <w:pStyle w:val="Heading3"/>
      </w:pPr>
      <w:r>
        <w:t>4.4.3 固定计数效用</w:t>
      </w:r>
      <w:bookmarkStart w:id="78" w:name="v14_78"/>
      <w:bookmarkEnd w:id="78"/>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(4-7)</w:t>
            </w:r>
          </w:p>
        </w:tc>
      </w:tr>
    </w:tbl>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(4-8)</w:t>
            </w:r>
          </w:p>
        </w:tc>
      </w:tr>
    </w:tbl>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4.4.4 分项接受门与编辑成本</w:t>
      </w:r>
      <w:bookmarkStart w:id="79" w:name="v14_79"/>
      <w:bookmarkEnd w:id="79"/>
    </w:p>
    <w:p>
      <w:r>
        <w:rPr>
          <w:rFonts w:ascii="Times New Roman" w:hAnsi="Times New Roman" w:eastAsia="Songti SC"/>
          <w:color w:val="000000"/>
        </w:rPr>
        <w:t>候选事务必须满足完整图合法、剩余预算允许以及</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(4-9)</w:t>
            </w:r>
          </w:p>
        </w:tc>
      </w:tr>
    </w:tbl>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3"/>
      </w:pPr>
      <w:r>
        <w:t>4.4.5 联合修正的教学算例</w:t>
      </w:r>
      <w:bookmarkStart w:id="80" w:name="v14_80"/>
      <w:bookmarkEnd w:id="80"/>
    </w:p>
    <w:p>
      <w:r>
        <w:rPr>
          <w:rFonts w:ascii="Times New Roman" w:hAnsi="Times New Roman" w:eastAsia="Songti SC"/>
          <w:color w:val="000000"/>
        </w:rPr>
        <w:t>以下用人工设定的二元图与分数说明一次完整决策，不对应AAEC或CDCP的观测样本，也不用于评价方法效果。设当前预测图含三个组件：</w:t>
      </w:r>
      <m:oMath>
        <m:sSub>
          <m:e>
            <m:r>
              <m:t xml:space="preserve">c</m:t>
            </m:r>
          </m:e>
          <m:sub>
            <m:r>
              <m:t xml:space="preserve">1</m:t>
            </m:r>
          </m:sub>
        </m:sSub>
      </m:oMath>
      <w:r>
        <w:rPr>
          <w:rFonts w:ascii="Times New Roman" w:hAnsi="Times New Roman" w:eastAsia="Songti SC"/>
          <w:color w:val="000000"/>
        </w:rPr>
        <w:t>为Claim，</w:t>
      </w:r>
      <m:oMath>
        <m:sSubSup>
          <m:e>
            <m:r>
              <m:t xml:space="preserve">c</m:t>
            </m:r>
          </m:e>
          <m:sub>
            <m:r>
              <m:t xml:space="preserve">2</m:t>
            </m:r>
          </m:sub>
          <m:sup>
            <m:r>
              <m:t xml:space="preserve">o</m:t>
            </m:r>
          </m:sup>
        </m:sSubSup>
      </m:oMath>
      <w:r>
        <w:rPr>
          <w:rFonts w:ascii="Times New Roman" w:hAnsi="Times New Roman" w:eastAsia="Songti SC"/>
          <w:color w:val="000000"/>
        </w:rPr>
        <w:t>和</w:t>
      </w:r>
      <m:oMath>
        <m:sSub>
          <m:e>
            <m:r>
              <m:t xml:space="preserve">c</m:t>
            </m:r>
          </m:e>
          <m:sub>
            <m:r>
              <m:t xml:space="preserve">3</m:t>
            </m:r>
          </m:sub>
        </m:sSub>
      </m:oMath>
      <w:r>
        <w:rPr>
          <w:rFonts w:ascii="Times New Roman" w:hAnsi="Times New Roman" w:eastAsia="Songti SC"/>
          <w:color w:val="000000"/>
        </w:rPr>
        <w:t>为Premise。当前图选中两条Support关系，分别为</w:t>
      </w:r>
      <m:oMath>
        <m:sSubSup>
          <m:e>
            <m:r>
              <m:t xml:space="preserve">r</m:t>
            </m:r>
          </m:e>
          <m:sub>
            <m:r>
              <m:t xml:space="preserve">1</m:t>
            </m:r>
          </m:sub>
          <m:sup>
            <m:r>
              <m:t xml:space="preserve">o</m:t>
            </m:r>
          </m:sup>
        </m:sSubSup>
        <m:r>
          <m:t xml:space="preserve">=</m:t>
        </m:r>
        <m:r>
          <m:t xml:space="preserve">(</m:t>
        </m:r>
        <m:sSubSup>
          <m:e>
            <m:r>
              <m:t xml:space="preserve">c</m:t>
            </m:r>
          </m:e>
          <m:sub>
            <m:r>
              <m:t xml:space="preserve">2</m:t>
            </m:r>
          </m:sub>
          <m:sup>
            <m:r>
              <m:t xml:space="preserve">o</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o</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o</m:t>
            </m:r>
          </m:sup>
        </m:sSubSup>
        <m:r>
          <m:t xml:space="preserve">,</m:t>
        </m:r>
        <m:r>
          <m:rPr>
            <m:sty m:val="p"/>
          </m:rPr>
          <m:t xml:space="preserve">Support</m:t>
        </m:r>
        <m:r>
          <m:t xml:space="preserve">)</m:t>
        </m:r>
      </m:oMath>
      <w:r>
        <w:rPr>
          <w:rFonts w:ascii="Times New Roman" w:hAnsi="Times New Roman" w:eastAsia="Songti SC"/>
          <w:color w:val="000000"/>
        </w:rPr>
        <w:t>。候选池另含</w:t>
      </w:r>
      <m:oMath>
        <m:sSubSup>
          <m:e>
            <m:r>
              <m:t xml:space="preserve">c</m:t>
            </m:r>
          </m:e>
          <m:sub>
            <m:r>
              <m:t xml:space="preserve">2</m:t>
            </m:r>
          </m:sub>
          <m:sup>
            <m:r>
              <m:t xml:space="preserve">a</m:t>
            </m:r>
          </m:sup>
        </m:sSubSup>
      </m:oMath>
      <w:r>
        <w:rPr>
          <w:rFonts w:ascii="Times New Roman" w:hAnsi="Times New Roman" w:eastAsia="Songti SC"/>
          <w:color w:val="000000"/>
        </w:rPr>
        <w:t>与</w:t>
      </w:r>
      <m:oMath>
        <m:sSubSup>
          <m:e>
            <m:r>
              <m:t xml:space="preserve">c</m:t>
            </m:r>
          </m:e>
          <m:sub>
            <m:r>
              <m:t xml:space="preserve">2</m:t>
            </m:r>
          </m:sub>
          <m:sup>
            <m:r>
              <m:t xml:space="preserve">b</m:t>
            </m:r>
          </m:sup>
        </m:sSubSup>
      </m:oMath>
      <w:r>
        <w:rPr>
          <w:rFonts w:ascii="Times New Roman" w:hAnsi="Times New Roman" w:eastAsia="Songti SC"/>
          <w:color w:val="000000"/>
        </w:rPr>
        <w:t>，二者均为</w:t>
      </w:r>
      <m:oMath>
        <m:sSubSup>
          <m:e>
            <m:r>
              <m:t xml:space="preserve">c</m:t>
            </m:r>
          </m:e>
          <m:sub>
            <m:r>
              <m:t xml:space="preserve">2</m:t>
            </m:r>
          </m:sub>
          <m:sup>
            <m:r>
              <m:t xml:space="preserve">o</m:t>
            </m:r>
          </m:sup>
        </m:sSubSup>
      </m:oMath>
      <w:r>
        <w:rPr>
          <w:rFonts w:ascii="Times New Roman" w:hAnsi="Times New Roman" w:eastAsia="Songti SC"/>
          <w:color w:val="000000"/>
        </w:rPr>
        <w:t>的不同边界版本，与</w:t>
      </w:r>
      <m:oMath>
        <m:sSubSup>
          <m:e>
            <m:r>
              <m:t xml:space="preserve">c</m:t>
            </m:r>
          </m:e>
          <m:sub>
            <m:r>
              <m:t xml:space="preserve">2</m:t>
            </m:r>
          </m:sub>
          <m:sup>
            <m:r>
              <m:t xml:space="preserve">o</m:t>
            </m:r>
          </m:sup>
        </m:sSubSup>
      </m:oMath>
      <w:r>
        <w:rPr>
          <w:rFonts w:ascii="Times New Roman" w:hAnsi="Times New Roman" w:eastAsia="Songti SC"/>
          <w:color w:val="000000"/>
        </w:rPr>
        <w:t>相冲突，但不与</w:t>
      </w:r>
      <m:oMath>
        <m:sSub>
          <m:e>
            <m:r>
              <m:t xml:space="preserve">c</m:t>
            </m:r>
          </m:e>
          <m:sub>
            <m:r>
              <m:t xml:space="preserve">1</m:t>
            </m:r>
          </m:sub>
        </m:sSub>
        <m:r>
          <m:t xml:space="preserve">,</m:t>
        </m:r>
        <m:sSub>
          <m:e>
            <m:r>
              <m:t xml:space="preserve">c</m:t>
            </m:r>
          </m:e>
          <m:sub>
            <m:r>
              <m:t xml:space="preserve">3</m:t>
            </m:r>
          </m:sub>
        </m:sSub>
      </m:oMath>
      <w:r>
        <w:rPr>
          <w:rFonts w:ascii="Times New Roman" w:hAnsi="Times New Roman" w:eastAsia="Songti SC"/>
          <w:color w:val="000000"/>
        </w:rPr>
        <w:t>重叠。三个版本两两不能同时选中；当前图没有其他关系接触</w:t>
      </w:r>
      <m:oMath>
        <m:sSubSup>
          <m:e>
            <m:r>
              <m:t xml:space="preserve">c</m:t>
            </m:r>
          </m:e>
          <m:sub>
            <m:r>
              <m:t xml:space="preserve">2</m:t>
            </m:r>
          </m:sub>
          <m:sup>
            <m:r>
              <m:t xml:space="preserve">o</m:t>
            </m:r>
          </m:sup>
        </m:sSubSup>
      </m:oMath>
      <w:r>
        <w:rPr>
          <w:rFonts w:ascii="Times New Roman" w:hAnsi="Times New Roman" w:eastAsia="Songti SC"/>
          <w:color w:val="000000"/>
        </w:rPr>
        <w:t>。</w:t>
      </w:r>
    </w:p>
    <w:p>
      <w:r>
        <w:rPr>
          <w:rFonts w:ascii="Times New Roman" w:hAnsi="Times New Roman" w:eastAsia="Songti SC"/>
          <w:color w:val="000000"/>
        </w:rPr>
        <w:t>（1）固定评分与预算。设</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κ</m:t>
            </m:r>
          </m:e>
          <m:sub>
            <m:r>
              <m:t xml:space="preserve">R</m:t>
            </m:r>
          </m:sub>
        </m:sSub>
        <m:r>
          <m:t xml:space="preserve">=</m:t>
        </m:r>
        <m:r>
          <m:t xml:space="preserve">0</m:t>
        </m:r>
        <m:r>
          <m:t xml:space="preserve">.</m:t>
        </m:r>
        <m:r>
          <m:t xml:space="preserve">2</m:t>
        </m:r>
      </m:oMath>
      <w:r>
        <w:rPr>
          <w:rFonts w:ascii="Times New Roman" w:hAnsi="Times New Roman" w:eastAsia="Songti SC"/>
          <w:color w:val="000000"/>
        </w:rPr>
        <w:t>、</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w:t>
      </w:r>
      <m:oMath>
        <m:r>
          <m:t xml:space="preserve">δ</m:t>
        </m:r>
        <m:r>
          <m:t xml:space="preserve">=</m:t>
        </m:r>
        <m:r>
          <m:t xml:space="preserve">0</m:t>
        </m:r>
        <m:r>
          <m:t xml:space="preserve">.</m:t>
        </m:r>
        <m:r>
          <m:t xml:space="preserve">0</m:t>
        </m:r>
        <m:r>
          <m:t xml:space="preserve">2</m:t>
        </m:r>
      </m:oMath>
      <w:r>
        <w:rPr>
          <w:rFonts w:ascii="Times New Roman" w:hAnsi="Times New Roman" w:eastAsia="Songti SC"/>
          <w:color w:val="000000"/>
        </w:rPr>
        <w:t>，剩余组件和关系编辑预算分别至少为2和4。三个边界版本的组件分数为</w:t>
      </w:r>
      <m:oMath>
        <m:sSub>
          <m:e>
            <m:r>
              <m:t xml:space="preserve">q</m:t>
            </m:r>
          </m:e>
          <m:sub>
            <m:r>
              <m:t xml:space="preserve">C</m:t>
            </m:r>
          </m:sub>
        </m:sSub>
        <m:r>
          <m:t xml:space="preserve">(</m:t>
        </m:r>
        <m:sSubSup>
          <m:e>
            <m:r>
              <m:t xml:space="preserve">c</m:t>
            </m:r>
          </m:e>
          <m:sub>
            <m:r>
              <m:t xml:space="preserve">2</m:t>
            </m:r>
          </m:sub>
          <m:sup>
            <m:r>
              <m:t xml:space="preserve">o</m:t>
            </m:r>
          </m:sup>
        </m:sSubSup>
        <m:r>
          <m:t xml:space="preserve">)</m:t>
        </m:r>
        <m:r>
          <m:t xml:space="preserve">=</m:t>
        </m:r>
        <m:r>
          <m:t xml:space="preserve">0</m:t>
        </m:r>
        <m:r>
          <m:t xml:space="preserve">.</m:t>
        </m:r>
        <m:r>
          <m:t xml:space="preserve">2</m:t>
        </m:r>
        <m:r>
          <m:t xml:space="preserve">0</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a</m:t>
            </m:r>
          </m:sup>
        </m:sSubSup>
        <m:r>
          <m:t xml:space="preserve">)</m:t>
        </m:r>
        <m:r>
          <m:t xml:space="preserve">=</m:t>
        </m:r>
        <m:r>
          <m:t xml:space="preserve">0</m:t>
        </m:r>
        <m:r>
          <m:t xml:space="preserve">.</m:t>
        </m:r>
        <m:r>
          <m:t xml:space="preserve">4</m:t>
        </m:r>
        <m:r>
          <m:t xml:space="preserve">5</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b</m:t>
            </m:r>
          </m:sup>
        </m:sSubSup>
        <m:r>
          <m:t xml:space="preserve">)</m:t>
        </m:r>
        <m:r>
          <m:t xml:space="preserve">=</m:t>
        </m:r>
        <m:r>
          <m:t xml:space="preserve">0</m:t>
        </m:r>
        <m:r>
          <m:t xml:space="preserve">.</m:t>
        </m:r>
        <m:r>
          <m:t xml:space="preserve">3</m:t>
        </m:r>
        <m:r>
          <m:t xml:space="preserve">5</m:t>
        </m:r>
      </m:oMath>
      <w:r>
        <w:rPr>
          <w:rFonts w:ascii="Times New Roman" w:hAnsi="Times New Roman" w:eastAsia="Songti SC"/>
          <w:color w:val="000000"/>
        </w:rPr>
        <w:t>；旧关系分数为</w:t>
      </w:r>
      <m:oMath>
        <m:sSub>
          <m:e>
            <m:r>
              <m:t xml:space="preserve">q</m:t>
            </m:r>
          </m:e>
          <m:sub>
            <m:r>
              <m:t xml:space="preserve">R</m:t>
            </m:r>
          </m:sub>
        </m:sSub>
        <m:r>
          <m:t xml:space="preserve">(</m:t>
        </m:r>
        <m:sSubSup>
          <m:e>
            <m:r>
              <m:t xml:space="preserve">r</m:t>
            </m:r>
          </m:e>
          <m:sub>
            <m:r>
              <m:t xml:space="preserve">1</m:t>
            </m:r>
          </m:sub>
          <m:sup>
            <m:r>
              <m:t xml:space="preserve">o</m:t>
            </m:r>
          </m:sup>
        </m:sSubSup>
        <m:r>
          <m:t xml:space="preserve">)</m:t>
        </m:r>
        <m:r>
          <m:t xml:space="preserve">=</m:t>
        </m:r>
        <m:r>
          <m:t xml:space="preserve">0</m:t>
        </m:r>
        <m:r>
          <m:t xml:space="preserve">.</m:t>
        </m:r>
        <m:r>
          <m:t xml:space="preserve">1</m:t>
        </m:r>
        <m:r>
          <m:t xml:space="preserve">8</m:t>
        </m:r>
      </m:oMath>
      <w:r>
        <w:rPr>
          <w:rFonts w:ascii="Times New Roman" w:hAnsi="Times New Roman" w:eastAsia="Songti SC"/>
          <w:color w:val="000000"/>
        </w:rPr>
        <w:t>、</w:t>
      </w:r>
      <m:oMath>
        <m:sSub>
          <m:e>
            <m:r>
              <m:t xml:space="preserve">q</m:t>
            </m:r>
          </m:e>
          <m:sub>
            <m:r>
              <m:t xml:space="preserve">R</m:t>
            </m:r>
          </m:sub>
        </m:sSub>
        <m:r>
          <m:t xml:space="preserve">(</m:t>
        </m:r>
        <m:sSubSup>
          <m:e>
            <m:r>
              <m:t xml:space="preserve">r</m:t>
            </m:r>
          </m:e>
          <m:sub>
            <m:r>
              <m:t xml:space="preserve">2</m:t>
            </m:r>
          </m:sub>
          <m:sup>
            <m:r>
              <m:t xml:space="preserve">o</m:t>
            </m:r>
          </m:sup>
        </m:sSubSup>
        <m:r>
          <m:t xml:space="preserve">)</m:t>
        </m:r>
        <m:r>
          <m:t xml:space="preserve">=</m:t>
        </m:r>
        <m:r>
          <m:t xml:space="preserve">0</m:t>
        </m:r>
        <m:r>
          <m:t xml:space="preserve">.</m:t>
        </m:r>
        <m:r>
          <m:t xml:space="preserve">1</m:t>
        </m:r>
        <m:r>
          <m:t xml:space="preserve">6</m:t>
        </m:r>
      </m:oMath>
      <w:r>
        <w:rPr>
          <w:rFonts w:ascii="Times New Roman" w:hAnsi="Times New Roman" w:eastAsia="Songti SC"/>
          <w:color w:val="000000"/>
        </w:rPr>
        <w:t>。因此，旧组件的效用贡献为</w:t>
      </w:r>
      <m:oMath>
        <m:r>
          <m:t xml:space="preserve">2</m:t>
        </m:r>
        <m:r>
          <m:t xml:space="preserve">×</m:t>
        </m:r>
        <m:r>
          <m:t xml:space="preserve">0</m:t>
        </m:r>
        <m:r>
          <m:t xml:space="preserve">.</m:t>
        </m:r>
        <m:r>
          <m:t xml:space="preserve">2</m:t>
        </m:r>
        <m:r>
          <m:t xml:space="preserve">0</m:t>
        </m:r>
        <m:r>
          <m:t xml:space="preserve">-</m:t>
        </m:r>
        <m:r>
          <m:t xml:space="preserve">0</m:t>
        </m:r>
        <m:r>
          <m:t xml:space="preserve">.</m:t>
        </m:r>
        <m:r>
          <m:t xml:space="preserve">4</m:t>
        </m:r>
        <m:r>
          <m:t xml:space="preserve">=</m:t>
        </m:r>
        <m:r>
          <m:t xml:space="preserve">0</m:t>
        </m:r>
      </m:oMath>
      <w:r>
        <w:rPr>
          <w:rFonts w:ascii="Times New Roman" w:hAnsi="Times New Roman" w:eastAsia="Songti SC"/>
          <w:color w:val="000000"/>
        </w:rPr>
        <w:t>，两条旧关系的合计贡献为</w:t>
      </w:r>
      <m:oMath>
        <m:r>
          <m:t xml:space="preserve">(</m:t>
        </m:r>
        <m:r>
          <m:t xml:space="preserve">2</m:t>
        </m:r>
        <m:r>
          <m:t xml:space="preserve">×</m:t>
        </m:r>
        <m:r>
          <m:t xml:space="preserve">0</m:t>
        </m:r>
        <m:r>
          <m:t xml:space="preserve">.</m:t>
        </m:r>
        <m:r>
          <m:t xml:space="preserve">1</m:t>
        </m:r>
        <m:r>
          <m:t xml:space="preserve">8</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1</m:t>
        </m:r>
        <m:r>
          <m:t xml:space="preserve">6</m:t>
        </m:r>
        <m:r>
          <m:t xml:space="preserve">-</m:t>
        </m:r>
        <m:r>
          <m:t xml:space="preserve">0</m:t>
        </m:r>
        <m:r>
          <m:t xml:space="preserve">.</m:t>
        </m:r>
        <m:r>
          <m:t xml:space="preserve">2</m:t>
        </m:r>
        <m:r>
          <m:t xml:space="preserve">)</m:t>
        </m:r>
        <m:r>
          <m:t xml:space="preserve">=</m:t>
        </m:r>
        <m:r>
          <m:t xml:space="preserve">0</m:t>
        </m:r>
        <m:r>
          <m:t xml:space="preserve">.</m:t>
        </m:r>
        <m:r>
          <m:t xml:space="preserve">2</m:t>
        </m:r>
        <m:r>
          <m:t xml:space="preserve">8</m:t>
        </m:r>
      </m:oMath>
      <w:r>
        <w:rPr>
          <w:rFonts w:ascii="Times New Roman" w:hAnsi="Times New Roman" w:eastAsia="Songti SC"/>
          <w:color w:val="000000"/>
        </w:rPr>
        <w:t>。未变化的组件和关系在求差时相消。</w:t>
      </w:r>
    </w:p>
    <w:p>
      <w:r>
        <w:rPr>
          <w:rFonts w:ascii="Times New Roman" w:hAnsi="Times New Roman" w:eastAsia="Songti SC"/>
          <w:color w:val="000000"/>
        </w:rPr>
        <w:t>（2）构造替换与闭合域。先考虑</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a</m:t>
            </m:r>
          </m:sup>
        </m:sSubSup>
        <m:r>
          <m:rPr>
            <m:sty m:val="p"/>
          </m:rPr>
          <m:t xml:space="preserve">}</m:t>
        </m:r>
      </m:oMath>
      <w:r>
        <w:rPr>
          <w:rFonts w:ascii="Times New Roman" w:hAnsi="Times New Roman" w:eastAsia="Songti SC"/>
          <w:color w:val="000000"/>
        </w:rPr>
        <w:t>，则</w:t>
      </w:r>
      <m:oMath>
        <m:r>
          <m:t xml:space="preserve">C</m:t>
        </m:r>
        <m:r>
          <m:t xml:space="preserve">′</m:t>
        </m:r>
        <m:r>
          <m:t xml:space="preserve">=</m:t>
        </m:r>
        <m:r>
          <m:rPr>
            <m:sty m:val="p"/>
          </m:rPr>
          <m:t xml:space="preserve">{</m:t>
        </m:r>
        <m:sSub>
          <m:e>
            <m:r>
              <m:t xml:space="preserve">c</m:t>
            </m:r>
          </m:e>
          <m:sub>
            <m:r>
              <m:t xml:space="preserve">1</m:t>
            </m:r>
          </m:sub>
        </m:sSub>
        <m:r>
          <m:t xml:space="preserve">,</m:t>
        </m:r>
        <m:sSubSup>
          <m:e>
            <m:r>
              <m:t xml:space="preserve">c</m:t>
            </m:r>
          </m:e>
          <m:sub>
            <m:r>
              <m:t xml:space="preserve">2</m:t>
            </m:r>
          </m:sub>
          <m:sup>
            <m:r>
              <m:t xml:space="preserve">a</m:t>
            </m:r>
          </m:sup>
        </m:sSubSup>
        <m:r>
          <m:t xml:space="preserve">,</m:t>
        </m:r>
        <m:sSub>
          <m:e>
            <m:r>
              <m:t xml:space="preserve">c</m:t>
            </m:r>
          </m:e>
          <m:sub>
            <m:r>
              <m:t xml:space="preserve">3</m:t>
            </m:r>
          </m:sub>
        </m:sSub>
        <m:r>
          <m:rPr>
            <m:sty m:val="p"/>
          </m:rPr>
          <m:t xml:space="preserve">}</m:t>
        </m:r>
      </m:oMath>
      <w:r>
        <w:rPr>
          <w:rFonts w:ascii="Times New Roman" w:hAnsi="Times New Roman" w:eastAsia="Songti SC"/>
          <w:color w:val="000000"/>
        </w:rPr>
        <w:t>，</w:t>
      </w:r>
      <m:oMath>
        <m:sSub>
          <m:e>
            <m:r>
              <m:t xml:space="preserve">d</m:t>
            </m:r>
          </m:e>
          <m:sub>
            <m:r>
              <m:t xml:space="preserve">C</m:t>
            </m:r>
          </m:sub>
        </m:sSub>
        <m:r>
          <m:t xml:space="preserve">=</m:t>
        </m:r>
        <m:r>
          <m:t xml:space="preserve">2</m:t>
        </m:r>
        <m:r>
          <m:t xml:space="preserve">≤</m:t>
        </m:r>
        <m:r>
          <m:t xml:space="preserve">3</m:t>
        </m:r>
      </m:oMath>
      <w:r>
        <w:rPr>
          <w:rFonts w:ascii="Times New Roman" w:hAnsi="Times New Roman" w:eastAsia="Songti SC"/>
          <w:color w:val="000000"/>
        </w:rPr>
        <w:t>。删除</w:t>
      </w:r>
      <m:oMath>
        <m:sSubSup>
          <m:e>
            <m:r>
              <m:t xml:space="preserve">c</m:t>
            </m:r>
          </m:e>
          <m:sub>
            <m:r>
              <m:t xml:space="preserve">2</m:t>
            </m:r>
          </m:sub>
          <m:sup>
            <m:r>
              <m:t xml:space="preserve">o</m:t>
            </m:r>
          </m:sup>
        </m:sSubSup>
      </m:oMath>
      <w:r>
        <w:rPr>
          <w:rFonts w:ascii="Times New Roman" w:hAnsi="Times New Roman" w:eastAsia="Songti SC"/>
          <w:color w:val="000000"/>
        </w:rPr>
        <w:t>后，</w:t>
      </w:r>
      <m:oMath>
        <m:sSubSup>
          <m:e>
            <m:r>
              <m:t xml:space="preserve">r</m:t>
            </m:r>
          </m:e>
          <m:sub>
            <m:r>
              <m:t xml:space="preserve">1</m:t>
            </m:r>
          </m:sub>
          <m:sup>
            <m:r>
              <m:t xml:space="preserve">o</m:t>
            </m:r>
          </m:sup>
        </m:sSubSup>
      </m:oMath>
      <w:r>
        <w:rPr>
          <w:rFonts w:ascii="Times New Roman" w:hAnsi="Times New Roman" w:eastAsia="Songti SC"/>
          <w:color w:val="000000"/>
        </w:rPr>
        <w:t>和</w:t>
      </w:r>
      <m:oMath>
        <m:sSubSup>
          <m:e>
            <m:r>
              <m:t xml:space="preserve">r</m:t>
            </m:r>
          </m:e>
          <m:sub>
            <m:r>
              <m:t xml:space="preserve">2</m:t>
            </m:r>
          </m:sub>
          <m:sup>
            <m:r>
              <m:t xml:space="preserve">o</m:t>
            </m:r>
          </m:sup>
        </m:sSubSup>
      </m:oMath>
      <w:r>
        <w:rPr>
          <w:rFonts w:ascii="Times New Roman" w:hAnsi="Times New Roman" w:eastAsia="Songti SC"/>
          <w:color w:val="000000"/>
        </w:rPr>
        <w:t>均失效，即使新的显示编号仍为“组件2”，也不能继承任何一条旧边。闭合域纳入这两条旧关系，以及新端点参与的全部候选槽位和合法标签，包括原来为NONE的组合；事务外对象保持不变。</w:t>
      </w:r>
    </w:p>
    <w:p>
      <w:r>
        <w:rPr>
          <w:rFonts w:ascii="Times New Roman" w:hAnsi="Times New Roman" w:eastAsia="Songti SC"/>
          <w:color w:val="000000"/>
        </w:rPr>
        <w:t>（3）补全并接受候选a。设</w:t>
      </w:r>
      <m:oMath>
        <m:sSubSup>
          <m:e>
            <m:r>
              <m:t xml:space="preserve">r</m:t>
            </m:r>
          </m:e>
          <m:sub>
            <m:r>
              <m:t xml:space="preserve">1</m:t>
            </m:r>
          </m:sub>
          <m:sup>
            <m:r>
              <m:t xml:space="preserve">a</m:t>
            </m:r>
          </m:sup>
        </m:sSubSup>
        <m:r>
          <m:t xml:space="preserve">=</m:t>
        </m:r>
        <m:r>
          <m:t xml:space="preserve">(</m:t>
        </m:r>
        <m:sSubSup>
          <m:e>
            <m:r>
              <m:t xml:space="preserve">c</m:t>
            </m:r>
          </m:e>
          <m:sub>
            <m:r>
              <m:t xml:space="preserve">2</m:t>
            </m:r>
          </m:sub>
          <m:sup>
            <m:r>
              <m:t xml:space="preserve">a</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a</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a</m:t>
            </m:r>
          </m:sup>
        </m:sSubSup>
        <m:r>
          <m:t xml:space="preserve">,</m:t>
        </m:r>
        <m:r>
          <m:rPr>
            <m:sty m:val="p"/>
          </m:rPr>
          <m:t xml:space="preserve">Support</m:t>
        </m:r>
        <m:r>
          <m:t xml:space="preserve">)</m:t>
        </m:r>
      </m:oMath>
      <w:r>
        <w:rPr>
          <w:rFonts w:ascii="Times New Roman" w:hAnsi="Times New Roman" w:eastAsia="Songti SC"/>
          <w:color w:val="000000"/>
        </w:rPr>
        <w:t>的固定分数分别为0.40和0.35，其余新端点候选的分数均小于0.10。后者效用为负，取NONE优于加入这些关系。在本例无环且每个源至多一条出边的约束下，选择</w:t>
      </w:r>
      <m:oMath>
        <m:sSubSup>
          <m:e>
            <m:r>
              <m:t xml:space="preserve">r</m:t>
            </m:r>
          </m:e>
          <m:sub>
            <m:r>
              <m:t xml:space="preserve">1</m:t>
            </m:r>
          </m:sub>
          <m:sup>
            <m:r>
              <m:t xml:space="preserve">a</m:t>
            </m:r>
          </m:sup>
        </m:sSubSup>
        <m:r>
          <m:t xml:space="preserve">,</m:t>
        </m:r>
        <m:sSubSup>
          <m:e>
            <m:r>
              <m:t xml:space="preserve">r</m:t>
            </m:r>
          </m:e>
          <m:sub>
            <m:r>
              <m:t xml:space="preserve">2</m:t>
            </m:r>
          </m:sub>
          <m:sup>
            <m:r>
              <m:t xml:space="preserve">a</m:t>
            </m:r>
          </m:sup>
        </m:sSubSup>
      </m:oMath>
      <w:r>
        <w:rPr>
          <w:rFonts w:ascii="Times New Roman" w:hAnsi="Times New Roman" w:eastAsia="Songti SC"/>
          <w:color w:val="000000"/>
        </w:rPr>
        <w:t>合法，其关系贡献为</w:t>
      </w:r>
      <m:oMath>
        <m:r>
          <m:t xml:space="preserve">(</m:t>
        </m:r>
        <m:r>
          <m:t xml:space="preserve">2</m:t>
        </m:r>
        <m:r>
          <m:t xml:space="preserve">×</m:t>
        </m:r>
        <m:r>
          <m:t xml:space="preserve">0</m:t>
        </m:r>
        <m:r>
          <m:t xml:space="preserve">.</m:t>
        </m:r>
        <m:r>
          <m:t xml:space="preserve">4</m:t>
        </m:r>
        <m:r>
          <m:t xml:space="preserve">0</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3</m:t>
        </m:r>
        <m:r>
          <m:t xml:space="preserve">5</m:t>
        </m:r>
        <m:r>
          <m:t xml:space="preserve">-</m:t>
        </m:r>
        <m:r>
          <m:t xml:space="preserve">0</m:t>
        </m:r>
        <m:r>
          <m:t xml:space="preserve">.</m:t>
        </m:r>
        <m:r>
          <m:t xml:space="preserve">2</m:t>
        </m:r>
        <m:r>
          <m:t xml:space="preserve">)</m:t>
        </m:r>
        <m:r>
          <m:t xml:space="preserve">=</m:t>
        </m:r>
        <m:r>
          <m:t xml:space="preserve">1</m:t>
        </m:r>
        <m:r>
          <m:t xml:space="preserve">.</m:t>
        </m:r>
        <m:r>
          <m:t xml:space="preserve">1</m:t>
        </m:r>
        <m:r>
          <m:t xml:space="preserve">0</m:t>
        </m:r>
      </m:oMath>
      <w:r>
        <w:rPr>
          <w:rFonts w:ascii="Times New Roman" w:hAnsi="Times New Roman" w:eastAsia="Songti SC"/>
          <w:color w:val="000000"/>
        </w:rPr>
        <w:t>。由此得到</w:t>
      </w:r>
      <m:oMath>
        <m:r>
          <m:t xml:space="preserve">Δ</m:t>
        </m:r>
        <m:sSub>
          <m:e>
            <m:r>
              <m:t xml:space="preserve">Φ</m:t>
            </m:r>
          </m:e>
          <m:sub>
            <m:r>
              <m:t xml:space="preserve">C</m:t>
            </m:r>
          </m:sub>
        </m:sSub>
        <m:r>
          <m:t xml:space="preserve">=</m:t>
        </m:r>
        <m:r>
          <m:t xml:space="preserve">0</m:t>
        </m:r>
        <m:r>
          <m:t xml:space="preserve">.</m:t>
        </m:r>
        <m:r>
          <m:t xml:space="preserve">5</m:t>
        </m:r>
        <m:r>
          <m:t xml:space="preserve">0</m:t>
        </m:r>
      </m:oMath>
      <w:r>
        <w:rPr>
          <w:rFonts w:ascii="Times New Roman" w:hAnsi="Times New Roman" w:eastAsia="Songti SC"/>
          <w:color w:val="000000"/>
        </w:rPr>
        <w:t>、</w:t>
      </w:r>
      <m:oMath>
        <m:r>
          <m:t xml:space="preserve">Δ</m:t>
        </m:r>
        <m:sSub>
          <m:e>
            <m:r>
              <m:t xml:space="preserve">Φ</m:t>
            </m:r>
          </m:e>
          <m:sub>
            <m:r>
              <m:t xml:space="preserve">R</m:t>
            </m:r>
          </m:sub>
        </m:sSub>
        <m:r>
          <m:t xml:space="preserve">=</m:t>
        </m:r>
        <m:r>
          <m:t xml:space="preserve">1</m:t>
        </m:r>
        <m:r>
          <m:t xml:space="preserve">.</m:t>
        </m:r>
        <m:r>
          <m:t xml:space="preserve">1</m:t>
        </m:r>
        <m:r>
          <m:t xml:space="preserve">0</m:t>
        </m:r>
        <m:r>
          <m:t xml:space="preserve">-</m:t>
        </m:r>
        <m:r>
          <m:t xml:space="preserve">0</m:t>
        </m:r>
        <m:r>
          <m:t xml:space="preserve">.</m:t>
        </m:r>
        <m:r>
          <m:t xml:space="preserve">2</m:t>
        </m:r>
        <m:r>
          <m:t xml:space="preserve">8</m:t>
        </m:r>
        <m:r>
          <m:t xml:space="preserve">=</m:t>
        </m:r>
        <m:r>
          <m:t xml:space="preserve">0</m:t>
        </m:r>
        <m:r>
          <m:t xml:space="preserve">.</m:t>
        </m:r>
        <m:r>
          <m:t xml:space="preserve">8</m:t>
        </m:r>
        <m:r>
          <m:t xml:space="preserve">2</m:t>
        </m:r>
      </m:oMath>
      <w:r>
        <w:rPr>
          <w:rFonts w:ascii="Times New Roman" w:hAnsi="Times New Roman" w:eastAsia="Songti SC"/>
          <w:color w:val="000000"/>
        </w:rPr>
        <w:t>，总增益为1.32，大于0.02。删除两条旧边并加入两条新边使</w:t>
      </w:r>
      <m:oMath>
        <m:sSub>
          <m:e>
            <m:r>
              <m:t xml:space="preserve">d</m:t>
            </m:r>
          </m:e>
          <m:sub>
            <m:r>
              <m:t xml:space="preserve">R</m:t>
            </m:r>
          </m:sub>
        </m:sSub>
        <m:r>
          <m:t xml:space="preserve">=</m:t>
        </m:r>
        <m:r>
          <m:t xml:space="preserve">4</m:t>
        </m:r>
      </m:oMath>
      <w:r>
        <w:rPr>
          <w:rFonts w:ascii="Times New Roman" w:hAnsi="Times New Roman" w:eastAsia="Songti SC"/>
          <w:color w:val="000000"/>
        </w:rPr>
        <w:t>。全部门限与预算通过后，才原子提交新组件及两条新关系。</w:t>
      </w:r>
    </w:p>
    <w:p>
      <w:r>
        <w:rPr>
          <w:rFonts w:ascii="Times New Roman" w:hAnsi="Times New Roman" w:eastAsia="Songti SC"/>
          <w:color w:val="000000"/>
        </w:rPr>
        <w:t>（4）从同一旧图检查候选b。令</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b</m:t>
            </m:r>
          </m:sup>
        </m:sSubSup>
        <m:r>
          <m:rPr>
            <m:sty m:val="p"/>
          </m:rPr>
          <m:t xml:space="preserve">}</m:t>
        </m:r>
      </m:oMath>
      <w:r>
        <w:rPr>
          <w:rFonts w:ascii="Times New Roman" w:hAnsi="Times New Roman" w:eastAsia="Songti SC"/>
          <w:color w:val="000000"/>
        </w:rPr>
        <w:t>，组件效用增加0.30。对应的两条Support候选分数改为0.11和0.05，其余新端点候选仍小于0.10。暂不施加关系非下降门时，最高分补全只保留分数0.11的那条边，另一槽位取NONE，关系贡献仅为</w:t>
      </w:r>
      <m:oMath>
        <m:r>
          <m:t xml:space="preserve">2</m:t>
        </m:r>
        <m:r>
          <m:t xml:space="preserve">×</m:t>
        </m:r>
        <m:r>
          <m:t xml:space="preserve">0</m:t>
        </m:r>
        <m:r>
          <m:t xml:space="preserve">.</m:t>
        </m:r>
        <m:r>
          <m:t xml:space="preserve">1</m:t>
        </m:r>
        <m:r>
          <m:t xml:space="preserve">1</m:t>
        </m:r>
        <m:r>
          <m:t xml:space="preserve">-</m:t>
        </m:r>
        <m:r>
          <m:t xml:space="preserve">0</m:t>
        </m:r>
        <m:r>
          <m:t xml:space="preserve">.</m:t>
        </m:r>
        <m:r>
          <m:t xml:space="preserve">2</m:t>
        </m:r>
        <m:r>
          <m:t xml:space="preserve">=</m:t>
        </m:r>
        <m:r>
          <m:t xml:space="preserve">0</m:t>
        </m:r>
        <m:r>
          <m:t xml:space="preserve">.</m:t>
        </m:r>
        <m:r>
          <m:t xml:space="preserve">0</m:t>
        </m:r>
        <m:r>
          <m:t xml:space="preserve">2</m:t>
        </m:r>
      </m:oMath>
      <w:r>
        <w:rPr>
          <w:rFonts w:ascii="Times New Roman" w:hAnsi="Times New Roman" w:eastAsia="Songti SC"/>
          <w:color w:val="000000"/>
        </w:rPr>
        <w:t>。即使采用这一补全上界，仍有</w:t>
      </w:r>
      <m:oMath>
        <m:r>
          <m:t xml:space="preserve">Δ</m:t>
        </m:r>
        <m:sSub>
          <m:e>
            <m:r>
              <m:t xml:space="preserve">Φ</m:t>
            </m:r>
          </m:e>
          <m:sub>
            <m:r>
              <m:t xml:space="preserve">R</m:t>
            </m:r>
          </m:sub>
        </m:sSub>
        <m:r>
          <m:t xml:space="preserve">=</m:t>
        </m:r>
        <m:r>
          <m:t xml:space="preserve">0</m:t>
        </m:r>
        <m:r>
          <m:t xml:space="preserve">.</m:t>
        </m:r>
        <m:r>
          <m:t xml:space="preserve">0</m:t>
        </m:r>
        <m:r>
          <m:t xml:space="preserve">2</m:t>
        </m:r>
        <m:r>
          <m:t xml:space="preserve">-</m:t>
        </m:r>
        <m:r>
          <m:t xml:space="preserve">0</m:t>
        </m:r>
        <m:r>
          <m:t xml:space="preserve">.</m:t>
        </m:r>
        <m:r>
          <m:t xml:space="preserve">2</m:t>
        </m:r>
        <m:r>
          <m:t xml:space="preserve">8</m:t>
        </m:r>
        <m:r>
          <m:t xml:space="preserve">=</m:t>
        </m:r>
        <m:r>
          <m:t xml:space="preserve">-</m:t>
        </m:r>
        <m:r>
          <m:t xml:space="preserve">0</m:t>
        </m:r>
        <m:r>
          <m:t xml:space="preserve">.</m:t>
        </m:r>
        <m:r>
          <m:t xml:space="preserve">2</m:t>
        </m:r>
        <m:r>
          <m:t xml:space="preserve">6</m:t>
        </m:r>
      </m:oMath>
      <w:r>
        <w:rPr>
          <w:rFonts w:ascii="Times New Roman" w:hAnsi="Times New Roman" w:eastAsia="Songti SC"/>
          <w:color w:val="000000"/>
        </w:rPr>
        <w:t>。该状态的</w:t>
      </w:r>
      <m:oMath>
        <m:sSub>
          <m:e>
            <m:r>
              <m:t xml:space="preserve">d</m:t>
            </m:r>
          </m:e>
          <m:sub>
            <m:r>
              <m:t xml:space="preserve">C</m:t>
            </m:r>
          </m:sub>
        </m:sSub>
        <m:r>
          <m:t xml:space="preserve">=</m:t>
        </m:r>
        <m:r>
          <m:t xml:space="preserve">2</m:t>
        </m:r>
      </m:oMath>
      <w:r>
        <w:rPr>
          <w:rFonts w:ascii="Times New Roman" w:hAnsi="Times New Roman" w:eastAsia="Songti SC"/>
          <w:color w:val="000000"/>
        </w:rPr>
        <w:t>、</w:t>
      </w:r>
      <m:oMath>
        <m:sSub>
          <m:e>
            <m:r>
              <m:t xml:space="preserve">d</m:t>
            </m:r>
          </m:e>
          <m:sub>
            <m:r>
              <m:t xml:space="preserve">R</m:t>
            </m:r>
          </m:sub>
        </m:sSub>
        <m:r>
          <m:t xml:space="preserve">=</m:t>
        </m:r>
        <m:r>
          <m:t xml:space="preserve">3</m:t>
        </m:r>
      </m:oMath>
      <w:r>
        <w:rPr>
          <w:rFonts w:ascii="Times New Roman" w:hAnsi="Times New Roman" w:eastAsia="Songti SC"/>
          <w:color w:val="000000"/>
        </w:rPr>
        <w:t>，总增益0.04也超过0.02，但关系分项下降。故实际包含分项门的ILP没有合格补全，整个提议被拒绝；当前图仍保留旧组件和两条旧边，不留下半完成状态。这里的无门限计算只用于解释不可接受的原因，不是算法先提交再回滚的执行顺序。</w:t>
      </w:r>
    </w:p>
    <w:p>
      <w:r>
        <w:rPr>
          <w:rFonts w:ascii="Times New Roman" w:hAnsi="Times New Roman" w:eastAsia="Songti SC"/>
          <w:color w:val="000000"/>
        </w:rPr>
        <w:t>两次比较使用同一旧图、候选池、评分和预算，候选b不是在接受a之后继续评分。该算例展示了组件获益、失效关系及新关系重建如何共同决定提交；4.5.4节的集合可达性反例则回答另一个问题，即成组替换何时能够越过单对象动作的限制。</w:t>
      </w:r>
    </w:p>
    <w:p>
      <w:pPr>
        <w:pStyle w:val="Heading2"/>
      </w:pPr>
      <w:r>
        <w:t>4.5 求解算法及性质</w:t>
      </w:r>
      <w:bookmarkStart w:id="81" w:name="v14_81"/>
      <w:bookmarkEnd w:id="81"/>
    </w:p>
    <w:p>
      <w:r>
        <w:rPr>
          <w:rFonts w:ascii="Times New Roman" w:hAnsi="Times New Roman" w:eastAsia="Songti SC"/>
          <w:color w:val="000000"/>
        </w:rPr>
        <w:t>局部求解固定一个组件提议，对其受影响关系寻找满足约束的补全，再由事务层比较所有已找到的合格方案。以下先给出整数规划与执行过程，再说明固定评分带来的精确差值、集合事务的可达性及有限终止条件。</w:t>
      </w:r>
    </w:p>
    <w:p>
      <w:pPr>
        <w:pStyle w:val="Heading3"/>
      </w:pPr>
      <w:r>
        <w:t>4.5.1 局部整数规划关系补全</w:t>
      </w:r>
      <w:bookmarkStart w:id="82" w:name="v14_82"/>
      <w:bookmarkEnd w:id="82"/>
    </w:p>
    <w:p>
      <w:pPr>
        <w:keepNext/>
      </w:pPr>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(4-10)</w:t>
            </w:r>
          </w:p>
        </w:tc>
      </w:tr>
    </w:tbl>
    <w:p>
      <w:pPr>
        <w:keepNext/>
      </w:pPr>
      <w:r>
        <w:rPr>
          <w:rFonts w:ascii="Times New Roman" w:hAnsi="Times New Roman" w:eastAsia="Songti SC"/>
          <w:color w:val="000000"/>
        </w:rPr>
        <w:t>组件项在单次求解中为常数，但在比较不同提议时不可省略。求解包含以下约束：</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(4-11)</w:t>
            </w:r>
          </w:p>
        </w:tc>
      </w:tr>
    </w:tbl>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(4-12)</w:t>
            </w:r>
          </w:p>
        </w:tc>
      </w:tr>
    </w:tbl>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pPr>
        <w:keepNext/>
      </w:pPr>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(4-13)</w:t>
            </w:r>
          </w:p>
        </w:tc>
      </w:tr>
    </w:tbl>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实际求解器的数值和线程确定性仍须验收。</w:t>
      </w:r>
    </w:p>
    <w:p>
      <w:pPr>
        <w:pStyle w:val="Heading3"/>
      </w:pPr>
      <w:r>
        <w:t>4.5.2 有界执行、原子提交与回退</w:t>
      </w:r>
      <w:bookmarkStart w:id="83" w:name="v14_83"/>
      <w:bookmarkEnd w:id="83"/>
    </w:p>
    <w:p>
      <w:r>
        <w:rPr>
          <w:rFonts w:ascii="Times New Roman" w:hAnsi="Times New Roman" w:eastAsia="Songti SC"/>
          <w:color w:val="000000"/>
        </w:rPr>
        <w:t>提议分为纯关系、插入、删除、替换、拆分和合并六类。纯关系枚举当前端点存在且合法的全部槽位，包含未选槽位；二元反向仅在冻结正逆槽位都存在且当前合法时共同进入</w:t>
      </w:r>
      <m:oMath>
        <m:sSub>
          <m:e>
            <m:r>
              <m:t xml:space="preserve">S</m:t>
            </m:r>
          </m:e>
          <m:sub>
            <m:r>
              <m:t xml:space="preserve">R</m:t>
            </m:r>
          </m:sub>
        </m:sSub>
      </m:oMath>
      <w:r>
        <w:rPr>
          <w:rFonts w:ascii="Times New Roman" w:hAnsi="Times New Roman" w:eastAsia="Songti SC"/>
          <w:color w:val="000000"/>
        </w:rPr>
        <w:t>；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r>
          <m:t xml:space="preserve">(</m:t>
        </m:r>
        <m:r>
          <m:t xml:space="preserve">|</m:t>
        </m:r>
        <m:r>
          <m:t xml:space="preserve">D</m:t>
        </m:r>
        <m:r>
          <m:t xml:space="preserve">|</m:t>
        </m:r>
        <m:r>
          <m:t xml:space="preserve">,</m:t>
        </m:r>
        <m:r>
          <m:t xml:space="preserve">|</m:t>
        </m:r>
        <m:r>
          <m:t xml:space="preserve">B</m:t>
        </m:r>
        <m:r>
          <m:t xml:space="preserve">|</m:t>
        </m:r>
        <m:r>
          <m:t xml:space="preserve">)</m:t>
        </m:r>
      </m:oMath>
      <w:r>
        <w:rPr>
          <w:rFonts w:ascii="Times New Roman" w:hAnsi="Times New Roman" w:eastAsia="Songti SC"/>
          <w:color w:val="000000"/>
        </w:rPr>
        <w:t>重新核对形态、跨度条件及三对象上限。不符合五种声明形态的提议不进入主邻域；名义插入若变成</w:t>
      </w:r>
      <m:oMath>
        <m:r>
          <m:t xml:space="preserve">2</m:t>
        </m:r>
        <m:r>
          <m:t xml:space="preserve">→</m:t>
        </m:r>
        <m:r>
          <m:t xml:space="preserve">1</m:t>
        </m:r>
      </m:oMath>
      <w:r>
        <w:rPr>
          <w:rFonts w:ascii="Times New Roman" w:hAnsi="Times New Roman" w:eastAsia="Songti SC"/>
          <w:color w:val="000000"/>
        </w:rPr>
        <w:t>，单对象对照须拒绝。端点变化产生的旧入边、出边及完整超边全部删除，新增完整关系逐项重新计费。带坐标的正反例见附录D.6。</w:t>
      </w:r>
    </w:p>
    <w:p>
      <w:r>
        <w:rPr>
          <w:rFonts w:ascii="Times New Roman" w:hAnsi="Times New Roman" w:eastAsia="Songti SC"/>
          <w:color w:val="000000"/>
        </w:rPr>
        <w:t>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r>
        <w:rPr>
          <w:rFonts w:ascii="Times New Roman" w:hAnsi="Times New Roman" w:eastAsia="Songti SC"/>
          <w:color w:val="000000"/>
        </w:rPr>
        <w:t>每批从六类提议中轮转取项，在冻结对象分和剩余预算下评估，择优复核后原子提交。新评估消耗尝试额度，提交已有合格项只检查接受、编辑及实际资源；达到尝试上限不撤销已评估的合格项。首批全拒不立即停止，同一状态不因换轮重复评估；无法安全提交时返回最近完整合法图。排序、状态键、缓存游标和分项计费统一列于附录B.3，预算边界见附录B.4.3。</w:t>
      </w:r>
    </w:p>
    <w:p>
      <w:pPr>
        <w:pStyle w:val="AlgorithmCaption"/>
      </w:pPr>
      <w:r>
        <w:rPr>
          <w:rFonts w:ascii="Times New Roman" w:hAnsi="Times New Roman" w:eastAsia="Songti SC"/>
          <w:color w:val="000000"/>
          <w:sz w:val="21"/>
        </w:rPr>
        <w:t>算法4-1 多候选驱动的依赖闭合修正</w:t>
      </w:r>
      <w:bookmarkStart w:id="184" w:name="v14_184"/>
      <w:bookmarkEnd w:id="184"/>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输入：原文、生成候选、冻结配置和有限资源清单。</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输出：最后完整合法图或明确初始化失败，以及轨迹。</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初始化预算；执行MCR选择及共用合法化，计入全部成本</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初始化失败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明确失败状态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冻结候选、对象分与效用系数；G ← G0</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b/>
          <w:color w:val="000000"/>
          <w:sz w:val="21"/>
        </w:rPr>
        <w:t>for</w:t>
      </w:r>
      <w:r>
        <w:rPr>
          <w:rFonts w:ascii="Times New Roman" w:hAnsi="Times New Roman" w:eastAsia="Songti SC"/>
          <w:color w:val="000000"/>
          <w:sz w:val="21"/>
        </w:rPr>
        <w:t xml:space="preserve"> 每一轮，在轮数及全程预算内 </w:t>
      </w:r>
      <w:r>
        <w:rPr>
          <w:rFonts w:ascii="Times New Roman" w:hAnsi="Times New Roman" w:eastAsia="Songti SC"/>
          <w:b/>
          <w:color w:val="000000"/>
          <w:sz w:val="21"/>
        </w:rPr>
        <w:t>do</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color w:val="000000"/>
          <w:sz w:val="21"/>
        </w:rPr>
        <w:t>重置本轮计数；首次进入状态才建队列，否则续用游标与缓存</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08</w:t>
        <w:tab/>
      </w:r>
      <w:r>
        <w:rPr>
          <w:rFonts w:ascii="Times New Roman" w:hAnsi="Times New Roman" w:eastAsia="Songti SC"/>
          <w:b/>
          <w:color w:val="000000"/>
          <w:sz w:val="21"/>
        </w:rPr>
        <w:t>while</w:t>
      </w:r>
      <w:r>
        <w:rPr>
          <w:rFonts w:ascii="Times New Roman" w:hAnsi="Times New Roman" w:eastAsia="Songti SC"/>
          <w:color w:val="000000"/>
          <w:sz w:val="21"/>
        </w:rPr>
        <w:t xml:space="preserve"> 本轮与全程尚有尝试及接受名额，且评估资源允许 </w:t>
      </w:r>
      <w:r>
        <w:rPr>
          <w:rFonts w:ascii="Times New Roman" w:hAnsi="Times New Roman" w:eastAsia="Songti SC"/>
          <w:b/>
          <w:color w:val="000000"/>
          <w:sz w:val="21"/>
        </w:rPr>
        <w:t>do</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按剩余尝试名额取至多批长个提议Q；Gnoop ← G；H ← ∅</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for</w:t>
      </w:r>
      <w:r>
        <w:rPr>
          <w:rFonts w:ascii="Times New Roman" w:hAnsi="Times New Roman" w:eastAsia="Songti SC"/>
          <w:color w:val="000000"/>
          <w:sz w:val="21"/>
        </w:rPr>
        <w:t xml:space="preserve"> Q中每个未评估提议，在评估资源内 </w:t>
      </w:r>
      <w:r>
        <w:rPr>
          <w:rFonts w:ascii="Times New Roman" w:hAnsi="Times New Roman" w:eastAsia="Songti SC"/>
          <w:b/>
          <w:color w:val="000000"/>
          <w:sz w:val="21"/>
        </w:rPr>
        <w:t>do</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外层尝试加1；调用算法4-2，登记求解、失败及实际开销</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color w:val="000000"/>
          <w:sz w:val="21"/>
        </w:rPr>
        <w:t>将通过复核的完整状态加入H</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for</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b/>
          <w:color w:val="000000"/>
          <w:sz w:val="21"/>
        </w:rPr>
        <w:t>if</w:t>
      </w:r>
      <w:r>
        <w:rPr>
          <w:rFonts w:ascii="Times New Roman" w:hAnsi="Times New Roman" w:eastAsia="Songti SC"/>
          <w:color w:val="000000"/>
          <w:sz w:val="21"/>
        </w:rPr>
        <w:t xml:space="preserve"> H非空 </w:t>
      </w:r>
      <w:r>
        <w:rPr>
          <w:rFonts w:ascii="Times New Roman" w:hAnsi="Times New Roman" w:eastAsia="Songti SC"/>
          <w:b/>
          <w:color w:val="000000"/>
          <w:sz w:val="21"/>
        </w:rPr>
        <w:t>then</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15</w:t>
        <w:tab/>
      </w:r>
      <w:r>
        <w:rPr>
          <w:rFonts w:ascii="Times New Roman" w:hAnsi="Times New Roman" w:eastAsia="Songti SC"/>
          <w:color w:val="000000"/>
          <w:sz w:val="21"/>
        </w:rPr>
        <w:t>按总效用、较少编辑、语义键择优</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复核接受名额、编辑及提交资源；不再要求剩余尝试名额</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17</w:t>
        <w:tab/>
      </w:r>
      <w:r>
        <w:rPr>
          <w:rFonts w:ascii="Times New Roman" w:hAnsi="Times New Roman" w:eastAsia="Songti SC"/>
          <w:color w:val="000000"/>
          <w:sz w:val="21"/>
        </w:rPr>
        <w:t>提交条件不足则保留Gnoop，记录原因并停止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18</w:t>
        <w:tab/>
      </w:r>
      <w:r>
        <w:rPr>
          <w:rFonts w:ascii="Times New Roman" w:hAnsi="Times New Roman" w:eastAsia="Songti SC"/>
          <w:color w:val="000000"/>
          <w:sz w:val="21"/>
        </w:rPr>
        <w:t>原子提交；失败则完整恢复Gnoop并停止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更新实际编辑；外层接受加1；未见状态建队列，已见则续用</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20</w:t>
        <w:tab/>
      </w:r>
      <w:r>
        <w:rPr>
          <w:rFonts w:ascii="Times New Roman" w:hAnsi="Times New Roman" w:eastAsia="Songti SC"/>
          <w:b/>
          <w:color w:val="000000"/>
          <w:sz w:val="21"/>
        </w:rPr>
        <w:t>else</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21</w:t>
        <w:tab/>
      </w:r>
      <w:r>
        <w:rPr>
          <w:rFonts w:ascii="Times New Roman" w:hAnsi="Times New Roman" w:eastAsia="Songti SC"/>
          <w:color w:val="000000"/>
          <w:sz w:val="21"/>
        </w:rPr>
        <w:t>保留Gnoop；已遍历声明队列则停止，否则继续下一批</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b/>
          <w:color w:val="000000"/>
          <w:sz w:val="21"/>
        </w:rPr>
        <w:t>end if</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24</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25</w:t>
        <w:tab/>
      </w:r>
      <w:r>
        <w:rPr>
          <w:rFonts w:ascii="Times New Roman" w:hAnsi="Times New Roman" w:eastAsia="Songti SC"/>
          <w:b/>
          <w:color w:val="000000"/>
          <w:sz w:val="21"/>
        </w:rPr>
        <w:t>return</w:t>
      </w:r>
      <w:r>
        <w:rPr>
          <w:rFonts w:ascii="Times New Roman" w:hAnsi="Times New Roman" w:eastAsia="Songti SC"/>
          <w:color w:val="000000"/>
          <w:sz w:val="21"/>
        </w:rPr>
        <w:t xml:space="preserve"> G及实际停止原因；中断只返回最后完整合法状态</w:t>
      </w:r>
    </w:p>
    <w:p>
      <w:pPr>
        <w:pStyle w:val="AlgorithmCaption"/>
      </w:pPr>
      <w:r>
        <w:rPr>
          <w:rFonts w:ascii="Times New Roman" w:hAnsi="Times New Roman" w:eastAsia="Songti SC"/>
          <w:color w:val="000000"/>
          <w:sz w:val="21"/>
        </w:rPr>
        <w:t>算法4-2 单提议的闭合评估</w:t>
      </w:r>
      <w:bookmarkStart w:id="185" w:name="v14_185"/>
      <w:bookmarkEnd w:id="185"/>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输入：当前合法图G、提议、冻结候选分和剩余预算。</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输出：经复核的完整候选状态，或拒绝状态。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复制G；抵消相同对象；完成冲突闭合</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内部冲突、动作形态或组件成本不合规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拒绝，原图不变</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构造端点依赖域；最小扩域处理失效的已选外部槽位</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color w:val="000000"/>
          <w:sz w:val="21"/>
        </w:rPr>
        <w:t>固定域外关系，将整图约束、效用门及剩余编辑预算加入ILP</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07</w:t>
        <w:tab/>
      </w:r>
      <w:r>
        <w:rPr>
          <w:rFonts w:ascii="Times New Roman" w:hAnsi="Times New Roman" w:eastAsia="Songti SC"/>
          <w:color w:val="000000"/>
          <w:sz w:val="21"/>
        </w:rPr>
        <w:t>求解并登记状态；超时有incumbent时保留非最优身份</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08</w:t>
        <w:tab/>
      </w:r>
      <w:r>
        <w:rPr>
          <w:rFonts w:ascii="Times New Roman" w:hAnsi="Times New Roman" w:eastAsia="Songti SC"/>
          <w:b/>
          <w:color w:val="000000"/>
          <w:sz w:val="21"/>
        </w:rPr>
        <w:t>if</w:t>
      </w:r>
      <w:r>
        <w:rPr>
          <w:rFonts w:ascii="Times New Roman" w:hAnsi="Times New Roman" w:eastAsia="Songti SC"/>
          <w:color w:val="000000"/>
          <w:sz w:val="21"/>
        </w:rPr>
        <w:t xml:space="preserve"> 无可行解或评分失败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09</w:t>
        <w:tab/>
      </w:r>
      <w:r>
        <w:rPr>
          <w:rFonts w:ascii="Times New Roman" w:hAnsi="Times New Roman" w:eastAsia="Songti SC"/>
          <w:b/>
          <w:color w:val="000000"/>
          <w:sz w:val="21"/>
        </w:rPr>
        <w:t>return</w:t>
      </w:r>
      <w:r>
        <w:rPr>
          <w:rFonts w:ascii="Times New Roman" w:hAnsi="Times New Roman" w:eastAsia="Songti SC"/>
          <w:color w:val="000000"/>
          <w:sz w:val="21"/>
        </w:rPr>
        <w:t xml:space="preserve"> 区分原因的拒绝状态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10</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11</w:t>
        <w:tab/>
      </w:r>
      <w:r>
        <w:rPr>
          <w:rFonts w:ascii="Times New Roman" w:hAnsi="Times New Roman" w:eastAsia="Songti SC"/>
          <w:color w:val="000000"/>
          <w:sz w:val="21"/>
        </w:rPr>
        <w:t>复核整图合法、完整删增成本、两个分项门及严格总增益</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12</w:t>
        <w:tab/>
      </w:r>
      <w:r>
        <w:rPr>
          <w:rFonts w:ascii="Times New Roman" w:hAnsi="Times New Roman" w:eastAsia="Songti SC"/>
          <w:b/>
          <w:color w:val="000000"/>
          <w:sz w:val="21"/>
        </w:rPr>
        <w:t>return</w:t>
      </w:r>
      <w:r>
        <w:rPr>
          <w:rFonts w:ascii="Times New Roman" w:hAnsi="Times New Roman" w:eastAsia="Songti SC"/>
          <w:color w:val="000000"/>
          <w:sz w:val="21"/>
        </w:rPr>
        <w:t xml:space="preserve"> 复核通过的完整状态；否则丢弃副本并返回拒绝</w:t>
      </w:r>
    </w:p>
    <w:p>
      <w:pPr>
        <w:keepNext/>
        <w:spacing w:line="240" w:lineRule="auto" w:before="80" w:after="60"/>
        <w:ind w:firstLine="0"/>
        <w:jc w:val="center"/>
      </w:pPr>
      <w:r>
        <w:drawing>
          <wp:inline xmlns:a="http://schemas.openxmlformats.org/drawingml/2006/main" xmlns:pic="http://schemas.openxmlformats.org/drawingml/2006/picture">
            <wp:extent cx="5652770" cy="5329580"/>
            <wp:docPr id="8" name="bounded_execution.png" descr="候选生成至有界事务接受的执行流程"/>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5652770" cy="5329580"/>
                    </a:xfrm>
                    <a:prstGeom prst="rect"/>
                  </pic:spPr>
                </pic:pic>
              </a:graphicData>
            </a:graphic>
          </wp:inline>
        </w:drawing>
      </w:r>
    </w:p>
    <w:p>
      <w:pPr>
        <w:pStyle w:val="FigureCaption"/>
      </w:pPr>
      <w:r>
        <w:rPr>
          <w:rFonts w:ascii="Times New Roman" w:hAnsi="Times New Roman" w:eastAsia="Songti SC"/>
          <w:color w:val="000000"/>
          <w:sz w:val="21"/>
        </w:rPr>
        <w:t>图4-2 多候选驱动的依赖闭合修正执行流程</w:t>
      </w:r>
      <w:bookmarkStart w:id="186" w:name="v14_186"/>
      <w:bookmarkEnd w:id="186"/>
    </w:p>
    <w:p>
      <w:r>
        <w:rPr>
          <w:rFonts w:ascii="Times New Roman" w:hAnsi="Times New Roman" w:eastAsia="Songti SC"/>
          <w:color w:val="000000"/>
        </w:rPr>
        <w:t>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3"/>
      </w:pPr>
      <w:r>
        <w:t>4.5.3 固定评分下的精确差值</w:t>
      </w:r>
      <w:bookmarkStart w:id="84" w:name="v14_84"/>
      <w:bookmarkEnd w:id="84"/>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(4-14)</w:t>
            </w:r>
          </w:p>
        </w:tc>
      </w:tr>
    </w:tbl>
    <w:p>
      <w:r>
        <w:rPr>
          <w:rFonts w:ascii="Times New Roman" w:hAnsi="Times New Roman" w:eastAsia="Songti SC"/>
          <w:color w:val="000000"/>
        </w:rPr>
        <w:t>固定评分使共同对象抵消，完整依赖重建使差集覆盖所有改变的关系。详细推导及评分变化时的适用边界见附录B.6。</w:t>
      </w:r>
    </w:p>
    <w:p>
      <w:pPr>
        <w:pStyle w:val="Heading3"/>
      </w:pPr>
      <w:r>
        <w:t>4.5.4 集合事务的可达性</w:t>
      </w:r>
      <w:bookmarkStart w:id="85" w:name="v14_85"/>
      <w:bookmarkEnd w:id="85"/>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附录B.6给出两个旧组件合并为一个新组件的合法构造：单对象严格改进无法通过，整体替换可以通过。该反例刻画动作表达能力，不提供真实F1保证。</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4.5.5 有限终止与真实指标边界</w:t>
      </w:r>
      <w:bookmarkStart w:id="86" w:name="v14_86"/>
      <w:bookmarkEnd w:id="86"/>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严格增加同一固定效用排除状态重复；有限候选空间使接受序列有限。证明及预算停止的区别见附录B.6。</w:t>
      </w:r>
    </w:p>
    <w:p>
      <w:pPr>
        <w:keepNext/>
      </w:pPr>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(4-15)</w:t>
            </w:r>
          </w:p>
        </w:tc>
      </w:tr>
    </w:tbl>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4.6 实验与分析</w:t>
      </w:r>
      <w:bookmarkStart w:id="87" w:name="v14_87"/>
      <w:bookmarkEnd w:id="87"/>
    </w:p>
    <w:p>
      <w:r>
        <w:rPr>
          <w:rFonts w:ascii="Times New Roman" w:hAnsi="Times New Roman" w:eastAsia="Songti SC"/>
          <w:color w:val="000000"/>
        </w:rPr>
        <w:t>本节表图和案例使用估算情景；求解状态、错误分布与真实延迟的新增诊断按附录H执行后另行报告。</w:t>
      </w:r>
    </w:p>
    <w:p>
      <w:r>
        <w:rPr>
          <w:rFonts w:ascii="Times New Roman" w:hAnsi="Times New Roman" w:eastAsia="Songti SC"/>
          <w:color w:val="000000"/>
        </w:rPr>
        <w:t>本章固定T1训练条件，以I0为共同起点，按2.6.3区分贡献检验与求解策略比较。RelationOnly和单对象动作直接检验组件可变性与集合表达，同目标全局ILP检验局部策略的采用价值，组件优先分步策略补充检验共同决策。组件及完整关系计数评价最终输出，覆盖、Oracle、对象评分和恢复风险解释增量来源。数学构造保留在方法说明与附录D，用于展示边界情形，不代替完整对照。</w:t>
      </w:r>
    </w:p>
    <w:p>
      <w:pPr>
        <w:pStyle w:val="Heading3"/>
      </w:pPr>
      <w:r>
        <w:t>4.6.1 推理协议与方法对照</w:t>
      </w:r>
      <w:bookmarkStart w:id="88" w:name="v14_88"/>
      <w:bookmarkEnd w:id="88"/>
    </w:p>
    <w:p>
      <w:r>
        <w:rPr>
          <w:rFonts w:ascii="Times New Roman" w:hAnsi="Times New Roman" w:eastAsia="Songti SC"/>
          <w:color w:val="000000"/>
        </w:rPr>
        <w:t>本章实验沿用2.6节规定的数据划分、严格评价与运行身份，生成器、候选及评分器的接口见2.7节。推理侧比较固定训练方案与生成检查点，并分别报告AAEC的完整关系及CDCP的原生超边结果。AAEC的Claim stance保持属性身份；没有普通关系的MajorClaim参与组件评价，其缺边不被计为可恢复的关系错误。</w:t>
      </w:r>
    </w:p>
    <w:p>
      <w:pPr>
        <w:keepNext/>
      </w:pPr>
      <w:r>
        <w:rPr>
          <w:rFonts w:ascii="Times New Roman" w:hAnsi="Times New Roman" w:eastAsia="Songti SC"/>
          <w:color w:val="000000"/>
        </w:rPr>
        <w:t>CDCP 主配置保留原生多前提关系：</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(4-16)</w:t>
            </w:r>
          </w:p>
        </w:tc>
      </w:tr>
    </w:tbl>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执行4.3.2节的最小合法化扩域并重新计费，失败则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推理侧设置整系统比较与机制受控比较两类对照。整系统比较共享生成检查点、初始完整候选和共用合法化规则，保留MCR-only、BR-O、BR-C及BR-J各自的候选补充、评分与修正机制，用于判断完整方案的效果及成本。受控比较则除被检验因素外，固定候选宇宙、对象评分、动作或搜索顺序及相应资源口径，分别检验评分、决策策略与事务范围的作用。表4-1定义各版本的操作接口，表4-2列出归因条件。</w:t>
      </w:r>
    </w:p>
    <w:p>
      <w:pPr>
        <w:pStyle w:val="TableCaption"/>
      </w:pPr>
      <w:r>
        <w:rPr>
          <w:rFonts w:ascii="Times New Roman" w:hAnsi="Times New Roman" w:eastAsia="Songti SC"/>
          <w:color w:val="000000"/>
          <w:sz w:val="21"/>
        </w:rPr>
        <w:t>表4-1 推理方法的修改对象与决策接口</w:t>
      </w:r>
      <w:bookmarkStart w:id="187" w:name="v14_187"/>
      <w:bookmarkEnd w:id="18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采用BR-J的对象评分与效用，仅修改关系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再重建关系，以检验分步决策</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限制单次组件改动范围</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在同一评分下检验受限动作的可达性</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重建受影响关系后整体接受或回退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在共同效用与整图约束下联合选边</w:t>
            </w:r>
          </w:p>
        </w:tc>
      </w:tr>
    </w:tbl>
    <w:p>
      <w:pPr>
        <w:spacing w:after="0" w:line="240" w:lineRule="auto"/>
      </w:pPr>
    </w:p>
    <w:p>
      <w:r>
        <w:rPr>
          <w:rFonts w:ascii="Times New Roman" w:hAnsi="Times New Roman" w:eastAsia="Songti SC"/>
          <w:color w:val="000000"/>
        </w:rPr>
        <w:t>BR-C与RelationOnly均固定组件，但前者保留前期覆盖目标，后者采用新对象评分，因而分别承担原版系统对照与动作限制对照。</w:t>
      </w:r>
    </w:p>
    <w:p>
      <w:r>
        <w:rPr>
          <w:rFonts w:ascii="Times New Roman" w:hAnsi="Times New Roman" w:eastAsia="Songti SC"/>
          <w:color w:val="000000"/>
        </w:rPr>
        <w:t>本版顺序对照命名为“组件优先的分步决策”。组件提议的第一阶段要求组件效用严格增加超过</w:t>
      </w:r>
      <m:oMath>
        <m:sSub>
          <m:e>
            <m:r>
              <m:t xml:space="preserve">δ</m:t>
            </m:r>
          </m:e>
          <m:sub>
            <m:r>
              <m:t xml:space="preserve">C</m:t>
            </m:r>
          </m:sub>
        </m:sSub>
        <m:r>
          <m:t xml:space="preserve">=</m:t>
        </m:r>
        <m:r>
          <m:t xml:space="preserve">δ</m:t>
        </m:r>
      </m:oMath>
      <w:r>
        <w:rPr>
          <w:rFonts w:ascii="Times New Roman" w:hAnsi="Times New Roman" w:eastAsia="Songti SC"/>
          <w:color w:val="000000"/>
        </w:rPr>
        <w:t>，删除端点或源连续性变化导致失效的全部旧关系，并检查整图合法性及剩余编辑预算。第一阶段不设关系或总效用非下降门，实际关系删除全部收费。每批先在临时副本上评估所有获额度的外层提议：组件提议只用其第一阶段的</w:t>
      </w:r>
      <m:oMath>
        <m:sSub>
          <m:e>
            <m:r>
              <m:t xml:space="preserve">w</m:t>
            </m:r>
          </m:e>
          <m:sub>
            <m:r>
              <m:t xml:space="preserve">C</m:t>
            </m:r>
          </m:sub>
        </m:sSub>
        <m:r>
          <m:t xml:space="preserve">Δ</m:t>
        </m:r>
        <m:sSub>
          <m:e>
            <m:r>
              <m:t xml:space="preserve">Φ</m:t>
            </m:r>
          </m:e>
          <m:sub>
            <m:r>
              <m:t xml:space="preserve">C</m:t>
            </m:r>
          </m:sub>
        </m:sSub>
      </m:oMath>
      <w:r>
        <w:rPr>
          <w:rFonts w:ascii="Times New Roman" w:hAnsi="Times New Roman" w:eastAsia="Songti SC"/>
          <w:color w:val="000000"/>
        </w:rPr>
        <w:t>排序，纯关系提议用</w:t>
      </w:r>
      <m:oMath>
        <m:sSub>
          <m:e>
            <m:r>
              <m:t xml:space="preserve">w</m:t>
            </m:r>
          </m:e>
          <m:sub>
            <m:r>
              <m:t xml:space="preserve">R</m:t>
            </m:r>
          </m:sub>
        </m:sSub>
        <m:r>
          <m:t xml:space="preserve">Δ</m:t>
        </m:r>
        <m:sSub>
          <m:e>
            <m:r>
              <m:t xml:space="preserve">Φ</m:t>
            </m:r>
          </m:e>
          <m:sub>
            <m:r>
              <m:t xml:space="preserve">R</m:t>
            </m:r>
          </m:sub>
        </m:sSub>
      </m:oMath>
      <w:r>
        <w:rPr>
          <w:rFonts w:ascii="Times New Roman" w:hAnsi="Times New Roman" w:eastAsia="Songti SC"/>
          <w:color w:val="000000"/>
        </w:rPr>
        <w:t>排序；同分依次比较该阶段实际编辑数与规范键。只提交批内一个胜出提议，组件提议的未来关系补全不得影响这一选择。临时评估只消费实际计算资源，未提交的图编辑不计累计编辑。</w:t>
      </w:r>
    </w:p>
    <w:p>
      <w:r>
        <w:rPr>
          <w:rFonts w:ascii="Times New Roman" w:hAnsi="Times New Roman" w:eastAsia="Songti SC"/>
          <w:color w:val="000000"/>
        </w:rPr>
        <w:t>组件提议胜出后立即提交第一阶段，外层接受加1，再在合法中间图上以同一候选域及剩余资源求解配套关系阶段，要求关系效用严格增加超过</w:t>
      </w:r>
      <m:oMath>
        <m:sSub>
          <m:e>
            <m:r>
              <m:t xml:space="preserve">δ</m:t>
            </m:r>
          </m:e>
          <m:sub>
            <m:r>
              <m:t xml:space="preserve">R</m:t>
            </m:r>
          </m:sub>
        </m:sSub>
        <m:r>
          <m:t xml:space="preserve">=</m:t>
        </m:r>
        <m:r>
          <m:t xml:space="preserve">δ</m:t>
        </m:r>
      </m:oMath>
      <w:r>
        <w:rPr>
          <w:rFonts w:ascii="Times New Roman" w:hAnsi="Times New Roman" w:eastAsia="Songti SC"/>
          <w:color w:val="000000"/>
        </w:rPr>
        <w:t>。第二阶段无解、无incumbent超时或实际资源耗尽均保留第一阶段状态，既有成本不退回；有incumbent时先按该阶段门限、合法性与预算复核。达到外层接受上限不会截断已接受提议的配套阶段，但真实资源和编辑上限始终有效。纯关系提议已在批内完成关系评估，胜出时直接提交，不重复求解；成功计一次外层接受。阶段尝试、求解、提交、时间、调用与token分别登记，两个阶段的关系删增均累计收费。</w:t>
      </w:r>
    </w:p>
    <w:p>
      <w:r>
        <w:rPr>
          <w:rFonts w:ascii="Times New Roman" w:hAnsi="Times New Roman" w:eastAsia="Songti SC"/>
          <w:color w:val="000000"/>
        </w:rPr>
        <w:t>组件预筛后整体提交并在失败时撤销第一阶段，是另一种联合提交变体，不是本节顺序基线。单对象对照只允许冲突闭合后的</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，禁止</w:t>
      </w:r>
      <m:oMath>
        <m:r>
          <m:t xml:space="preserve">1</m:t>
        </m:r>
        <m:r>
          <m:t xml:space="preserve">→</m:t>
        </m:r>
        <m:r>
          <m:t xml:space="preserve">2</m:t>
        </m:r>
      </m:oMath>
      <w:r>
        <w:rPr>
          <w:rFonts w:ascii="Times New Roman" w:hAnsi="Times New Roman" w:eastAsia="Songti SC"/>
          <w:color w:val="000000"/>
        </w:rPr>
        <w:t>、</w:t>
      </w:r>
      <m:oMath>
        <m:r>
          <m:t xml:space="preserve">2</m:t>
        </m:r>
        <m:r>
          <m:t xml:space="preserve">→</m:t>
        </m:r>
        <m:r>
          <m:t xml:space="preserve">1</m:t>
        </m:r>
      </m:oMath>
      <w:r>
        <w:rPr>
          <w:rFonts w:ascii="Times New Roman" w:hAnsi="Times New Roman" w:eastAsia="Songti SC"/>
          <w:color w:val="000000"/>
        </w:rPr>
        <w:t>，仍完整重建依赖关系。名义插入导致多对象删除时按实际形态限制。轨迹分叉后的队列不必相同，固定的是候选、对象分、规则和资源；另用同图同提议配对诊断区分信息使用方式。</w:t>
      </w:r>
    </w:p>
    <w:p>
      <w:r>
        <w:rPr>
          <w:rFonts w:ascii="Times New Roman" w:hAnsi="Times New Roman" w:eastAsia="Songti SC"/>
          <w:color w:val="000000"/>
        </w:rPr>
        <w:t>该顺序对照比较组件优先分步策略与联合决策策略的整体差异，不单独识别纯执行顺序的因果作用。单对象动作检验集合替换的可达性，两者均不能代替完整BR-J。附录E保留前期BR-O的历史协议，当前共同接口下的对照另行汇总。</w:t>
      </w:r>
    </w:p>
    <w:p>
      <w:pPr>
        <w:pStyle w:val="TableCaption"/>
      </w:pPr>
      <w:r>
        <w:rPr>
          <w:rFonts w:ascii="Times New Roman" w:hAnsi="Times New Roman" w:eastAsia="Songti SC"/>
          <w:color w:val="000000"/>
          <w:sz w:val="21"/>
        </w:rPr>
        <w:t>表4-2 推理侧对照及归因</w:t>
      </w:r>
      <w:bookmarkStart w:id="188" w:name="v14_188"/>
      <w:bookmarkEnd w:id="18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同一生成检查点、初始候选与共用合法化</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完整系统效果及前期工作递进</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候选补充、评分、失败尝试与求解成本</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收益是否主要来自删除错误关系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同候选、评分、动作规则及明确资源口径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两种决策策略的整体差异，不单独归因于执行顺序</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净恢复、误改与实际计算成本</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同一候选、事务集合、搜索顺序与资源口径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旧均分、固定计数效用及其他明确目标的差异</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RelationOnly、单对象动作与BR-J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固定候选、评分及资源口径，分别限制修改范围</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组件可变性、集合替换与闭合范围的作用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编辑数量、事务大小及可达范围</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同一候选与效用，采用包含局部终态的可行域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有限预算下局部修正的价值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等额度通用重写或重生成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明确对齐token额度或调用额度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给定额度代理下的修正收益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另报真实时间、解析失败、幻觉跨度及全部成本</w:t>
            </w:r>
          </w:p>
        </w:tc>
      </w:tr>
    </w:tbl>
    <w:p>
      <w:pPr>
        <w:spacing w:after="0" w:line="240" w:lineRule="auto"/>
      </w:pPr>
    </w:p>
    <w:p>
      <w:r>
        <w:rPr>
          <w:rFonts w:ascii="Times New Roman" w:hAnsi="Times New Roman" w:eastAsia="Songti SC"/>
          <w:color w:val="000000"/>
        </w:rPr>
        <w:t>全局ILP是同时选择全部组件与关系的强对照。其主配置固定相同候选、评分和合法性规则，要求组件与关系效用分别不低于初始图，并将两类对象的最终净编辑量分别限制在局部累计编辑预算内。局部方法的分项非下降和累计预算保证其终态满足这些约束；反向关系不成立，因此该全局可行域包含局部可达终态，二者并非同域。已证明最优的全局效用构成相应局部解的上界；若求解未完成，最大化问题的有效求解上界也可用作界，但当前可行解的效用不是该保证。因此，即使候选、评分与求解时间相同，比较也同时包含局部累计编辑与全局净编辑约束的差异，不能全部归因于求解范围。可行解、求解间隙和最优性状态分别报告，大预算行不自动视为全局最优。上述包含关系只涵盖BR-J终态；顺序方法允许关系效用下降，其终态不一定满足初始分项下界。顺序方法若与全局方法比较，另设不加分项下界的版本。不加分项门或采用其他净预算的版本分别命名。</w:t>
      </w:r>
    </w:p>
    <w:p>
      <w:r>
        <w:rPr>
          <w:rFonts w:ascii="Times New Roman" w:hAnsi="Times New Roman" w:eastAsia="Songti SC"/>
          <w:color w:val="000000"/>
        </w:rPr>
        <w:t>本节情景对应等求解预算比较，共同准备成本照常计入总时间。等端到端时限是另一比较条件，须从相同总额度扣除候选准备、评分和失败尝试，不能直接重命名现有成绩。预算点、规模分组、完整求解状态及失败分母集中于附录H.3。</w:t>
      </w:r>
    </w:p>
    <w:p>
      <w:pPr>
        <w:pStyle w:val="Heading3"/>
      </w:pPr>
      <w:r>
        <w:t>4.6.2 系统结果与策略对照</w:t>
      </w:r>
      <w:bookmarkStart w:id="89" w:name="v14_89"/>
      <w:bookmarkEnd w:id="89"/>
    </w:p>
    <w:p>
      <w:pPr>
        <w:pStyle w:val="TableCaption"/>
      </w:pPr>
      <w:r>
        <w:rPr>
          <w:rFonts w:ascii="Times New Roman" w:hAnsi="Times New Roman" w:eastAsia="Songti SC"/>
          <w:color w:val="000000"/>
          <w:sz w:val="21"/>
        </w:rPr>
        <w:t>表4-3 推理方法的严格抽取结果（估算情景）</w:t>
      </w:r>
      <w:bookmarkStart w:id="189" w:name="v14_189"/>
      <w:bookmarkEnd w:id="18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I0（T1初始图）</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52.45±0.33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81.07±0.32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58.56±0.45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73.38±0.41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53.38±0.26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BR-C</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58.96±0.34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53.96±0.34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RelationOnly</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59.56±0.43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54.76±0.53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81.27±0.30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59.55±0.34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73.57±0.57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54.56±0.26</w:t>
            </w:r>
          </w:p>
        </w:tc>
      </w:tr>
    </w:tbl>
    <w:p>
      <w:pPr>
        <w:pStyle w:val="ContinuationCaption"/>
        <w:pageBreakBefore/>
      </w:pPr>
      <w:r>
        <w:t>表4-3（续）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单对象动作</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81.77±0.33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60.67±0.34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74.07±0.32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55.83±0.29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未校准评分</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82.28±0.48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60.07±0.41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74.76±0.30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55.17±0.38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82.26±0.51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74.77±0.40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57.36±0.53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82.58±0.23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62.27±0.29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75.18±0.27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57.86±0.28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82.87±0.38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63.06±0.46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75.48±0.53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58.66±0.30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81.36±0.29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59.96±0.35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73.68±0.46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54.86±0.40</w:t>
            </w:r>
          </w:p>
        </w:tc>
      </w:tr>
    </w:tbl>
    <w:p>
      <w:pPr>
        <w:spacing w:after="0" w:line="240" w:lineRule="auto"/>
      </w:pPr>
    </w:p>
    <w:p>
      <w:r>
        <w:rPr>
          <w:rFonts w:ascii="Times New Roman" w:hAnsi="Times New Roman" w:eastAsia="Songti SC"/>
          <w:color w:val="000000"/>
        </w:rPr>
        <w:t>BR-J相对I0在AAEC和CDCP上的关系F1分别增加4.10和4.91个百分点。相对固定组件RelationOnly，高2.31和2.60个百分点，情景配对95%区间为[+1.65, +2.97]、[+1.68, +3.51]；相对单对象动作，高1.20和1.53个百分点，区间为[+0.39, +1.98]、[+0.69, +2.45]。前一比较检验组件可变性，后一比较检验集合表达，均须结合编辑数量、误改及成本解释。这些区间由假设计数重采样得到，不确认真实端点错误上的收益，也不证明每项机制均有必要。</w:t>
      </w:r>
    </w:p>
    <w:p>
      <w:r>
        <w:rPr>
          <w:rFonts w:ascii="Times New Roman" w:hAnsi="Times New Roman" w:eastAsia="Songti SC"/>
          <w:color w:val="000000"/>
        </w:rPr>
        <w:t>作为共同决策的补充比较，BR-J相对于组件优先分步策略的关系增量为2.33和2.80个百分点，情景文档配对95%区间分别为[+1.48, +3.10]和[+1.95, +3.67]。这些结果演示两种策略整体差异的报告方式。两者同时改变信息使用、接受条件和批内排序，不能单独识别纯执行顺序的因果作用。</w:t>
      </w:r>
    </w:p>
    <w:p>
      <w:r>
        <w:rPr>
          <w:rFonts w:ascii="Times New Roman" w:hAnsi="Times New Roman" w:eastAsia="Songti SC"/>
          <w:color w:val="000000"/>
        </w:rPr>
        <w:t>另取一个独立的两阶段决策简例，取关系权重为1、其余对象效用不变，并假设旧关系在修改组件前必须删除：旧、新组件效用分别为0.20和0.80，旧、新关系效用分别为0.90和0.20。若先提交组件，再成功生成新关系，总效用由0.20＋0.90＝1.10变为0.80＋0.20＝1.00；联合门因关系分量下降而拒绝该提议。本例与4.4.5的教学算例采用不同赋值，仅说明代理目标下的决策差异；真实标签与代理评分不一致时，联合门也可能错误拒绝。</w:t>
      </w:r>
    </w:p>
    <w:p>
      <w:r>
        <w:rPr>
          <w:rFonts w:ascii="Times New Roman" w:hAnsi="Times New Roman" w:eastAsia="Songti SC"/>
          <w:color w:val="000000"/>
        </w:rPr>
        <w:t>全局等求解预算结果略高于BR-J，扩大求解预算后继续提高关系结果。这个次序符合更宽决策范围可能获得更好解的解释，但不能由任务F1反推预测效用的最优性。局部方法的价值还取决于求解时间、预算可控性与实际恢复轨迹，成本比较见4.6.5节。</w:t>
      </w:r>
    </w:p>
    <w:p>
      <w:pPr>
        <w:pStyle w:val="Heading3"/>
      </w:pPr>
      <w:r>
        <w:t>4.6.3 候选覆盖与恢复空间</w:t>
      </w:r>
      <w:bookmarkStart w:id="90" w:name="v14_90"/>
      <w:bookmarkEnd w:id="90"/>
    </w:p>
    <w:p>
      <w:r>
        <w:rPr>
          <w:rFonts w:ascii="Times New Roman" w:hAnsi="Times New Roman" w:eastAsia="Songti SC"/>
          <w:color w:val="000000"/>
        </w:rPr>
        <w:t>严格组件覆盖以完整金标组件数为分母；全部端点覆盖要求一条金标关系的所有完整端点均存在；完整关系覆盖进一步要求源集合、方向和标签被枚举。这三个层次均不表示对象能够共同进入合法图，也不表示已经进入实际队列。</w:t>
      </w:r>
    </w:p>
    <w:p>
      <w:pPr>
        <w:pStyle w:val="TableCaption"/>
      </w:pPr>
      <w:r>
        <w:rPr>
          <w:rFonts w:ascii="Times New Roman" w:hAnsi="Times New Roman" w:eastAsia="Songti SC"/>
          <w:color w:val="000000"/>
          <w:sz w:val="21"/>
        </w:rPr>
        <w:t>表4-4 从完整组件到完整关系的候选覆盖（估算情景）</w:t>
      </w:r>
      <w:bookmarkStart w:id="190" w:name="v14_190"/>
      <w:bookmarkEnd w:id="19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覆盖层次</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 %（计数）</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 %（计数）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完整组件</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95.18（1600/1681）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91.79（1419/1546）</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全部完整端点</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91.11（1137/1248）</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84.61（786/929）</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87.42（1091/1248）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79.22（736/929）</w:t>
            </w:r>
          </w:p>
        </w:tc>
      </w:tr>
    </w:tbl>
    <w:p>
      <w:pPr>
        <w:spacing w:after="0" w:line="240" w:lineRule="auto"/>
      </w:pPr>
    </w:p>
    <w:p>
      <w:r>
        <w:rPr>
          <w:rFonts w:ascii="Times New Roman" w:hAnsi="Times New Roman" w:eastAsia="Songti SC"/>
          <w:color w:val="000000"/>
        </w:rPr>
        <w:t>AAEC从组件覆盖到完整关系覆盖仍有差距，CDCP的差距更大。原生超边需要同时满足多个源成员和目标的完整身份，因此单个跨度进入候选并不足以恢复关系。二元逆向槽位被裁掉时，该方向不进入反向队列；现有长超边保护与新长源集合枚举也分别记录，避免把候选范围限制统一归为评分失败。</w:t>
      </w:r>
    </w:p>
    <w:p>
      <w:r>
        <w:rPr>
          <w:rFonts w:ascii="Times New Roman" w:hAnsi="Times New Roman" w:eastAsia="Songti SC"/>
          <w:color w:val="000000"/>
        </w:rPr>
        <w:t>令</w:t>
      </w:r>
      <m:oMath>
        <m:sSub>
          <m:e>
            <m:r>
              <m:t xml:space="preserve">ℋ</m:t>
            </m:r>
          </m:e>
          <m:sub>
            <m:r>
              <m:t xml:space="preserve">1</m:t>
            </m:r>
          </m:sub>
        </m:sSub>
      </m:oMath>
      <w:r>
        <w:rPr>
          <w:rFonts w:ascii="Times New Roman" w:hAnsi="Times New Roman" w:eastAsia="Songti SC"/>
          <w:color w:val="000000"/>
        </w:rPr>
        <w:t>为初始图及一次允许事务的合法终态，</w:t>
      </w:r>
      <m:oMath>
        <m:sSub>
          <m:e>
            <m:r>
              <m:t xml:space="preserve">ℋ</m:t>
            </m:r>
          </m:e>
          <m:sub>
            <m:r>
              <m:t xml:space="preserve">L</m:t>
            </m:r>
          </m:sub>
        </m:sSub>
      </m:oMath>
      <w:r>
        <w:rPr>
          <w:rFonts w:ascii="Times New Roman" w:hAnsi="Times New Roman" w:eastAsia="Songti SC"/>
          <w:color w:val="000000"/>
        </w:rPr>
        <w:t>为最多</w:t>
      </w:r>
      <m:oMath>
        <m:r>
          <m:t xml:space="preserve">L</m:t>
        </m:r>
      </m:oMath>
      <w:r>
        <w:rPr>
          <w:rFonts w:ascii="Times New Roman" w:hAnsi="Times New Roman" w:eastAsia="Songti SC"/>
          <w:color w:val="000000"/>
        </w:rPr>
        <w:t>次事务、每一步合法并满足累计编辑预算的终态，</w:t>
      </w:r>
      <m:oMath>
        <m:sSub>
          <m:e>
            <m:r>
              <m:t xml:space="preserve">ℋ</m:t>
            </m:r>
          </m:e>
          <m:sub>
            <m:r>
              <m:t xml:space="preserve">n</m:t>
            </m:r>
            <m:r>
              <m:t xml:space="preserve">e</m:t>
            </m:r>
            <m:r>
              <m:t xml:space="preserve">t</m:t>
            </m:r>
          </m:sub>
        </m:sSub>
      </m:oMath>
      <w:r>
        <w:rPr>
          <w:rFonts w:ascii="Times New Roman" w:hAnsi="Times New Roman" w:eastAsia="Songti SC"/>
          <w:color w:val="000000"/>
        </w:rPr>
        <w:t>为相同候选与整图合法性下满足相同数值净编辑预算的图。三者解除预测效用门、队列截断和运行时限；前两者保留动作形态，</w:t>
      </w:r>
      <m:oMath>
        <m:sSub>
          <m:e>
            <m:r>
              <m:t xml:space="preserve">ℋ</m:t>
            </m:r>
          </m:e>
          <m:sub>
            <m:r>
              <m:t xml:space="preserve">L</m:t>
            </m:r>
          </m:sub>
        </m:sSub>
      </m:oMath>
      <w:r>
        <w:rPr>
          <w:rFonts w:ascii="Times New Roman" w:hAnsi="Times New Roman" w:eastAsia="Songti SC"/>
          <w:color w:val="000000"/>
        </w:rPr>
        <w:t>保留中间状态与累计成本。包含no-op时，有</w:t>
      </w:r>
      <m:oMath>
        <m:sSub>
          <m:e>
            <m:r>
              <m:t xml:space="preserve">ℋ</m:t>
            </m:r>
          </m:e>
          <m:sub>
            <m:r>
              <m:t xml:space="preserve">1</m:t>
            </m:r>
          </m:sub>
        </m:sSub>
        <m:r>
          <m:t xml:space="preserve">⊆</m:t>
        </m:r>
        <m:sSub>
          <m:e>
            <m:r>
              <m:t xml:space="preserve">ℋ</m:t>
            </m:r>
          </m:e>
          <m:sub>
            <m:r>
              <m:t xml:space="preserve">L</m:t>
            </m:r>
          </m:sub>
        </m:sSub>
        <m:r>
          <m:t xml:space="preserve">⊆</m:t>
        </m:r>
        <m:sSub>
          <m:e>
            <m:r>
              <m:t xml:space="preserve">ℋ</m:t>
            </m:r>
          </m:e>
          <m:sub>
            <m:r>
              <m:t xml:space="preserve">n</m:t>
            </m:r>
            <m:r>
              <m:t xml:space="preserve">e</m:t>
            </m:r>
            <m:r>
              <m:t xml:space="preserve">t</m:t>
            </m:r>
          </m:sub>
        </m:sSub>
      </m:oMath>
      <w:r>
        <w:rPr>
          <w:rFonts w:ascii="Times New Roman" w:hAnsi="Times New Roman" w:eastAsia="Songti SC"/>
          <w:color w:val="000000"/>
        </w:rPr>
        <w:t>。主诊断的</w:t>
      </w:r>
      <m:oMath>
        <m:r>
          <m:t xml:space="preserve">L</m:t>
        </m:r>
      </m:oMath>
      <w:r>
        <w:rPr>
          <w:rFonts w:ascii="Times New Roman" w:hAnsi="Times New Roman" w:eastAsia="Songti SC"/>
          <w:color w:val="000000"/>
        </w:rPr>
        <w:t>对应BR-J外层接受上限，不是轮数或分步阶段数。</w:t>
      </w:r>
    </w:p>
    <w:p>
      <w:r>
        <w:rPr>
          <w:rFonts w:ascii="Times New Roman" w:hAnsi="Times New Roman" w:eastAsia="Songti SC"/>
          <w:color w:val="000000"/>
        </w:rPr>
        <w:t>Oracle按整个评价集合的严格关系micro-F1优化，即</w:t>
      </w:r>
      <m:oMath>
        <m:r>
          <m:t xml:space="preserve">2</m:t>
        </m:r>
        <m:sSub>
          <m:e>
            <m:r>
              <m:t xml:space="preserve">∑</m:t>
            </m:r>
          </m:e>
          <m:sub>
            <m:r>
              <m:t xml:space="preserve">d</m:t>
            </m:r>
          </m:sub>
        </m:sSub>
        <m:r>
          <m:t xml:space="preserve">T</m:t>
        </m:r>
        <m:sSub>
          <m:e>
            <m:r>
              <m:t xml:space="preserve">P</m:t>
            </m:r>
          </m:e>
          <m:sub>
            <m:r>
              <m:t xml:space="preserve">d</m:t>
            </m:r>
          </m:sub>
        </m:sSub>
        <m:r>
          <m:t xml:space="preserve">/</m:t>
        </m:r>
        <m:r>
          <m:t xml:space="preserve">(</m:t>
        </m:r>
        <m:sSub>
          <m:e>
            <m:r>
              <m:t xml:space="preserve">∑</m:t>
            </m:r>
          </m:e>
          <m:sub>
            <m:r>
              <m:t xml:space="preserve">d</m:t>
            </m:r>
          </m:sub>
        </m:sSub>
        <m:r>
          <m:t xml:space="preserve">|</m:t>
        </m:r>
        <m:sSub>
          <m:e>
            <m:r>
              <m:t xml:space="preserve">R</m:t>
            </m:r>
          </m:e>
          <m:sub>
            <m:r>
              <m:t xml:space="preserve">d</m:t>
            </m:r>
          </m:sub>
        </m:sSub>
        <m:r>
          <m:t xml:space="preserve">|</m:t>
        </m:r>
        <m:r>
          <m:t xml:space="preserve">+</m:t>
        </m:r>
        <m:sSub>
          <m:e>
            <m:r>
              <m:t xml:space="preserve">∑</m:t>
            </m:r>
          </m:e>
          <m:sub>
            <m:r>
              <m:t xml:space="preserve">d</m:t>
            </m:r>
          </m:sub>
        </m:sSub>
        <m:r>
          <m:t xml:space="preserve">|</m:t>
        </m:r>
        <m:sSub>
          <m:e>
            <m:r>
              <m:t xml:space="preserve">Y</m:t>
            </m:r>
          </m:e>
          <m:sub>
            <m:r>
              <m:t xml:space="preserve">d</m:t>
            </m:r>
          </m:sub>
        </m:sSub>
        <m:r>
          <m:t xml:space="preserve">|</m:t>
        </m:r>
        <m:r>
          <m:t xml:space="preserve">)</m:t>
        </m:r>
      </m:oMath>
      <w:r>
        <w:rPr>
          <w:rFonts w:ascii="Times New Roman" w:hAnsi="Times New Roman" w:eastAsia="Songti SC"/>
          <w:color w:val="000000"/>
        </w:rPr>
        <w:t>。逐文档最优F1再平均不等于该目标。表4-5按共同计数展示三个恢复空间的诊断值，金标只参与离线诊断，不进入测试输出选择或预算调整。</w:t>
      </w:r>
    </w:p>
    <w:p>
      <w:pPr>
        <w:pStyle w:val="TableCaption"/>
      </w:pPr>
      <w:r>
        <w:rPr>
          <w:rFonts w:ascii="Times New Roman" w:hAnsi="Times New Roman" w:eastAsia="Songti SC"/>
          <w:color w:val="000000"/>
          <w:sz w:val="21"/>
        </w:rPr>
        <w:t>表4-5 三类恢复空间的关系计数诊断（估算情景）</w:t>
      </w:r>
      <w:bookmarkStart w:id="191" w:name="v14_191"/>
      <w:bookmarkEnd w:id="19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空间</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 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 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76.77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940/261/308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70.26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639/251/290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多事务松弛空间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1020/184/228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77.67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708/186/221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全局净预算松弛空间</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85.07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1043/161/205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733/162/196</w:t>
            </w:r>
          </w:p>
        </w:tc>
      </w:tr>
    </w:tbl>
    <w:p>
      <w:pPr>
        <w:spacing w:after="0" w:line="240" w:lineRule="auto"/>
      </w:pPr>
    </w:p>
    <w:p>
      <w:r>
        <w:rPr>
          <w:rFonts w:ascii="Times New Roman" w:hAnsi="Times New Roman" w:eastAsia="Songti SC"/>
          <w:color w:val="000000"/>
        </w:rPr>
        <w:t>多事务空间相对单事务空间保留了额外恢复余地，全局净预算空间又放宽了路径和累计开销限制。三者的数值差异说明“覆盖”“可达”和“实际接受”应分开分析；关系候选存在仍可能需要后续事务才能被选择。附录D.4的四组件穷举给出最小例子：覆盖为100%，一次事务最佳F1为66.67，多步为100.00，原因是删除非端点组件后，新合法关系还需单独的关系事务。</w:t>
      </w:r>
    </w:p>
    <w:p>
      <w:r>
        <w:rPr>
          <w:rFonts w:ascii="Times New Roman" w:hAnsi="Times New Roman" w:eastAsia="Songti SC"/>
          <w:color w:val="000000"/>
        </w:rPr>
        <w:t>净编辑预算也不代表相同操作成本。先删除再加入同一对象的终态净变化为0，实际累计编辑为2。未完成全状态求解时，找到的可行值只提供最大化目标的下界，须与有效上界和最优性状态分开。金标Oracle和4.6.1的预测效用全局ILP使用不同目标，不能相互替代。</w:t>
      </w:r>
    </w:p>
    <w:p>
      <w:pPr>
        <w:pStyle w:val="Heading3"/>
      </w:pPr>
      <w:r>
        <w:t>4.6.4 完整对象评分与校准</w:t>
      </w:r>
      <w:bookmarkStart w:id="91" w:name="v14_91"/>
      <w:bookmarkEnd w:id="91"/>
    </w:p>
    <w:p>
      <w:r>
        <w:rPr>
          <w:rFonts w:ascii="Times New Roman" w:hAnsi="Times New Roman" w:eastAsia="Songti SC"/>
          <w:color w:val="000000"/>
        </w:rPr>
        <w:t>评分验证使用固定提案及完整对象精确标签，按文档分组，保留候选来源与自然错误类别。组件、关系分别统计AUROC、Brier和10个等宽分箱的ECE；AUROC反映排序，Brier和ECE反映概率与标签的对应。概率校准的讨论遵循置信度与经验正确率的区分[45]。</w:t>
      </w:r>
    </w:p>
    <w:p>
      <w:pPr>
        <w:pStyle w:val="TableCaption"/>
      </w:pPr>
      <w:r>
        <w:rPr>
          <w:rFonts w:ascii="Times New Roman" w:hAnsi="Times New Roman" w:eastAsia="Songti SC"/>
          <w:color w:val="000000"/>
          <w:sz w:val="21"/>
        </w:rPr>
        <w:t>表4-6 完整对象评分的区分与校准（估算情景）</w:t>
      </w:r>
      <w:bookmarkStart w:id="192" w:name="v14_192"/>
      <w:bookmarkEnd w:id="19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AUROC</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Brier前→后</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ECE前→后</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对象数</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0.181→0.173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0.082→0.024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0.178→0.170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0.077→0.010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0.168→0.164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0.057→0.021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0.781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0.177→0.169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0.074→0.009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r>
    </w:tbl>
    <w:p>
      <w:pPr>
        <w:spacing w:after="0" w:line="240" w:lineRule="auto"/>
      </w:pPr>
    </w:p>
    <w:p>
      <w:r>
        <w:rPr>
          <w:rFonts w:ascii="Times New Roman" w:hAnsi="Times New Roman" w:eastAsia="Songti SC"/>
          <w:color w:val="000000"/>
        </w:rPr>
        <w:t>校准后Brier和ECE下降，AUROC保持不变，符合单调概率变换保持排序的特点。完整关系正例要求源成员、目标、端点类型、方向和标签同时匹配，不能把一个成员正确视为整条超边正确。未被生成器输出的关系也不自动记作负例，候选池需要保留完整标签槽位和明确定义的负例来源。</w:t>
      </w:r>
    </w:p>
    <w:p>
      <w:r>
        <w:rPr>
          <w:rFonts w:ascii="Times New Roman" w:hAnsi="Times New Roman" w:eastAsia="Songti SC"/>
          <w:color w:val="000000"/>
        </w:rPr>
        <w:t>训练内OOF生成器与跨度头共同隔离持出文档及其变体，开发校准与策略选择使用不同子集。T0和T1候选的分布变化纳入评分材料，最终模型的候选来源单独登记。表4-3中未校准评分低于完整BR-J，但概率指标改善仍不构成接受后安全保证：搜索会选择高分对象，接受分布与固定提案分布不同，需进一步观察表4-7的恢复和误改。</w:t>
      </w:r>
    </w:p>
    <w:p>
      <w:pPr>
        <w:pStyle w:val="Heading3"/>
      </w:pPr>
      <w:r>
        <w:t>4.6.5 恢复风险与资源取舍</w:t>
      </w:r>
      <w:bookmarkStart w:id="92" w:name="v14_92"/>
      <w:bookmarkEnd w:id="92"/>
    </w:p>
    <w:p>
      <w:pPr>
        <w:pStyle w:val="TableCaption"/>
      </w:pPr>
      <w:r>
        <w:rPr>
          <w:rFonts w:ascii="Times New Roman" w:hAnsi="Times New Roman" w:eastAsia="Songti SC"/>
          <w:color w:val="000000"/>
          <w:sz w:val="21"/>
        </w:rPr>
        <w:t>表4-7 关系恢复与误改的累计计数（估算情景）</w:t>
      </w:r>
      <w:bookmarkStart w:id="193" w:name="v14_193"/>
      <w:bookmarkEnd w:id="19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恢复TP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损失TP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移除FP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原TP保留%</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分步</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94.54</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96.30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全局等求解预算</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227</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309</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155</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97.25</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分步</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141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94.23</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95.92</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全局等求解预算</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203</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96.34</w:t>
            </w:r>
          </w:p>
        </w:tc>
      </w:tr>
    </w:tbl>
    <w:p>
      <w:pPr>
        <w:spacing w:after="0" w:line="240" w:lineRule="auto"/>
      </w:pPr>
    </w:p>
    <w:p>
      <w:r>
        <w:rPr>
          <w:rFonts w:ascii="Times New Roman" w:hAnsi="Times New Roman" w:eastAsia="Songti SC"/>
          <w:color w:val="000000"/>
        </w:rPr>
        <w:t>表4-7累加三个情景种子的关系对象变化，恢复为新增真阳性，损失为初始真阳性消失；FP移除与新增分别计数。BR-J在AAEC和CDCP保留了96.30%和95.92%的初始关系真阳性。尽管总体关系F1提高，仍有42和86个文档与种子配对的关系F1下降，分别占17.50%和19.37%。因此，分项代理门不保证每篇文档的真实指标非下降；此处比例同样只是情景生成结果。</w:t>
      </w:r>
    </w:p>
    <w:p>
      <w:r>
        <w:rPr>
          <w:rFonts w:ascii="Times New Roman" w:hAnsi="Times New Roman" w:eastAsia="Songti SC"/>
          <w:color w:val="000000"/>
        </w:rPr>
        <w:t>分步方法最多进行两次阶段提交，BR-J每个外层接受进行一次联合提交。本文以文档净TP、FP、FN比较风险，不直接把二者的“有益提交比例”放在同一分母下。组件与关系混合变化保留计数向量；以关系F1标记有益或有害时，也不掩盖组件端的变化。</w:t>
      </w:r>
    </w:p>
    <w:p>
      <w:pPr>
        <w:keepNext/>
        <w:spacing w:line="240" w:lineRule="auto" w:before="80" w:after="60"/>
        <w:ind w:firstLine="0"/>
        <w:jc w:val="center"/>
      </w:pPr>
      <w:r>
        <w:drawing>
          <wp:inline xmlns:a="http://schemas.openxmlformats.org/drawingml/2006/main" xmlns:pic="http://schemas.openxmlformats.org/drawingml/2006/picture">
            <wp:extent cx="5652770" cy="2768473"/>
            <wp:docPr id="9" name="recovery_risk.png" descr="联合修正的关系恢复与真阳性损失"/>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652770" cy="2768473"/>
                    </a:xfrm>
                    <a:prstGeom prst="rect"/>
                  </pic:spPr>
                </pic:pic>
              </a:graphicData>
            </a:graphic>
          </wp:inline>
        </w:drawing>
      </w:r>
    </w:p>
    <w:p>
      <w:pPr>
        <w:pStyle w:val="FigureCaption"/>
      </w:pPr>
      <w:r>
        <w:rPr>
          <w:rFonts w:ascii="Times New Roman" w:hAnsi="Times New Roman" w:eastAsia="Songti SC"/>
          <w:color w:val="000000"/>
          <w:sz w:val="21"/>
        </w:rPr>
        <w:t>图4-3 联合修正中的关系恢复与原真阳性损失（估算情景）</w:t>
      </w:r>
      <w:bookmarkStart w:id="194" w:name="v14_194"/>
      <w:bookmarkEnd w:id="194"/>
    </w:p>
    <w:p>
      <w:pPr>
        <w:pStyle w:val="TableCaption"/>
      </w:pPr>
      <w:r>
        <w:rPr>
          <w:rFonts w:ascii="Times New Roman" w:hAnsi="Times New Roman" w:eastAsia="Songti SC"/>
          <w:color w:val="000000"/>
          <w:sz w:val="21"/>
        </w:rPr>
        <w:t>表4-8 推理成本与预算取舍（估算情景）</w:t>
      </w:r>
      <w:bookmarkStart w:id="195" w:name="v14_195"/>
      <w:bookmarkEnd w:id="19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平均秒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求解秒</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总k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27.2</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组件优先分步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49.69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52.77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全局ILP大预算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164.64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I0</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69.96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45.16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250.74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71.10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bl>
    <w:p>
      <w:pPr>
        <w:spacing w:after="0" w:line="240" w:lineRule="auto"/>
      </w:pPr>
    </w:p>
    <w:p>
      <w:r>
        <w:rPr>
          <w:rFonts w:ascii="Times New Roman" w:hAnsi="Times New Roman" w:eastAsia="Songti SC"/>
          <w:color w:val="000000"/>
        </w:rPr>
        <w:t>耗时包括候选生成、裁剪前对象评分、全部提议评估、失败处理和求解。保留4096个补充槽位不意味着只对4096个对象评分。表4-8的等求解预算比较采用相同逐文档总求解上限及线程设置，单次时限另记；大预算全局结果允许更长求解时间。重生成与BR-J对齐总token额度，解析失败与额外调用进入成本，实际调用组织可以不同。这里的token合计包含各模型输入与输出，是额度代理；输入读取、评分和自回归解码的单位代价不同，等token不表示等GPU时间、等能耗或等端到端时延，成本结论须同时查看时间列。</w:t>
      </w:r>
    </w:p>
    <w:p>
      <w:r>
        <w:rPr>
          <w:rFonts w:ascii="Times New Roman" w:hAnsi="Times New Roman" w:eastAsia="Songti SC"/>
          <w:color w:val="000000"/>
        </w:rPr>
        <w:t>BR-J相对等求解预算全局ILP节省的平均总时间为4.19%和4.73%，关系F1按未舍入值低0.40和0.49个百分点。局部与全局的质量差异和TP保留须分别查看表4-3及表4-7，不能预设局部更安全。BR-J求解仅占总时间的5.00%和5.67%，主要成本仍在生成与评分。上述数值是设定成本下的算术关系，不支持突出的效率优势；采用判断须按附录H.3实测准备、求解、失败与尾延迟。</w:t>
      </w:r>
    </w:p>
    <w:p>
      <w:pPr>
        <w:pStyle w:val="Heading3"/>
      </w:pPr>
      <w:r>
        <w:t>4.6.6 预算条件的分析示例</w:t>
      </w:r>
      <w:bookmarkStart w:id="93" w:name="v14_93"/>
      <w:bookmarkEnd w:id="93"/>
    </w:p>
    <w:p>
      <w:r>
        <w:rPr>
          <w:rFonts w:ascii="Times New Roman" w:hAnsi="Times New Roman" w:eastAsia="Songti SC"/>
          <w:color w:val="000000"/>
        </w:rPr>
        <w:t>等求解预算与等端到端时限回答不同问题：后者须从总时限扣除共同准备、评分和失败处理。附录H.7以显式成本函数和完成度插值演示预算、回退及分母的联合分析；预检失败不删除，未枚举对象的潜在可恢复覆盖保持未知。</w:t>
      </w:r>
    </w:p>
    <w:p>
      <w:r>
        <w:rPr>
          <w:rFonts w:ascii="Times New Roman" w:hAnsi="Times New Roman" w:eastAsia="Songti SC"/>
          <w:color w:val="000000"/>
        </w:rPr>
        <w:t>若准备成本和两类求解轨迹满足该附录的设定关系，可能出现某些规模与时限下的条件优势。其排序部分由相对速度及质量插值预先决定，不能由模拟区间确认算法采用条件。当前保留依赖闭合恢复这一研究核心，局部或全局的优先级等待共同候选、评分和资源条件下的实际运行；结果不支持时允许简化局部设计。</w:t>
      </w:r>
    </w:p>
    <w:p>
      <w:pPr>
        <w:pStyle w:val="Heading3"/>
      </w:pPr>
      <w:r>
        <w:t>4.6.7 案例分析</w:t>
      </w:r>
      <w:bookmarkStart w:id="94" w:name="v14_94"/>
      <w:bookmarkEnd w:id="94"/>
    </w:p>
    <w:p>
      <w:r>
        <w:rPr>
          <w:rFonts w:ascii="Times New Roman" w:hAnsi="Times New Roman" w:eastAsia="Songti SC"/>
          <w:color w:val="000000"/>
        </w:rPr>
        <w:t>表4-9仅以人工机制片段说明四种决策情形。真实同文档前后案例尚未取得，取例与复核要求见附录B.5及H.4。</w:t>
      </w:r>
    </w:p>
    <w:p>
      <w:pPr>
        <w:pStyle w:val="TableCaption"/>
      </w:pPr>
      <w:r>
        <w:rPr>
          <w:rFonts w:ascii="Times New Roman" w:hAnsi="Times New Roman" w:eastAsia="Songti SC"/>
          <w:color w:val="000000"/>
          <w:sz w:val="21"/>
        </w:rPr>
        <w:t>表4-9 结构恢复与失败案例（估算情景）</w:t>
      </w:r>
      <w:bookmarkStart w:id="196" w:name="v14_196"/>
      <w:bookmarkEnd w:id="19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2835"/>
        <w:gridCol w:w="2409"/>
        <w:gridCol w:w="2409"/>
      </w:tblGrid>
      <w:tr>
        <w:trPr>
          <w:cantSplit/>
          <w:tblHeader/>
        </w:trPr>
        <w:tc>
          <w:tcPr>
            <w:tcW w:type="dxa" w:w="124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类别</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原文及金标要点</w:t>
            </w:r>
          </w:p>
        </w:tc>
        <w:tc>
          <w:tcPr>
            <w:tcW w:type="dxa" w:w="240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初始状态与候选</w:t>
            </w:r>
          </w:p>
        </w:tc>
        <w:tc>
          <w:tcPr>
            <w:tcW w:type="dxa" w:w="240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决策与解释</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拆分恢复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“The library needs more seats. It should also stay open later.”包含两个主张</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初始将两句合成一个组件；池中保留两个独立跨度</w:t>
            </w:r>
          </w:p>
        </w:tc>
        <w:tc>
          <w:tcPr>
            <w:tcW w:type="dxa" w:w="240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拆为两个兼容组件，并重建各自入关系；共同提交避免沿用旧端点</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错误接受</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“More seats may help, but longer hours alone will not solve crowding.”含模态与否定</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候选错误地赋予后半句肯定支持关系；对象分偏高</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联合代理门通过但严格关系变差，体现评分偏差的影响</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错误拒绝</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“The schedule is too short to serve evening students.”支持延时开放</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正确替代跨度和关系均在池中，关系对象分偏低</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组件增益不能补偿关系代理下降，分项门拒绝真实有益提议</w:t>
            </w:r>
          </w:p>
        </w:tc>
      </w:tr>
      <w:tr>
        <w:trPr>
          <w:cantSplit/>
        </w:trPr>
        <w:tc>
          <w:tcPr>
            <w:tcW w:type="dxa" w:w="124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候选限制</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“Staffing is limited. Buses stop early. Lighting is unsafe.”三条前提共同支持“The library should close early.”</w:t>
            </w:r>
          </w:p>
        </w:tc>
        <w:tc>
          <w:tcPr>
            <w:tcW w:type="dxa" w:w="240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一个正确源跨度被裁剪，无法形成完整关系对象</w:t>
            </w:r>
          </w:p>
        </w:tc>
        <w:tc>
          <w:tcPr>
            <w:tcW w:type="dxa" w:w="240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扩大当前事务时间仍不能恢复，需在候选构造层处理</w:t>
            </w:r>
          </w:p>
        </w:tc>
      </w:tr>
    </w:tbl>
    <w:p>
      <w:pPr>
        <w:spacing w:after="0" w:line="240" w:lineRule="auto"/>
      </w:pPr>
    </w:p>
    <w:p>
      <w:r>
        <w:rPr>
          <w:rFonts w:ascii="Times New Roman" w:hAnsi="Times New Roman" w:eastAsia="Songti SC"/>
          <w:color w:val="000000"/>
        </w:rPr>
        <w:t>四类片段分别说明动作表达、评分偏差、接受门和候选限制；真实频率与误改风险由总体运行记录评价。</w:t>
      </w:r>
    </w:p>
    <w:p>
      <w:pPr>
        <w:pStyle w:val="Heading2"/>
      </w:pPr>
      <w:r>
        <w:t>4.7 本章小结</w:t>
      </w:r>
      <w:bookmarkStart w:id="95" w:name="v14_95"/>
      <w:bookmarkEnd w:id="95"/>
    </w:p>
    <w:p>
      <w:r>
        <w:rPr>
          <w:rFonts w:ascii="Times New Roman" w:hAnsi="Times New Roman" w:eastAsia="Songti SC"/>
          <w:color w:val="000000"/>
        </w:rPr>
        <w:t>本章将组件集合替换、完整依赖重建与共同接受组织为结构恢复事务，处理逐个组件修改无法完整评价关系影响的问题。集合动作扩展可表达的修改范围；固定评分下的差值与终止性质说明规约边界，不保证真实F1或全局最优。</w:t>
      </w:r>
    </w:p>
    <w:p>
      <w:r>
        <w:rPr>
          <w:rFonts w:ascii="Times New Roman" w:hAnsi="Times New Roman" w:eastAsia="Songti SC"/>
          <w:color w:val="000000"/>
        </w:rPr>
        <w:t>评价围绕RelationOnly、单对象动作和同目标全局求解展开，分别检验组件可变性、集合表达及所付成本。现有人工计数展示了比较口径，不能确定真实采用条件。预算函数留作附录中的条件分析，外部系统比较仍待按附录G接入；第五章继续讨论同批四格输出能回答和不能回答的问题。</w:t>
      </w:r>
    </w:p>
    <w:p>
      <w:pPr>
        <w:pStyle w:val="Heading1"/>
      </w:pPr>
      <w:r>
        <w:t>第五章 两阶段框架的综合分析</w:t>
      </w:r>
      <w:bookmarkStart w:id="96" w:name="v14_96"/>
      <w:bookmarkEnd w:id="96"/>
    </w:p>
    <w:p>
      <w:r>
        <w:rPr>
          <w:rFonts w:ascii="Times New Roman" w:hAnsi="Times New Roman" w:eastAsia="Songti SC"/>
          <w:color w:val="000000"/>
        </w:rPr>
        <w:t>本章复用同一批四格人工计数，依次讨论组合增量、对象作用的可识别性，以及训练完成后各配置的在线质量与时间取舍。统计口径的变化不另计为研究发现；对象补全仅作为附录H.8的非唯一性示例，不充当模型输出。</w:t>
      </w:r>
    </w:p>
    <w:p>
      <w:pPr>
        <w:pStyle w:val="Heading2"/>
      </w:pPr>
      <w:r>
        <w:t>5.1 两阶段的条件增量</w:t>
      </w:r>
      <w:bookmarkStart w:id="97" w:name="v14_97"/>
      <w:bookmarkEnd w:id="97"/>
    </w:p>
    <w:p>
      <w:r>
        <w:rPr>
          <w:rFonts w:ascii="Times New Roman" w:hAnsi="Times New Roman" w:eastAsia="Songti SC"/>
          <w:color w:val="000000"/>
        </w:rPr>
        <w:t>四格为T0＋I0、T1＋I0、T0＋I1和T1＋I1，I1采用BR-J。同一训练条件下，I0与I1共用检查点、初始图和候选；不同训练条件可以改变候选及评分适配，因而四格估计的是条件系统增量。第三章T1和第四章BR-J分别复用T1＋I0、T1＋I1的主行，全部三个种子均进入汇总。</w:t>
      </w:r>
    </w:p>
    <w:p>
      <w:pPr>
        <w:pStyle w:val="TableCaption"/>
      </w:pPr>
      <w:r>
        <w:rPr>
          <w:rFonts w:ascii="Times New Roman" w:hAnsi="Times New Roman" w:eastAsia="Songti SC"/>
          <w:color w:val="000000"/>
          <w:sz w:val="21"/>
        </w:rPr>
        <w:t>表5-1 两阶段组合的四格结果（估算情景）</w:t>
      </w:r>
      <w:bookmarkStart w:id="197" w:name="v14_197"/>
      <w:bookmarkEnd w:id="19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52.45±0.33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79.88±0.53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57.26±0.34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71.77±0.39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52.47±0.43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82.26±0.51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74.77±0.40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57.36±0.53</w:t>
            </w:r>
          </w:p>
        </w:tc>
      </w:tr>
    </w:tbl>
    <w:p>
      <w:pPr>
        <w:spacing w:after="0" w:line="240" w:lineRule="auto"/>
      </w:pPr>
    </w:p>
    <w:p>
      <w:r>
        <w:rPr>
          <w:rFonts w:ascii="Times New Roman" w:hAnsi="Times New Roman" w:eastAsia="Songti SC"/>
          <w:color w:val="000000"/>
        </w:rPr>
        <w:t>完整组合相对T0＋I0的关系增量为8.62和9.33个百分点。令</w:t>
      </w:r>
      <m:oMath>
        <m:sSub>
          <m:e>
            <m:r>
              <m:t xml:space="preserve">F</m:t>
            </m:r>
          </m:e>
          <m:sub>
            <m:r>
              <m:t xml:space="preserve">t</m:t>
            </m:r>
            <m:r>
              <m:t xml:space="preserve">i</m:t>
            </m:r>
          </m:sub>
        </m:sSub>
      </m:oMath>
      <w:r>
        <w:rPr>
          <w:rFonts w:ascii="Times New Roman" w:hAnsi="Times New Roman" w:eastAsia="Songti SC"/>
          <w:color w:val="000000"/>
        </w:rPr>
        <w:t>表示同一指标的四格结果，交互差为</w:t>
      </w:r>
      <m:oMath>
        <m:r>
          <m:t xml:space="preserve">I</m:t>
        </m:r>
        <m:r>
          <m:t xml:space="preserve">=</m:t>
        </m:r>
        <m:sSub>
          <m:e>
            <m:r>
              <m:t xml:space="preserve">F</m:t>
            </m:r>
          </m:e>
          <m:sub>
            <m:r>
              <m:t xml:space="preserve">1</m:t>
            </m:r>
            <m:r>
              <m:t xml:space="preserve">1</m:t>
            </m:r>
          </m:sub>
        </m:sSub>
        <m:r>
          <m:t xml:space="preserve">-</m:t>
        </m:r>
        <m:sSub>
          <m:e>
            <m:r>
              <m:t xml:space="preserve">F</m:t>
            </m:r>
          </m:e>
          <m:sub>
            <m:r>
              <m:t xml:space="preserve">1</m:t>
            </m:r>
            <m:r>
              <m:t xml:space="preserve">0</m:t>
            </m:r>
          </m:sub>
        </m:sSub>
        <m:r>
          <m:t xml:space="preserve">-</m:t>
        </m:r>
        <m:sSub>
          <m:e>
            <m:r>
              <m:t xml:space="preserve">F</m:t>
            </m:r>
          </m:e>
          <m:sub>
            <m:r>
              <m:t xml:space="preserve">0</m:t>
            </m:r>
            <m:r>
              <m:t xml:space="preserve">1</m:t>
            </m:r>
          </m:sub>
        </m:sSub>
        <m:r>
          <m:t xml:space="preserve">+</m:t>
        </m:r>
        <m:sSub>
          <m:e>
            <m:r>
              <m:t xml:space="preserve">F</m:t>
            </m:r>
          </m:e>
          <m:sub>
            <m:r>
              <m:t xml:space="preserve">0</m:t>
            </m:r>
            <m:r>
              <m:t xml:space="preserve">0</m:t>
            </m:r>
          </m:sub>
        </m:sSub>
      </m:oMath>
      <w:r>
        <w:rPr>
          <w:rFonts w:ascii="Times New Roman" w:hAnsi="Times New Roman" w:eastAsia="Songti SC"/>
          <w:color w:val="000000"/>
        </w:rPr>
        <w:t>；下表按未舍入的种子均值计算，单位为百分点。</w:t>
      </w:r>
    </w:p>
    <w:p>
      <w:pPr>
        <w:pStyle w:val="TableCaption"/>
      </w:pPr>
      <w:r>
        <w:rPr>
          <w:rFonts w:ascii="Times New Roman" w:hAnsi="Times New Roman" w:eastAsia="Songti SC"/>
          <w:color w:val="000000"/>
          <w:sz w:val="21"/>
        </w:rPr>
        <w:t>表5-2 条件增量与交互差（估算情景）</w:t>
      </w:r>
      <w:bookmarkStart w:id="198" w:name="v14_198"/>
      <w:bookmarkEnd w:id="19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语料与指标</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交互差</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+0.08</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+4.01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+0.09</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+0.41</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+4.43</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+4.89</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+0.48</w:t>
            </w:r>
          </w:p>
        </w:tc>
      </w:tr>
    </w:tbl>
    <w:p>
      <w:pPr>
        <w:spacing w:after="0" w:line="240" w:lineRule="auto"/>
      </w:pPr>
    </w:p>
    <w:p>
      <w:r>
        <w:rPr>
          <w:rFonts w:ascii="Times New Roman" w:hAnsi="Times New Roman" w:eastAsia="Songti SC"/>
          <w:color w:val="000000"/>
        </w:rPr>
        <w:t>AAEC关系交互差为+0.09，情景配对95%区间为[-1.05, +1.23]；CDCP为+0.48，区间为[-0.87, +1.81]。两者均包含0，因此组合增量与稳定超加性应分别判断。组件交互也仅描述条件总分的变化，不能据此确定两阶段改变的是哪些对象。</w:t>
      </w:r>
    </w:p>
    <w:p>
      <w:pPr>
        <w:keepNext/>
        <w:spacing w:line="240" w:lineRule="auto" w:before="80" w:after="60"/>
        <w:ind w:firstLine="0"/>
        <w:jc w:val="center"/>
      </w:pPr>
      <w:r>
        <w:drawing>
          <wp:inline xmlns:a="http://schemas.openxmlformats.org/drawingml/2006/main" xmlns:pic="http://schemas.openxmlformats.org/drawingml/2006/picture">
            <wp:extent cx="5652770" cy="2468771"/>
            <wp:docPr id="10" name="four_cell_results.png" descr="四格中两个训练条件下的推理增量"/>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652770" cy="2468771"/>
                    </a:xfrm>
                    <a:prstGeom prst="rect"/>
                  </pic:spPr>
                </pic:pic>
              </a:graphicData>
            </a:graphic>
          </wp:inline>
        </w:drawing>
      </w:r>
    </w:p>
    <w:p>
      <w:pPr>
        <w:pStyle w:val="FigureCaption"/>
      </w:pPr>
      <w:r>
        <w:rPr>
          <w:rFonts w:ascii="Times New Roman" w:hAnsi="Times New Roman" w:eastAsia="Songti SC"/>
          <w:color w:val="000000"/>
          <w:sz w:val="21"/>
        </w:rPr>
        <w:t>图5-1 两个训练条件下的推理增量与交互关系（估算情景）</w:t>
      </w:r>
      <w:bookmarkStart w:id="199" w:name="v14_199"/>
      <w:bookmarkEnd w:id="199"/>
    </w:p>
    <w:p>
      <w:pPr>
        <w:pStyle w:val="Heading2"/>
      </w:pPr>
      <w:r>
        <w:t>5.2 对象作用与聚合成绩的解释边界</w:t>
      </w:r>
      <w:bookmarkStart w:id="98" w:name="v14_98"/>
      <w:bookmarkEnd w:id="98"/>
    </w:p>
    <w:p>
      <w:r>
        <w:rPr>
          <w:rFonts w:ascii="Times New Roman" w:hAnsi="Times New Roman" w:eastAsia="Songti SC"/>
          <w:color w:val="000000"/>
        </w:rPr>
        <w:t>净计数为对象分析提供总量约束。表5-3分别计算T1＋I0减T0＋I0、T0＋I1减T0＋I0，以及T1＋I1减T1＋I0，按同文档和种子累加；金标固定，所以每项ΔFN等于−ΔTP。</w:t>
      </w:r>
    </w:p>
    <w:p>
      <w:pPr>
        <w:pStyle w:val="TableCaption"/>
      </w:pPr>
      <w:r>
        <w:rPr>
          <w:rFonts w:ascii="Times New Roman" w:hAnsi="Times New Roman" w:eastAsia="Songti SC"/>
          <w:color w:val="000000"/>
          <w:sz w:val="21"/>
        </w:rPr>
        <w:t>表5-3 四格比较的净错误计数变化（估算情景）</w:t>
      </w:r>
      <w:bookmarkStart w:id="200" w:name="v14_200"/>
      <w:bookmarkEnd w:id="20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154"/>
        <w:gridCol w:w="2268"/>
        <w:gridCol w:w="2239"/>
        <w:gridCol w:w="2239"/>
      </w:tblGrid>
      <w:tr>
        <w:trPr>
          <w:cantSplit/>
          <w:tblHeader/>
        </w:trPr>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226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训练增量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T0修正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T1修正 ΔTP／ΔFP</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+115／-112</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+85／-83</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+90／-86</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+169／-154</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+150／-136</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+154／-140</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+120／-114</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+73／-71</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+93／-88</w:t>
            </w:r>
          </w:p>
        </w:tc>
      </w:tr>
      <w:tr>
        <w:trPr>
          <w:cantSplit/>
        </w:trPr>
        <w:tc>
          <w:tcPr>
            <w:tcW w:type="dxa" w:w="2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+123／-109</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+124／-108</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+137／-123</w:t>
            </w:r>
          </w:p>
        </w:tc>
      </w:tr>
    </w:tbl>
    <w:p>
      <w:pPr>
        <w:spacing w:after="0" w:line="240" w:lineRule="auto"/>
      </w:pPr>
    </w:p>
    <w:p>
      <w:r>
        <w:rPr>
          <w:rFonts w:ascii="Times New Roman" w:hAnsi="Times New Roman" w:eastAsia="Songti SC"/>
          <w:color w:val="000000"/>
        </w:rPr>
        <w:t>AAEC在T1下修正的关系净TP增加154，T0下为150；CDCP相应为137与124。训练后剩余修正空间的变化须按语料分别解释。表4-7中BR-J的恢复减损失分别为232−78、195−58，恰好对应上述净增量；图4-3并列保留两类数量。</w:t>
      </w:r>
    </w:p>
    <w:p>
      <w:r>
        <w:rPr>
          <w:rFonts w:ascii="Times New Roman" w:hAnsi="Times New Roman" w:eastAsia="Songti SC"/>
          <w:color w:val="000000"/>
        </w:rPr>
        <w:t>上述净变化不确定共同修复、独有修复或损害的对象身份。同一组四格TP、FP、FN可对应不同的新增对象交集；附录H.8沿用旧情景的四格成绩及风险计数构造不同重叠，说明这一不可识别性；其具体范围不移用于本版主表。正式分析需从同文档预测中对齐原文坐标、类型及完整关系键，才能报告具体改对或改错了什么。</w:t>
      </w:r>
    </w:p>
    <w:p>
      <w:r>
        <w:rPr>
          <w:rFonts w:ascii="Times New Roman" w:hAnsi="Times New Roman" w:eastAsia="Songti SC"/>
          <w:color w:val="000000"/>
        </w:rPr>
        <w:t>训练条件还可能同时改变初始错误、候选覆盖和评分适配，四格差值不分解各条路径；表4-4只有T1覆盖，不能当作T0到T1的覆盖变化。本章据此将结果解释为条件系统增量，真实对象作用按附录H.4核查，不预设互补或正交互。</w:t>
      </w:r>
    </w:p>
    <w:p>
      <w:r>
        <w:rPr>
          <w:rFonts w:ascii="Times New Roman" w:hAnsi="Times New Roman" w:eastAsia="Songti SC"/>
          <w:color w:val="000000"/>
        </w:rPr>
        <w:t>源成员数分组补充说明哪些对象尚未被当前情景覆盖。以下计数仍为人工输入，不能识别同一对象在四格间的转移；逐对象阻断与同文档案例的采集见附录H.4。</w:t>
      </w:r>
    </w:p>
    <w:p>
      <w:r>
        <w:rPr>
          <w:rFonts w:ascii="Times New Roman" w:hAnsi="Times New Roman" w:eastAsia="Songti SC"/>
          <w:color w:val="000000"/>
        </w:rPr>
        <w:t>表5-4按固定人工金标集分组，三个种子共享该集合；各组F1分别计算，整体仍从全部对象计数重算。</w:t>
      </w:r>
    </w:p>
    <w:p>
      <w:pPr>
        <w:pStyle w:val="TableCaption"/>
      </w:pPr>
      <w:r>
        <w:rPr>
          <w:rFonts w:ascii="Times New Roman" w:hAnsi="Times New Roman" w:eastAsia="Songti SC"/>
          <w:color w:val="000000"/>
          <w:sz w:val="21"/>
        </w:rPr>
        <w:t>表5-4 CDCP完整关系的源成员数分组（估算情景）</w:t>
      </w:r>
      <w:bookmarkStart w:id="201" w:name="v14_201"/>
      <w:bookmarkEnd w:id="20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814"/>
        <w:gridCol w:w="1772"/>
        <w:gridCol w:w="1772"/>
        <w:gridCol w:w="1772"/>
        <w:gridCol w:w="1772"/>
      </w:tblGrid>
      <w:tr>
        <w:trPr>
          <w:cantSplit/>
          <w:tblHeader/>
        </w:trPr>
        <w:tc>
          <w:tcPr>
            <w:tcW w:type="dxa" w:w="181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源成员数／金标数</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T0＋I1</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T1＋I1</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1个／556</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53.15±1.15</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57.91±0.54</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57.55±0.80</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62.11±0.73</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2个／252</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41.95±2.30</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46.62±1.27</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47.09±0.09</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51.93±0.81</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3个／121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34.15±5.61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36.11±4.29</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36.92±3.62</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43.80±3.14</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超过3个／0</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bl>
    <w:p>
      <w:pPr>
        <w:spacing w:after="0" w:line="240" w:lineRule="auto"/>
      </w:pPr>
    </w:p>
    <w:p>
      <w:r>
        <w:rPr>
          <w:rFonts w:ascii="Times New Roman" w:hAnsi="Times New Roman" w:eastAsia="Songti SC"/>
          <w:color w:val="000000"/>
        </w:rPr>
        <w:t>超过3成员组为0，故不报告F1，也不能据此判断长超边保护或恢复是否有效。保护以初始命中的长超边为分母，新建以初始遗漏的长超边为分母，分别记录其他候选图提供的保护槽位与新增枚举槽位。新增枚举上限为3；更长关系只能从保护池选回，不能创造池外任意长源组合。本章限于原生域内任务，附录E的粗粒度跨域记录保持历史身份。</w:t>
      </w:r>
    </w:p>
    <w:p>
      <w:pPr>
        <w:pStyle w:val="Heading2"/>
      </w:pPr>
      <w:r>
        <w:t>5.3 训练完成后的在线配置取舍</w:t>
      </w:r>
      <w:bookmarkStart w:id="99" w:name="v14_99"/>
      <w:bookmarkEnd w:id="99"/>
    </w:p>
    <w:p>
      <w:r>
        <w:rPr>
          <w:rFonts w:ascii="Times New Roman" w:hAnsi="Times New Roman" w:eastAsia="Songti SC"/>
          <w:color w:val="000000"/>
        </w:rPr>
        <w:t>本节在训练投入已经发生的条件下，比较各配置的关系F1与在线平均时间。表5-5给出相对T0＋I0的情景增量，AAEC和CDCP共同起点分别为17.00秒和22.00秒；一次性训练投入、服务量及摊销阈值不属于本表的分析范围。</w:t>
      </w:r>
    </w:p>
    <w:p>
      <w:pPr>
        <w:pStyle w:val="TableCaption"/>
      </w:pPr>
      <w:r>
        <w:rPr>
          <w:rFonts w:ascii="Times New Roman" w:hAnsi="Times New Roman" w:eastAsia="Songti SC"/>
          <w:color w:val="000000"/>
          <w:sz w:val="21"/>
        </w:rPr>
        <w:t>表5-5 相对共同起点的关系增量与在线额外时间（估算情景）</w:t>
      </w:r>
      <w:bookmarkStart w:id="202" w:name="v14_202"/>
      <w:bookmarkEnd w:id="20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324"/>
        <w:gridCol w:w="1644"/>
        <w:gridCol w:w="1644"/>
        <w:gridCol w:w="1644"/>
        <w:gridCol w:w="1644"/>
      </w:tblGrid>
      <w:tr>
        <w:trPr>
          <w:cantSplit/>
          <w:tblHeader/>
        </w:trPr>
        <w:tc>
          <w:tcPr>
            <w:tcW w:type="dxa" w:w="232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AAEC增秒</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CDCP增秒</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+4.42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+4.01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+4.43</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22.16</w:t>
            </w:r>
          </w:p>
        </w:tc>
      </w:tr>
      <w:tr>
        <w:trPr>
          <w:cantSplit/>
        </w:trPr>
        <w:tc>
          <w:tcPr>
            <w:tcW w:type="dxa" w:w="232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+8.62</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15.00</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+9.33</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23.16</w:t>
            </w:r>
          </w:p>
        </w:tc>
      </w:tr>
    </w:tbl>
    <w:p>
      <w:pPr>
        <w:spacing w:after="0" w:line="240" w:lineRule="auto"/>
      </w:pPr>
    </w:p>
    <w:p>
      <w:r>
        <w:rPr>
          <w:rFonts w:ascii="Times New Roman" w:hAnsi="Times New Roman" w:eastAsia="Songti SC"/>
          <w:color w:val="000000"/>
        </w:rPr>
        <w:t>在这一条件下，AAEC的T1＋I0关系F1比T0＋I1高0.51个百分点，在线平均时间少13.00秒；CDCP则低0.02个百分点，在线时间少21.16秒。后者在该情景中呈现近乎相同的质量与不同的时间，不能沿用旧版“两语料质量均更高”的结论。该比较以训练检查点已经可用为前提，不能直接回答重训或训练摊销条件下的总体选择。</w:t>
      </w:r>
    </w:p>
    <w:p>
      <w:r>
        <w:rPr>
          <w:rFonts w:ascii="Times New Roman" w:hAnsi="Times New Roman" w:eastAsia="Songti SC"/>
          <w:color w:val="000000"/>
        </w:rPr>
        <w:t>在T1上增加I1，关系F1的情景增量为4.10和4.91个百分点，在线时间增加14.00秒和22.16秒，并仍可能误改。是否采用组合应结合目标错误、质量收益与在线代价判断；实际部署还须检查尾延迟、失败及局部和全局求解取舍。</w:t>
      </w:r>
    </w:p>
    <w:p>
      <w:pPr>
        <w:pStyle w:val="Heading2"/>
      </w:pPr>
      <w:r>
        <w:t>5.4 本章小结</w:t>
      </w:r>
      <w:bookmarkStart w:id="100" w:name="v14_100"/>
      <w:bookmarkEnd w:id="100"/>
    </w:p>
    <w:p>
      <w:r>
        <w:rPr>
          <w:rFonts w:ascii="Times New Roman" w:hAnsi="Times New Roman" w:eastAsia="Songti SC"/>
          <w:color w:val="000000"/>
        </w:rPr>
        <w:t>四格比较把组合总增量分解为给定另一阶段时的条件变化，净计数和源成员分组进一步限定这些变化能解释的范围；它们尚未识别同一对象上的修复重叠或作用路径。本章配置比较仅回答训练完成后的在线取舍，不推算训练投入的摊销条件。这三个问题共同规定综合分析的职责，正式结果须来自同批可追溯输出，不由相容对象补全代替独立发现。</w:t>
      </w:r>
    </w:p>
    <w:p>
      <w:pPr>
        <w:pStyle w:val="Heading1"/>
      </w:pPr>
      <w:r>
        <w:t>第六章 总结与展望</w:t>
      </w:r>
      <w:bookmarkStart w:id="101" w:name="v14_101"/>
      <w:bookmarkEnd w:id="101"/>
    </w:p>
    <w:p>
      <w:pPr>
        <w:pStyle w:val="Heading2"/>
      </w:pPr>
      <w:r>
        <w:t>6.1 研究总结</w:t>
      </w:r>
      <w:bookmarkStart w:id="102" w:name="v14_102"/>
      <w:bookmarkEnd w:id="102"/>
    </w:p>
    <w:p>
      <w:r>
        <w:rPr>
          <w:rFonts w:ascii="Times New Roman" w:hAnsi="Times New Roman" w:eastAsia="Songti SC"/>
          <w:color w:val="000000"/>
        </w:rPr>
        <w:t>本文围绕组件与关系依赖开展两项研究。训练阶段的局部文字改写可能破坏继承监督，推理阶段的组件修改可能使关联关系失效；两者共享严格对象表示，分别作用于监督保持和结构恢复，不另将组合命名为第三项算法创新。</w:t>
      </w:r>
    </w:p>
    <w:p>
      <w:r>
        <w:rPr>
          <w:rFonts w:ascii="Times New Roman" w:hAnsi="Times New Roman" w:eastAsia="Songti SC"/>
          <w:color w:val="000000"/>
        </w:rPr>
        <w:t>第一项设计以关系影响域覆盖内部、跨边界及NONE因素，通过标注迁移建立可靠对应，再联合因素监督与成对学习。评价将数据构造整体与固定数据上的损失项分开：前者同时包含文本、源选择和重加权，后者控制同一增强集合。中心选择是实现策略，模板变化只是诊断示例；当前材料尚未验证真实漂移规模及学习收益。</w:t>
      </w:r>
    </w:p>
    <w:p>
      <w:r>
        <w:rPr>
          <w:rFonts w:ascii="Times New Roman" w:hAnsi="Times New Roman" w:eastAsia="Songti SC"/>
          <w:color w:val="000000"/>
        </w:rPr>
        <w:t>第二项设计把兼容组件集合替换和全部受影响关系重建作为完整事务，以固定对象分、整图约束和预算共同决定提交。RelationOnly和单对象动作是组件可变性与集合表达的关键对照，同目标全局求解检验资源取舍，分步策略补充分析共同决策。数学构造说明动作和决策边界，人工成绩展示比较口径；局部与全局的真实优先级尚未确定，允许依据运行结果简化求解设计。</w:t>
      </w:r>
    </w:p>
    <w:p>
      <w:r>
        <w:rPr>
          <w:rFonts w:ascii="Times New Roman" w:hAnsi="Times New Roman" w:eastAsia="Songti SC"/>
          <w:color w:val="000000"/>
        </w:rPr>
        <w:t>两阶段综合分析使用四格条件增量，并在训练投入已经发生的前提下讨论在线配置选择；聚合数值不能确定对象重叠，补全反例仅证明这种非唯一性。论文的核心验证仍是有限真实问题诊断、关键受控比较和同文档输出核查，而非增加模拟表格。外部系统须完成任务兼容核查与真实运行后，才可用于方法定位。</w:t>
      </w:r>
    </w:p>
    <w:p>
      <w:pPr>
        <w:pStyle w:val="Heading2"/>
      </w:pPr>
      <w:r>
        <w:t>6.2 研究局限</w:t>
      </w:r>
      <w:bookmarkStart w:id="103" w:name="v14_103"/>
      <w:bookmarkEnd w:id="103"/>
    </w:p>
    <w:p>
      <w:r>
        <w:rPr>
          <w:rFonts w:ascii="Times New Roman" w:hAnsi="Times New Roman" w:eastAsia="Songti SC"/>
          <w:color w:val="000000"/>
        </w:rPr>
        <w:t>现有主成绩、审计判断和成本均为估算情景，未完成真实语料训练、语义审阅及求解比较。主成绩、模板筛选、预算函数和对象补全使用不同生成机制；它们分别演示评价、指标阅读、条件分析和不可识别性，不组成已闭合的研究证据链。正文不再使用具名外部方法的假想成绩。</w:t>
      </w:r>
    </w:p>
    <w:p>
      <w:r>
        <w:rPr>
          <w:rFonts w:ascii="Times New Roman" w:hAnsi="Times New Roman" w:eastAsia="Songti SC"/>
          <w:color w:val="000000"/>
        </w:rPr>
        <w:t>方法边界直接影响待检验主张。影响域检查依赖语义判断与标注完备性，筛选同时改变文本和源权重；现有T-B不能分离新表达与重复曝光，成对项也不保证整图严格等变。推理受冻结候选、声明动作和评分误差限制，长超边新增能力有上限，分项门可能拒绝真实有益提议。固定效用性质只约束决策过程，不保证真实F1或全局最优。</w:t>
      </w:r>
    </w:p>
    <w:p>
      <w:r>
        <w:rPr>
          <w:rFonts w:ascii="Times New Roman" w:hAnsi="Times New Roman" w:eastAsia="Songti SC"/>
          <w:color w:val="000000"/>
        </w:rPr>
        <w:t>正式统计需遵守原生AAEC与CDCP任务和独立评价协议，区分原生关系、二元投影及历史跨域Link-F1。平均时间不能代替尾延迟、批量吞吐或一次性投入；模拟重采样区间也不衡量成本函数设错的风险。上述核心验证按附录H.5完成后，应同时更新表图、对象案例及结论。</w:t>
      </w:r>
    </w:p>
    <w:p>
      <w:pPr>
        <w:pStyle w:val="Heading2"/>
      </w:pPr>
      <w:r>
        <w:t>6.3 后续研究方向</w:t>
      </w:r>
      <w:bookmarkStart w:id="104" w:name="v14_104"/>
      <w:bookmarkEnd w:id="104"/>
    </w:p>
    <w:p>
      <w:r>
        <w:rPr>
          <w:rFonts w:ascii="Times New Roman" w:hAnsi="Times New Roman" w:eastAsia="Songti SC"/>
          <w:color w:val="000000"/>
        </w:rPr>
        <w:t>当前核心比较和真实问题诊断尚未完成，属于本研究的验证缺口，集中列于附录H.5。以下方向以这些核心证据取得并据此确定方法取舍为前提，不计入本文已完成工作。</w:t>
      </w:r>
    </w:p>
    <w:p>
      <w:r>
        <w:rPr>
          <w:rFonts w:ascii="Times New Roman" w:hAnsi="Times New Roman" w:eastAsia="Songti SC"/>
          <w:color w:val="000000"/>
        </w:rPr>
        <w:t>一是研究标注不完备条件下的监督保持。本文把候选宇宙内未标注关系作为NONE；当标注本身不完整时，严格保持可能固化漏标。进一步研究可区分已确认无关系与缺乏标注，检验这种区分如何影响标签保持和源覆盖，而不将更多改写一概视为有效增量。</w:t>
      </w:r>
    </w:p>
    <w:p>
      <w:r>
        <w:rPr>
          <w:rFonts w:ascii="Times New Roman" w:hAnsi="Times New Roman" w:eastAsia="Songti SC"/>
          <w:color w:val="000000"/>
        </w:rPr>
        <w:t>二是研究更长多前提关系的候选组织。当前新增枚举限制源成员数，任意长组合既不能由保护池保证，也可能难以穷举。后续可在固定资源下比较候选覆盖与完整关系恢复，判断是否有必要扩展现有表示范围。上述方向服务于明确的失效条件，不预设增加机制必然更好。</w:t>
      </w:r>
    </w:p>
    <w:p>
      <w:pPr>
        <w:pStyle w:val="Heading1"/>
      </w:pPr>
      <w:r>
        <w:t>参考文献</w:t>
      </w:r>
      <w:bookmarkStart w:id="105" w:name="v14_105"/>
      <w:bookmarkEnd w:id="105"/>
    </w:p>
    <w:p>
      <w:pPr>
        <w:keepLines/>
        <w:spacing w:line="280" w:lineRule="exact" w:after="12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 </w:t>
      </w:r>
      <w:hyperlink r:id="rId1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[48] BAO J, JING M, DONG K, et al. UniASA: A unified generative framework for argument structure analysis[J]. Computational Linguistics, 2025, 51(3): 739–784. DOI: 10.1162/coli_a_00553. </w:t>
      </w:r>
      <w:hyperlink r:id="rId1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[49] ZHANG Z, WANG Q, DING K, et al. Improving synthetic data generation for argument mining via adversarial reinforcement learning[EB/OL]. arXiv:2610.07699v1, 2026[2026-10-10]. DOI: 10.48550/arXiv.2610.07699. </w:t>
      </w:r>
      <w:hyperlink r:id="rId129">
        <w:r>
          <w:rPr>
            <w:color w:val="000000"/>
          </w:rPr>
          <w:t>来源</w:t>
        </w:r>
      </w:hyperlink>
    </w:p>
    <w:p>
      <w:pPr>
        <w:pStyle w:val="Heading1"/>
      </w:pPr>
      <w:r>
        <w:t>附录A 数据处理与复现协议</w:t>
      </w:r>
      <w:bookmarkStart w:id="106" w:name="v14_106"/>
      <w:bookmarkEnd w:id="106"/>
    </w:p>
    <w:p>
      <w:pPr>
        <w:pStyle w:val="Heading2"/>
      </w:pPr>
      <w:r>
        <w:t>A.1 坐标与结构数据</w:t>
      </w:r>
      <w:bookmarkStart w:id="107" w:name="v14_107"/>
      <w:bookmarkEnd w:id="107"/>
    </w:p>
    <w:p>
      <w:pPr>
        <w:spacing w:line="380" w:lineRule="exact"/>
      </w:pPr>
      <w:r>
        <w:rPr>
          <w:rFonts w:ascii="Times New Roman" w:hAnsi="Times New Roman" w:eastAsia="Songti SC"/>
          <w:color w:val="000000"/>
          <w:sz w:val="22"/>
        </w:rPr>
        <w:t>输入处理同时维护原文字符、评价token和模型子词三个坐标层。字符层用于槽位替换，评价token用于组件及完整关系匹配，模型子词用于表示读出。保存每层的版本和映射，对跨度往返、特殊token排除、空白与标点处理进行检查。改变分词器或规范化规则后重新构建映射，不复用不兼容的坐标缓存。</w:t>
      </w:r>
    </w:p>
    <w:p>
      <w:pPr>
        <w:spacing w:line="380" w:lineRule="exact"/>
      </w:pPr>
      <w:r>
        <w:rPr>
          <w:rFonts w:ascii="Times New Roman" w:hAnsi="Times New Roman" w:eastAsia="Songti SC"/>
          <w:color w:val="000000"/>
          <w:sz w:val="22"/>
        </w:rPr>
        <w:t>增强变体以源文档为分组单位，记录源ID、完整文本哈希、改写槽位、组件对应、全部关系输运结果和拒绝原因。多前提关系同时保存完整源集合，往返序列化后按原生超边检验。重复文本共同分组，异常文档的处理在数据划分冻结前记录。</w:t>
      </w:r>
    </w:p>
    <w:p>
      <w:pPr>
        <w:pStyle w:val="Heading2"/>
      </w:pPr>
      <w:r>
        <w:t>A.2 配置与结果的关联</w:t>
      </w:r>
      <w:bookmarkStart w:id="108" w:name="v14_108"/>
      <w:bookmarkEnd w:id="108"/>
    </w:p>
    <w:p>
      <w:pPr>
        <w:spacing w:line="380" w:lineRule="exact"/>
      </w:pPr>
      <w:r>
        <w:rPr>
          <w:rFonts w:ascii="Times New Roman" w:hAnsi="Times New Roman" w:eastAsia="Songti SC"/>
          <w:color w:val="000000"/>
          <w:sz w:val="22"/>
        </w:rPr>
        <w:t>表A-1给出数据、配置、候选和结果的关联字段。历史存档与当前结果采用独立身份；跨章复用相同语料、方法和种子下的记录，避免重复汇总或另选较高分数。</w:t>
      </w:r>
    </w:p>
    <w:p>
      <w:pPr>
        <w:pStyle w:val="TableCaption"/>
        <w:spacing w:line="380" w:lineRule="exact"/>
      </w:pPr>
      <w:r>
        <w:rPr>
          <w:rFonts w:ascii="Times New Roman" w:hAnsi="Times New Roman" w:eastAsia="Songti SC"/>
          <w:color w:val="000000"/>
          <w:sz w:val="21"/>
        </w:rPr>
        <w:t>表A-1 复现材料的关联字段</w:t>
      </w:r>
      <w:bookmarkStart w:id="203" w:name="v14_203"/>
      <w:bookmarkEnd w:id="20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必需关联</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用途</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版本、文档ID、全文哈希、折ID、异常清单</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确认训练开发测试用途及重复分组</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增强集合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源ID、提示、生成器版本、接受拒绝记录、标注映射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区分增强条件及监督来源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模型与配置</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权重revision、代码版本、参数、随机种子、环境</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确定配置身份及重复实验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候选与评分</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初始图、候选来源、语义键、评分器及校准版本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检验候选覆盖与固定评分条件</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事务与求解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尝试及提交轨迹、约束、预算、状态与gap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重放修改并核对停止条件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评价与统计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评价器版本、逐例预测、TP/FP/FN、种子聚合与重采样</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复算严格指标、区间和成本</w:t>
            </w:r>
          </w:p>
        </w:tc>
      </w:tr>
    </w:tbl>
    <w:p>
      <w:pPr>
        <w:spacing w:after="0" w:line="240" w:lineRule="auto"/>
      </w:pPr>
    </w:p>
    <w:p>
      <w:pPr>
        <w:spacing w:line="380" w:lineRule="exact"/>
      </w:pPr>
      <w:r>
        <w:rPr>
          <w:rFonts w:ascii="Times New Roman" w:hAnsi="Times New Roman" w:eastAsia="Songti SC"/>
          <w:color w:val="000000"/>
          <w:sz w:val="22"/>
        </w:rPr>
        <w:t>历史表的划分、评价脚本和“±”含义按其原始记录核准。附录E的分类别结果差异需由相应run ID解释，不能用另一配置的分数填补。新增验证使用2.6节公共协议，跨表复用结果行必须来自同一运行集合。</w:t>
      </w:r>
    </w:p>
    <w:p>
      <w:pPr>
        <w:pStyle w:val="Heading2"/>
      </w:pPr>
      <w:r>
        <w:t>A.3 其他语料与语言的范围</w:t>
      </w:r>
      <w:bookmarkStart w:id="109" w:name="v14_109"/>
      <w:bookmarkEnd w:id="109"/>
    </w:p>
    <w:p>
      <w:pPr>
        <w:spacing w:line="380" w:lineRule="exact"/>
      </w:pPr>
      <w:r>
        <w:rPr>
          <w:rFonts w:ascii="Times New Roman" w:hAnsi="Times New Roman" w:eastAsia="Songti SC"/>
          <w:color w:val="000000"/>
          <w:sz w:val="22"/>
        </w:rPr>
        <w:t>本文主比较范围为英文AAEC和CDCP。ORCHID面向中文辩论的目标无关立场检测和论辩对话摘要[28]，IAM整合多项论辩挖掘任务并使用英文资源[29]。二者可用于认识论辩任务的资源差异，但不直接替代从原文定位组件并预测关系的同协议测试，本文不据此外推中文或多语言结论。</w:t>
      </w:r>
    </w:p>
    <w:p>
      <w:pPr>
        <w:pStyle w:val="Heading2"/>
      </w:pPr>
      <w:r>
        <w:t>A.4 本版参考规约与配置身份</w:t>
      </w:r>
      <w:bookmarkStart w:id="110" w:name="v14_110"/>
      <w:bookmarkEnd w:id="110"/>
    </w:p>
    <w:p>
      <w:pPr>
        <w:spacing w:line="380" w:lineRule="exact"/>
      </w:pPr>
      <w:r>
        <w:rPr>
          <w:rFonts w:ascii="Times New Roman" w:hAnsi="Times New Roman" w:eastAsia="Songti SC"/>
          <w:color w:val="000000"/>
          <w:sz w:val="22"/>
        </w:rPr>
        <w:t>方法配置采用单中心、受保护候选、分步提交和松弛Oracle，并保留允许自匹配、条件反向与外层提议预算规则。方法配置身份沿用1010-v1-global-review；文稿版本为1010-v7，单独登记，不表示重新运行实验或更改方法配置。生成参数、对象评分、外层预算及实际成本字段分别登记，计算条件见表2-2，参考规则见表A-2。</w:t>
      </w:r>
    </w:p>
    <w:p>
      <w:pPr>
        <w:pStyle w:val="TableCaption"/>
        <w:spacing w:line="380" w:lineRule="exact"/>
      </w:pPr>
      <w:r>
        <w:rPr>
          <w:rFonts w:ascii="Times New Roman" w:hAnsi="Times New Roman" w:eastAsia="Songti SC"/>
          <w:color w:val="000000"/>
          <w:sz w:val="21"/>
        </w:rPr>
        <w:t>表A-2 本版参考配置</w:t>
      </w:r>
      <w:bookmarkStart w:id="204" w:name="v14_204"/>
      <w:bookmarkEnd w:id="20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中心与生成</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种子17；每文档1中心、4次尝试、最多2变体</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全文哈希与组件键参与排序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中心匹配</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同组件数、入关系数；长度差／参考长度≤20%</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允许自匹配；有效参考文档无unmatched</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补充跨度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头候选64；长度≤64评价token；最终补充64</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保护对象不受该上限裁剪</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规则扩展</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边界各±1；基础相邻合并；内部边界切分</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仅扩展一次，不递归</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补充关系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源成员≤3；补充完整槽位4096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双槽位保留且合法才反向；长超边受保护</w:t>
            </w:r>
          </w:p>
        </w:tc>
      </w:tr>
    </w:tbl>
    <w:p>
      <w:pPr>
        <w:pStyle w:val="ContinuationCaption"/>
        <w:pageBreakBefore/>
      </w:pPr>
      <w:r>
        <w:t>表A-2（续）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组件事务</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冲突闭合后总编辑≤3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允许五种声明形态，纯关系另列</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队列与额度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六类轮转；批长6；每轮外层尝试32、接受3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最多4轮，总128／12；同状态游标跨轮保留</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累计编辑</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分别累计，不使用最终净变化替代</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参考接受门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分项非降；总差&gt;0.01；数值容差10⁻⁹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容差仅处理数值误差，不放宽严格总门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固定效用配置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κC=κR=1，wC=wR=1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分项接受门与成本口径共同固定</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执行资源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上下文8192；补充槽位4096；局部总时限3／5秒</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尝试、接受、编辑、复核与提交资源分别检查</w:t>
            </w:r>
          </w:p>
        </w:tc>
      </w:tr>
    </w:tbl>
    <w:p>
      <w:pPr>
        <w:spacing w:after="0" w:line="240" w:lineRule="auto"/>
      </w:pPr>
    </w:p>
    <w:p>
      <w:pPr>
        <w:spacing w:line="380" w:lineRule="exact"/>
      </w:pPr>
      <w:r>
        <w:rPr>
          <w:rFonts w:ascii="Times New Roman" w:hAnsi="Times New Roman" w:eastAsia="Songti SC"/>
          <w:color w:val="000000"/>
          <w:sz w:val="22"/>
        </w:rPr>
        <w:t>组件与关系对象分应以至少双精度缓存进行确定排序；非有限分数返回评分失败，不按零分继续。规范键使用UTF-8规范JSON，集合先排序；软件版本与序列化版本写入配置身份。预枚举上限用于阻止资源失控，超限返回候选构造失败而不是生成金标有利子集。上述资源失败保留该文档并按公共失败规则评价。顺序方法的批内排序只看首个实际决策阶段，外层一次接受最多两次阶段提交；配套阶段可越过已达的外层接受上限，但不得突破实际资源或编辑上限。求解器的多目标破同分与超时身份依4.5.1节保存。</w:t>
      </w:r>
    </w:p>
    <w:p>
      <w:pPr>
        <w:pStyle w:val="Heading2"/>
      </w:pPr>
      <w:r>
        <w:t>A.5 结果登记与跨章复用</w:t>
      </w:r>
      <w:bookmarkStart w:id="111" w:name="v14_111"/>
      <w:bookmarkEnd w:id="111"/>
    </w:p>
    <w:p>
      <w:pPr>
        <w:spacing w:line="380" w:lineRule="exact"/>
      </w:pPr>
      <w:r>
        <w:rPr>
          <w:rFonts w:ascii="Times New Roman" w:hAnsi="Times New Roman" w:eastAsia="Songti SC"/>
          <w:color w:val="000000"/>
          <w:sz w:val="22"/>
        </w:rPr>
        <w:t>结果键由语料、方法、种子和对象层次组成。第三章T1、第四章I0和第五章T1＋I0引用同一键；第四章BR-J与第五章T1＋I1同样复用。document_counts.csv保存逐文档TP、FP、FN，scenario_results.json汇总均值、标准差、配对区间和交互差，scenario_manifest.json绑定生成程序与结果文件的SHA-256。表格先读取原始精度计算差值，最后统一保留两位小数。</w:t>
      </w:r>
    </w:p>
    <w:p>
      <w:pPr>
        <w:spacing w:line="380" w:lineRule="exact"/>
      </w:pPr>
      <w:r>
        <w:rPr>
          <w:rFonts w:ascii="Times New Roman" w:hAnsi="Times New Roman" w:eastAsia="Songti SC"/>
          <w:color w:val="000000"/>
          <w:sz w:val="22"/>
        </w:rPr>
        <w:t>审计判定、对象概率及标签各自保存，漂移、一致性、Brier和ECE均从对应记录汇总。成本字段按生成、评分、求解与重生成分项登记，不将GPU小时、CPU秒和token混为同一单位。附录E采用其原有历史身份，不回填当前结果键。</w:t>
      </w:r>
    </w:p>
    <w:p>
      <w:pPr>
        <w:pStyle w:val="Heading2"/>
      </w:pPr>
      <w:r>
        <w:t>A.6 序列化、坐标与候选构造细则</w:t>
      </w:r>
      <w:bookmarkStart w:id="112" w:name="v14_112"/>
      <w:bookmarkEnd w:id="112"/>
    </w:p>
    <w:p>
      <w:pPr>
        <w:spacing w:line="380" w:lineRule="exact"/>
      </w:pPr>
      <w:r>
        <w:rPr>
          <w:rFonts w:ascii="Times New Roman" w:hAnsi="Times New Roman" w:eastAsia="Songti SC"/>
          <w:color w:val="000000"/>
          <w:sz w:val="22"/>
        </w:rPr>
        <w:t>以下人为构造的token序列为“Libraries / should / stay / open / longer / . / Students / need / study / space / .”。编码只说明坐标与端点引用，不作为效果证据。</w:t>
      </w:r>
    </w:p>
    <w:p>
      <w:pPr>
        <w:keepLines/>
        <w:spacing w:line="276" w:lineRule="auto"/>
        <w:ind w:firstLine="0" w:left="170"/>
      </w:pPr>
      <w:r>
        <w:rPr>
          <w:rFonts w:ascii="Courier New" w:hAnsi="Courier New" w:eastAsia="Songti SC"/>
          <w:color w:val="000000"/>
          <w:sz w:val="21"/>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pPr>
        <w:spacing w:line="380" w:lineRule="exact"/>
      </w:pPr>
      <w:r>
        <w:rPr>
          <w:rFonts w:ascii="Times New Roman" w:hAnsi="Times New Roman" w:eastAsia="Songti SC"/>
          <w:color w:val="000000"/>
          <w:sz w:val="22"/>
        </w:rPr>
        <w:t>统一使用sources列表可以容纳超边，但多前提支持还要求候选构造、评分训练、优化器和评价器采用相同语义。字段顺序固定为已声明的ID、type、span等顺序；第三章类型门控仅使用已经生成的前缀，不读取未来标签。</w:t>
      </w:r>
    </w:p>
    <w:p>
      <w:pPr>
        <w:spacing w:line="380" w:lineRule="exact"/>
      </w:pPr>
      <w:r>
        <w:rPr>
          <w:rFonts w:ascii="Times New Roman" w:hAnsi="Times New Roman" w:eastAsia="Songti SC"/>
          <w:color w:val="000000"/>
          <w:sz w:val="22"/>
        </w:rPr>
        <w:t>独立跨度头使用全文编码器和两个线性层，分别预测评价token边界的起点与终点概率；监督来自训练集全部金标跨度。子词表示按offset mapping聚合到评价token，空映射报错，训练采用起止两项二元交叉熵均值。内部解码采用零基半开区间，枚举</w:t>
      </w:r>
      <m:oMath>
        <m:r>
          <m:t xml:space="preserve">0</m:t>
        </m:r>
        <m:r>
          <m:t xml:space="preserve">≤</m:t>
        </m:r>
        <m:r>
          <m:t xml:space="preserve">s</m:t>
        </m:r>
        <m:r>
          <m:t xml:space="preserve">&lt;</m:t>
        </m:r>
        <m:r>
          <m:t xml:space="preserve">e</m:t>
        </m:r>
        <m:r>
          <m:t xml:space="preserve">≤</m:t>
        </m:r>
        <m:r>
          <m:t xml:space="preserve">n</m:t>
        </m:r>
      </m:oMath>
      <w:r>
        <w:rPr>
          <w:rFonts w:ascii="Times New Roman" w:hAnsi="Times New Roman" w:eastAsia="Songti SC"/>
          <w:color w:val="000000"/>
          <w:sz w:val="22"/>
        </w:rPr>
        <w:t>且</w:t>
      </w:r>
      <m:oMath>
        <m:r>
          <m:t xml:space="preserve">e</m:t>
        </m:r>
        <m:r>
          <m:t xml:space="preserve">-</m:t>
        </m:r>
        <m:r>
          <m:t xml:space="preserve">s</m:t>
        </m:r>
        <m:r>
          <m:t xml:space="preserve">≤</m:t>
        </m:r>
        <m:sSub>
          <m:e>
            <m:r>
              <m:t xml:space="preserve">L</m:t>
            </m:r>
          </m:e>
          <m:sub>
            <m:r>
              <m:t xml:space="preserve">s</m:t>
            </m:r>
            <m:r>
              <m:t xml:space="preserve">p</m:t>
            </m:r>
            <m:r>
              <m:t xml:space="preserve">a</m:t>
            </m:r>
            <m:r>
              <m:t xml:space="preserve">n</m:t>
            </m:r>
          </m:sub>
        </m:sSub>
      </m:oMath>
      <w:r>
        <w:rPr>
          <w:rFonts w:ascii="Times New Roman" w:hAnsi="Times New Roman" w:eastAsia="Songti SC"/>
          <w:color w:val="000000"/>
          <w:sz w:val="22"/>
        </w:rPr>
        <w:t>，以两端对数概率之和排序，同分按</w:t>
      </w:r>
      <m:oMath>
        <m:r>
          <m:t xml:space="preserve">(</m:t>
        </m:r>
        <m:r>
          <m:t xml:space="preserve">s</m:t>
        </m:r>
        <m:r>
          <m:t xml:space="preserve">,</m:t>
        </m:r>
        <m:r>
          <m:t xml:space="preserve">e</m:t>
        </m:r>
        <m:r>
          <m:t xml:space="preserve">)</m:t>
        </m:r>
      </m:oMath>
      <w:r>
        <w:rPr>
          <w:rFonts w:ascii="Times New Roman" w:hAnsi="Times New Roman" w:eastAsia="Songti SC"/>
          <w:color w:val="000000"/>
          <w:sz w:val="22"/>
        </w:rPr>
        <w:t>升序；输出统一转换为2.1节从1开始的闭区间</w:t>
      </w:r>
      <m:oMath>
        <m:r>
          <m:t xml:space="preserve">[</m:t>
        </m:r>
        <m:r>
          <m:t xml:space="preserve">s</m:t>
        </m:r>
        <m:r>
          <m:t xml:space="preserve">+</m:t>
        </m:r>
        <m:r>
          <m:t xml:space="preserve">1</m:t>
        </m:r>
        <m:r>
          <m:t xml:space="preserve">,</m:t>
        </m:r>
        <m:r>
          <m:t xml:space="preserve">e</m:t>
        </m:r>
        <m:r>
          <m:t xml:space="preserve">]</m:t>
        </m:r>
      </m:oMath>
      <w:r>
        <w:rPr>
          <w:rFonts w:ascii="Times New Roman" w:hAnsi="Times New Roman" w:eastAsia="Songti SC"/>
          <w:color w:val="000000"/>
          <w:sz w:val="22"/>
        </w:rPr>
        <w:t>后才构造评价语义键。此分数仅用于候选召回与裁剪，不是完整对象正确率。跨度头不输入金标答案，在OOF时与生成器使用相同持出隔离。</w:t>
      </w:r>
    </w:p>
    <w:p>
      <w:pPr>
        <w:spacing w:line="380" w:lineRule="exact"/>
      </w:pPr>
      <w:r>
        <w:rPr>
          <w:rFonts w:ascii="Times New Roman" w:hAnsi="Times New Roman" w:eastAsia="Songti SC"/>
          <w:color w:val="000000"/>
          <w:sz w:val="22"/>
        </w:rPr>
        <w:t>参考有限扩展对受保护跨度及跨度头前</w:t>
      </w:r>
      <m:oMath>
        <m:sSub>
          <m:e>
            <m:r>
              <m:t xml:space="preserve">N</m:t>
            </m:r>
          </m:e>
          <m:sub>
            <m:r>
              <m:t xml:space="preserve">h</m:t>
            </m:r>
            <m:r>
              <m:t xml:space="preserve">e</m:t>
            </m:r>
            <m:r>
              <m:t xml:space="preserve">a</m:t>
            </m:r>
            <m:r>
              <m:t xml:space="preserve">d</m:t>
            </m:r>
          </m:sub>
        </m:sSub>
      </m:oMath>
      <w:r>
        <w:rPr>
          <w:rFonts w:ascii="Times New Roman" w:hAnsi="Times New Roman" w:eastAsia="Songti SC"/>
          <w:color w:val="000000"/>
          <w:sz w:val="22"/>
        </w:rPr>
        <w:t>个输出只执行一次：起止位置分别在</w:t>
      </w:r>
      <m:oMath>
        <m:r>
          <m:rPr>
            <m:sty m:val="p"/>
          </m:rPr>
          <m:t xml:space="preserve">{</m:t>
        </m:r>
        <m:r>
          <m:t xml:space="preserve">-</m:t>
        </m:r>
        <m:r>
          <m:t xml:space="preserve">1</m:t>
        </m:r>
        <m:r>
          <m:t xml:space="preserve">,</m:t>
        </m:r>
        <m:r>
          <m:t xml:space="preserve">0</m:t>
        </m:r>
        <m:r>
          <m:t xml:space="preserve">,</m:t>
        </m:r>
        <m:r>
          <m:t xml:space="preserve">1</m:t>
        </m:r>
        <m:r>
          <m:rPr>
            <m:sty m:val="p"/>
          </m:rPr>
          <m:t xml:space="preserve">}</m:t>
        </m:r>
      </m:oMath>
      <w:r>
        <w:rPr>
          <w:rFonts w:ascii="Times New Roman" w:hAnsi="Times New Roman" w:eastAsia="Songti SC"/>
          <w:color w:val="000000"/>
          <w:sz w:val="22"/>
        </w:rPr>
        <w:t>内扰动；按位置排序，对相邻且不重叠的基础跨度加入合并区间；对基础跨度每个内部评价token边界加入左右切分区间。所有新跨度均通过坐标和最大长度检查，不递归使用新跨度继续扩展。去重后的补充跨度重新由同一边界头评分，按分数降序、坐标升序保留前</w:t>
      </w:r>
      <m:oMath>
        <m:sSub>
          <m:e>
            <m:r>
              <m:t xml:space="preserve">N</m:t>
            </m:r>
          </m:e>
          <m:sub>
            <m:r>
              <m:t xml:space="preserve">s</m:t>
            </m:r>
            <m:r>
              <m:t xml:space="preserve">u</m:t>
            </m:r>
            <m:r>
              <m:t xml:space="preserve">p</m:t>
            </m:r>
            <m:r>
              <m:t xml:space="preserve">p</m:t>
            </m:r>
          </m:sub>
        </m:sSub>
      </m:oMath>
      <w:r>
        <w:rPr>
          <w:rFonts w:ascii="Times New Roman" w:hAnsi="Times New Roman" w:eastAsia="Songti SC"/>
          <w:color w:val="000000"/>
          <w:sz w:val="22"/>
        </w:rPr>
        <w:t>个；多来源并存，不只保留获胜来源。受保护长跨度不受补充长度上限裁掉。</w:t>
      </w:r>
    </w:p>
    <w:p>
      <w:pPr>
        <w:spacing w:line="380" w:lineRule="exact"/>
      </w:pPr>
      <w:r>
        <w:rPr>
          <w:rFonts w:ascii="Times New Roman" w:hAnsi="Times New Roman" w:eastAsia="Songti SC"/>
          <w:color w:val="000000"/>
          <w:sz w:val="22"/>
        </w:rPr>
        <w:t>对</w:t>
      </w:r>
      <m:oMath>
        <m:r>
          <m:t xml:space="preserve">u</m:t>
        </m:r>
        <m:r>
          <m:t xml:space="preserve">∈</m:t>
        </m:r>
        <m:r>
          <m:t xml:space="preserve">U</m:t>
        </m:r>
      </m:oMath>
      <w:r>
        <w:rPr>
          <w:rFonts w:ascii="Times New Roman" w:hAnsi="Times New Roman" w:eastAsia="Songti SC"/>
          <w:color w:val="000000"/>
          <w:sz w:val="22"/>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sz w:val="22"/>
        </w:rPr>
        <w:t>。NULL表示不选择该跨度。同一跨度至多一个类型，不允许重叠的语料按两两交叠判定冲突，不用传递连通块替代两两兼容。组件键由文档哈希、坐标版本、起止位置及类型组成；类型或边界变化生成新对象。原始字符、评价token与模型子词保持独立映射，显示ID不参与评分键。</w:t>
      </w:r>
    </w:p>
    <w:p>
      <w:pPr>
        <w:pStyle w:val="Heading1"/>
      </w:pPr>
      <w:r>
        <w:t>附录B 评分与事务执行记录</w:t>
      </w:r>
      <w:bookmarkStart w:id="113" w:name="v14_113"/>
      <w:bookmarkEnd w:id="113"/>
    </w:p>
    <w:p>
      <w:pPr>
        <w:pStyle w:val="Heading2"/>
      </w:pPr>
      <w:r>
        <w:t>B.1 数据与模型身份</w:t>
      </w:r>
      <w:bookmarkStart w:id="114" w:name="v14_114"/>
      <w:bookmarkEnd w:id="114"/>
    </w:p>
    <w:p>
      <w:pPr>
        <w:spacing w:line="380" w:lineRule="exact"/>
      </w:pPr>
      <w:r>
        <w:rPr>
          <w:rFonts w:ascii="Times New Roman" w:hAnsi="Times New Roman" w:eastAsia="Songti SC"/>
          <w:color w:val="000000"/>
          <w:sz w:val="22"/>
        </w:rPr>
        <w:t>运行级材料按表A-1关联至同一run ID，本附录只补充文档级评分与事务轨迹。每条轨迹通过源文档ID连接原文、坐标映射、候选缓存、评分缓存和评价配置；增强变体仍归属于唯一源文档，不重新划分数据。</w:t>
      </w:r>
    </w:p>
    <w:p>
      <w:pPr>
        <w:pStyle w:val="Heading2"/>
      </w:pPr>
      <w:r>
        <w:t>B.2 评分与接受轨迹</w:t>
      </w:r>
      <w:bookmarkStart w:id="115" w:name="v14_115"/>
      <w:bookmarkEnd w:id="115"/>
    </w:p>
    <w:p>
      <w:pPr>
        <w:spacing w:line="380" w:lineRule="exact"/>
      </w:pPr>
      <w:r>
        <w:rPr>
          <w:rFonts w:ascii="Times New Roman" w:hAnsi="Times New Roman" w:eastAsia="Songti SC"/>
          <w:color w:val="000000"/>
          <w:sz w:val="22"/>
        </w:rPr>
        <w:t>每个文档保存原始候选输出、共同合法化结果、MCR分量、初始图、固定候选宇宙及其来源。每次尝试记录删除集合、加入集合、冲突扩张、关系闭合域、原状态和求解后状态、组件与关系效用差、语义编辑成本、求解状态和剩余预算。拒绝原因分别标为非法、候选不可达、不可行、分量下降、总增益不足、预算超限或求解失败。</w:t>
      </w:r>
    </w:p>
    <w:p>
      <w:pPr>
        <w:spacing w:line="380" w:lineRule="exact"/>
      </w:pPr>
      <w:r>
        <w:rPr>
          <w:rFonts w:ascii="Times New Roman" w:hAnsi="Times New Roman" w:eastAsia="Songti SC"/>
          <w:color w:val="000000"/>
          <w:sz w:val="22"/>
        </w:rPr>
        <w:t>分数缓存以完整语义对象和评分器版本为键，不使用可变的显示编号。若执行中改变因素宇宙、评分器、校准温度或效用系数，则应作为新的实验配置，原有固定目标性质不再直接适用。离线真实TP/FP/FN差只进入审计记录，不作为在线接受输入。</w:t>
      </w:r>
    </w:p>
    <w:p>
      <w:pPr>
        <w:pStyle w:val="Heading2"/>
      </w:pPr>
      <w:r>
        <w:t>B.3 回退与预算</w:t>
      </w:r>
      <w:bookmarkStart w:id="116" w:name="v14_116"/>
      <w:bookmarkEnd w:id="116"/>
    </w:p>
    <w:p>
      <w:pPr>
        <w:spacing w:line="380" w:lineRule="exact"/>
      </w:pPr>
      <w:r>
        <w:rPr>
          <w:rFonts w:ascii="Times New Roman" w:hAnsi="Times New Roman" w:eastAsia="Songti SC"/>
          <w:color w:val="000000"/>
          <w:sz w:val="22"/>
        </w:rPr>
        <w:t>BR-J执行语义遵循4.5.2节，顺序方法遵循4.6.1节。每条日志分别登记outer_attempts、outer_accepts、component_stage_attempts、relation_stage_attempts、solver_calls和各阶段commits；外层一次尝试不随配套阶段重复增加，第一阶段成功即占一个接受名额。按阶段记录完整合法图及组件、关系累计编辑账本，保留计算资源的期初余额、本次消耗与期末余额。阶段二失败或启动前资源耗尽时不撤销阶段一；删边后再次加入分别计费。拒绝尝试不消费图编辑量，但其实际求解、模型调用及token不退还。状态游标与拒绝缓存跨轮延续，未见状态重新枚举，已有状态恢复其游标和缓存。</w:t>
      </w:r>
    </w:p>
    <w:p>
      <w:pPr>
        <w:spacing w:line="380" w:lineRule="exact"/>
      </w:pPr>
      <w:r>
        <w:rPr>
          <w:rFonts w:ascii="Times New Roman" w:hAnsi="Times New Roman" w:eastAsia="Songti SC"/>
          <w:color w:val="000000"/>
          <w:sz w:val="22"/>
        </w:rPr>
        <w:t>每类内部按固定组件效用差降序、对象编辑数升序和规范化提议键升序排序；纯关系类第一项改用该槽位在忽略整图耦合约束时的关系效用增量。此量只用于排序，不作为接受判断。六类按上述顺序轮转，每次从非空类取一个，参考批长为6。提议键由状态哈希、排序后的</w:t>
      </w:r>
      <m:oMath>
        <m:r>
          <m:t xml:space="preserve">D</m:t>
        </m:r>
        <m:r>
          <m:t xml:space="preserve">,</m:t>
        </m:r>
        <m:r>
          <m:t xml:space="preserve">B</m:t>
        </m:r>
      </m:oMath>
      <w:r>
        <w:rPr>
          <w:rFonts w:ascii="Times New Roman" w:hAnsi="Times New Roman" w:eastAsia="Songti SC"/>
          <w:color w:val="000000"/>
          <w:sz w:val="22"/>
        </w:rPr>
        <w:t>和完整槽位集合组成，重复提议只评估一次；拒绝缓存也包含状态身份。组件改变后可在新状态重新枚举旧状态非法的槽位，但不能扩张冻结候选宇宙。</w:t>
      </w:r>
    </w:p>
    <w:p>
      <w:pPr>
        <w:spacing w:line="380" w:lineRule="exact"/>
      </w:pPr>
      <w:r>
        <w:rPr>
          <w:rFonts w:ascii="Times New Roman" w:hAnsi="Times New Roman" w:eastAsia="Songti SC"/>
          <w:color w:val="000000"/>
          <w:sz w:val="22"/>
        </w:rPr>
        <w:t>继续评估新提议需要剩余尝试名额和评估资源；提交已评估候选需要剩余接受名额、组件与关系编辑预算以及复核和提交资源，提交本身不再增加尝试。达到外层尝试上限后不启动新评估，当前批次已经合格的候选仍可择优提交。无法完成复核或安全提交时保留最后完整合法图，分别登记停止原因，已消费计算成本不退回。</w:t>
      </w:r>
    </w:p>
    <w:p>
      <w:pPr>
        <w:spacing w:line="380" w:lineRule="exact"/>
      </w:pPr>
      <w:r>
        <w:rPr>
          <w:rFonts w:ascii="Times New Roman" w:hAnsi="Times New Roman" w:eastAsia="Songti SC"/>
          <w:color w:val="000000"/>
          <w:sz w:val="22"/>
        </w:rPr>
        <w:t>同一状态的队列游标、已尝试集合和拒绝缓存跨轮保留；每轮只重置本轮计数。首批全拒时继续余批，当前状态的声明队列耗尽且无合格项才停止。提交到未见状态后建立独立队列与游标，已有状态按状态键续用缓存；仅改变轮号不允许重评同一状态的同一提议。计算与调用成本对所有尝试计费，组件和关系编辑仅对实际提交的删增累计计费。秒数、调用和token限制必须由正式运行清单冻结。</w:t>
      </w:r>
    </w:p>
    <w:p>
      <w:pPr>
        <w:pStyle w:val="Heading2"/>
      </w:pPr>
      <w:r>
        <w:t>B.4 实现一致性测试</w:t>
      </w:r>
      <w:bookmarkStart w:id="117" w:name="v14_117"/>
      <w:bookmarkEnd w:id="117"/>
    </w:p>
    <w:p>
      <w:pPr>
        <w:pStyle w:val="Heading3"/>
      </w:pPr>
      <w:r>
        <w:t>B.4.1 已执行的构造检查</w:t>
      </w:r>
      <w:bookmarkStart w:id="118" w:name="v14_118"/>
      <w:bookmarkEnd w:id="118"/>
    </w:p>
    <w:p>
      <w:pPr>
        <w:spacing w:line="380" w:lineRule="exact"/>
      </w:pPr>
      <w:r>
        <w:rPr>
          <w:rFonts w:ascii="Times New Roman" w:hAnsi="Times New Roman" w:eastAsia="Songti SC"/>
          <w:color w:val="000000"/>
          <w:sz w:val="22"/>
        </w:rPr>
        <w:t>本版保留前版v1机制程序，以及中心匹配、条件反向、分阶段账本、带坐标拆合和状态队列接口程序的构造检查记录。输入、断言、结果及范围见附录D.4和D.6。接口程序中的阶段成败与资源单位由fixture预设；破同分检查使用有限候选排序，均不是实际ILP、模型或持久化事务测试。</w:t>
      </w:r>
    </w:p>
    <w:p>
      <w:pPr>
        <w:pStyle w:val="Heading3"/>
      </w:pPr>
      <w:r>
        <w:t>B.4.2 训练与求解接口</w:t>
      </w:r>
      <w:bookmarkStart w:id="119" w:name="v14_119"/>
      <w:bookmarkEnd w:id="119"/>
    </w:p>
    <w:p>
      <w:pPr>
        <w:spacing w:line="380" w:lineRule="exact"/>
      </w:pPr>
      <w:r>
        <w:rPr>
          <w:rFonts w:ascii="Times New Roman" w:hAnsi="Times New Roman" w:eastAsia="Songti SC"/>
          <w:color w:val="000000"/>
          <w:sz w:val="22"/>
        </w:rPr>
        <w:t>训练与求解接口包括十类：分词器三层坐标往返；回答前表示的输入隔离；共享LoRA、冻结基础权重及专项分支的梯度连接；连续提示和门控；空域、变体数与末批归一化；候选保护、扩展与完整槽位裁剪；队列跨轮和状态变更；ILP可行性、目标与预算；无解、两类超时、提交失败及中断恢复；严格组件和原生超边计数。每类保存输入、配置身份、输出和错误原因，使模块语义与方法定义对应。</w:t>
      </w:r>
    </w:p>
    <w:p>
      <w:pPr>
        <w:spacing w:line="380" w:lineRule="exact"/>
      </w:pPr>
      <w:r>
        <w:rPr>
          <w:rFonts w:ascii="Times New Roman" w:hAnsi="Times New Roman" w:eastAsia="Songti SC"/>
          <w:color w:val="000000"/>
          <w:sz w:val="22"/>
        </w:rPr>
        <w:t>求解器验收还须覆盖等效用解、非有限分数、比较容差和线程重复性。真实自动求导应采用产生非零损失的受控输入，同时检查计算图连接、参数允许更新状态和梯度范数；单个零梯度样例不足以判定断路。计算图连接、参数更新资格和数值梯度共同决定接口判定，求解可行性与最优性分别登记。</w:t>
      </w:r>
    </w:p>
    <w:p>
      <w:pPr>
        <w:pStyle w:val="Heading3"/>
      </w:pPr>
      <w:r>
        <w:t>B.4.3 外层预算与提交的边界判定</w:t>
      </w:r>
      <w:bookmarkStart w:id="120" w:name="v14_120"/>
      <w:bookmarkEnd w:id="120"/>
    </w:p>
    <w:p>
      <w:pPr>
        <w:spacing w:line="380" w:lineRule="exact"/>
      </w:pPr>
      <w:r>
        <w:rPr>
          <w:rFonts w:ascii="Times New Roman" w:hAnsi="Times New Roman" w:eastAsia="Songti SC"/>
          <w:color w:val="000000"/>
          <w:sz w:val="22"/>
        </w:rPr>
        <w:t>表B-1规定调度器的验收语义，与算法4-1、4-2及顺序方法的阶段账本保持一致。它是实现与测试应共同满足的判定表；独立参考函数通过不表示生产调度器已经完成这些分支的验收。</w:t>
      </w:r>
    </w:p>
    <w:p>
      <w:pPr>
        <w:pStyle w:val="TableCaption"/>
        <w:spacing w:line="380" w:lineRule="exact"/>
      </w:pPr>
      <w:r>
        <w:rPr>
          <w:rFonts w:ascii="Times New Roman" w:hAnsi="Times New Roman" w:eastAsia="Songti SC"/>
          <w:color w:val="000000"/>
          <w:sz w:val="21"/>
        </w:rPr>
        <w:t>表B-1 提议评估与提交的预算判定</w:t>
      </w:r>
      <w:bookmarkStart w:id="205" w:name="v14_205"/>
      <w:bookmarkEnd w:id="20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边界情形</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允许动作</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账本与返回状态</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最后一次允许尝试得到合格候选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接受、编辑和安全提交资源足够时仍可提交</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尝试已计费，不再要求新的尝试名额</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尝试额度为0，尚未启动新提议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不得评估新提议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保留当前图；已评估候选另按提交条件处理</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接受额度为0，拟启动新的外层接受</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不得提交新的外层提议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已产生的计算消耗不退还</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累计编辑或安全验证、提交资源不足</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不得开始不能完成安全提交的动作</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保留最近完整合法图，已耗计算不退还</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顺序阶段一刚占满接受额度</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允许同一外层提议的配套阶段二，仍检查编辑和实际资源</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不增加外层接受数；阶段二失败保留阶段一</w:t>
            </w:r>
          </w:p>
        </w:tc>
      </w:tr>
    </w:tbl>
    <w:p>
      <w:pPr>
        <w:spacing w:after="0" w:line="240" w:lineRule="auto"/>
      </w:pPr>
    </w:p>
    <w:p>
      <w:pPr>
        <w:spacing w:line="380" w:lineRule="exact"/>
      </w:pPr>
      <w:r>
        <w:rPr>
          <w:rFonts w:ascii="Times New Roman" w:hAnsi="Times New Roman" w:eastAsia="Songti SC"/>
          <w:color w:val="000000"/>
          <w:sz w:val="22"/>
        </w:rPr>
        <w:t>验证日志分别给出评估前余额、评估消耗、提交前余额和提交结果，使“不能继续评估”与“不能提交已评估结果”可独立核对。阶段二属于已有外层接受；该例外不能被用于启动另一个提议。</w:t>
      </w:r>
    </w:p>
    <w:p>
      <w:pPr>
        <w:pStyle w:val="Heading2"/>
      </w:pPr>
      <w:r>
        <w:t>B.5 案例的统一记录格式</w:t>
      </w:r>
      <w:bookmarkStart w:id="121" w:name="v14_121"/>
      <w:bookmarkEnd w:id="121"/>
    </w:p>
    <w:p>
      <w:pPr>
        <w:spacing w:line="380" w:lineRule="exact"/>
      </w:pPr>
      <w:r>
        <w:rPr>
          <w:rFonts w:ascii="Times New Roman" w:hAnsi="Times New Roman" w:eastAsia="Songti SC"/>
          <w:color w:val="000000"/>
          <w:sz w:val="22"/>
        </w:rPr>
        <w:t>成功恢复、错误接受、错误拒绝、候选不可达和预算耗尽使用相同字段，保留原文、完整对象、初始图、候选及决策轨迹。案例解释与总体计数相互补充，不以单个案例的可解释性估计错误频率。第四章按这一格式组织案例。</w:t>
      </w:r>
    </w:p>
    <w:p>
      <w:pPr>
        <w:spacing w:line="380" w:lineRule="exact"/>
      </w:pPr>
      <w:r>
        <w:rPr>
          <w:rFonts w:ascii="Times New Roman" w:hAnsi="Times New Roman" w:eastAsia="Songti SC"/>
          <w:color w:val="000000"/>
          <w:sz w:val="22"/>
        </w:rPr>
        <w:t>（1）原文与金标准。给出数据集、固定划分、真实文档ID、相关原文及上下文，列出金标组件的跨度、类型和完整关系；CDCP逐项列出超边源集合。金标准仅用于事后评价，不进入测试时的提议、评分和接受过程。</w:t>
      </w:r>
    </w:p>
    <w:p>
      <w:pPr>
        <w:spacing w:line="380" w:lineRule="exact"/>
      </w:pPr>
      <w:r>
        <w:rPr>
          <w:rFonts w:ascii="Times New Roman" w:hAnsi="Times New Roman" w:eastAsia="Songti SC"/>
          <w:color w:val="000000"/>
          <w:sz w:val="22"/>
        </w:rPr>
        <w:t>（2）初始状态与候选。展示同一合法初始图、每个候选的来源与完整语义键，并注明遗漏对象是否在固定宇宙中、所需对象能否兼容共存。无法构造所需完整关系时，应将候选缺失与局部邻域不可达分别标出。</w:t>
      </w:r>
    </w:p>
    <w:p>
      <w:pPr>
        <w:spacing w:line="380" w:lineRule="exact"/>
      </w:pPr>
      <w:r>
        <w:rPr>
          <w:rFonts w:ascii="Times New Roman" w:hAnsi="Times New Roman" w:eastAsia="Songti SC"/>
          <w:color w:val="000000"/>
          <w:sz w:val="22"/>
        </w:rPr>
        <w:t>（3）顺序与联合对照。固定原文、检查点、候选、评分和资源口径，分别列出顺序组件修正及关系重建的真实步骤，以及BR-J的完整事务。对照中的中间状态、拒绝和耗时必须来自各自运行日志；缺少一侧日志时标记待对照运行，不推演为已经发生的结果。</w:t>
      </w:r>
    </w:p>
    <w:p>
      <w:pPr>
        <w:spacing w:line="380" w:lineRule="exact"/>
      </w:pPr>
      <w:r>
        <w:rPr>
          <w:rFonts w:ascii="Times New Roman" w:hAnsi="Times New Roman" w:eastAsia="Songti SC"/>
          <w:color w:val="000000"/>
          <w:sz w:val="22"/>
        </w:rPr>
        <w:t>（4）删除与新增对象。分别列出主动删除集合、冲突补入的删除集合、新增组件，以及所有删除和新增的完整关系。对边界或类型变化明确旧、新端点身份，对入边、出边和原NONE槽位逐一标明处理结果，同时展示事务外保持关系及必要的扩域。</w:t>
      </w:r>
    </w:p>
    <w:p>
      <w:pPr>
        <w:spacing w:line="380" w:lineRule="exact"/>
      </w:pPr>
      <w:r>
        <w:rPr>
          <w:rFonts w:ascii="Times New Roman" w:hAnsi="Times New Roman" w:eastAsia="Songti SC"/>
          <w:color w:val="000000"/>
          <w:sz w:val="22"/>
        </w:rPr>
        <w:t>（5）代理判断与真实变化。记录修改前后的组件效用、关系效用、总效用及其差值，列出合法性、分项门、严格总效用门和预算检查结果；同时分别报告组件与关系的TP、FP、FN及ΔTP、ΔFP、ΔFN，给出严格指标变化。事务计数与文档最终净变化并列，避免将重复修改或单元分组差异当作恢复收益。</w:t>
      </w:r>
    </w:p>
    <w:p>
      <w:pPr>
        <w:spacing w:line="380" w:lineRule="exact"/>
      </w:pPr>
      <w:r>
        <w:rPr>
          <w:rFonts w:ascii="Times New Roman" w:hAnsi="Times New Roman" w:eastAsia="Songti SC"/>
          <w:color w:val="000000"/>
          <w:sz w:val="22"/>
        </w:rPr>
        <w:t>（6）接受、拒绝与失败归因。成功恢复记录应指出实际新增的正确对象及保留的原正确对象；错误接受记录说明代理门通过后损失了哪些真实对象；错误拒绝记录保留被拒状态的真实评价及触发门限。候选不可达和预算耗尽分别记录缺失对象、已尝试队列、剩余额度和最终返回图。每例均保留回退状态、求解是否超时及其间隙，使运行过程可以重放。</w:t>
      </w:r>
    </w:p>
    <w:p>
      <w:pPr>
        <w:pStyle w:val="Heading2"/>
      </w:pPr>
      <w:r>
        <w:t>B.6 固定评分性质的证明与构造</w:t>
      </w:r>
      <w:bookmarkStart w:id="122" w:name="v14_122"/>
      <w:bookmarkEnd w:id="122"/>
    </w:p>
    <w:p>
      <w:pPr>
        <w:spacing w:line="380" w:lineRule="exact"/>
      </w:pPr>
      <w:r>
        <w:rPr>
          <w:rFonts w:ascii="Times New Roman" w:hAnsi="Times New Roman" w:eastAsia="Songti SC"/>
          <w:color w:val="000000"/>
          <w:sz w:val="22"/>
        </w:rPr>
        <w:t>本节对应4.5.3至4.5.5节，分别说明精确差值、集合动作的表达边界与有限终止。</w:t>
      </w:r>
    </w:p>
    <w:p>
      <w:pPr>
        <w:spacing w:line="380" w:lineRule="exact"/>
      </w:pPr>
      <w:r>
        <w:rPr>
          <w:rFonts w:ascii="Times New Roman" w:hAnsi="Times New Roman" w:eastAsia="Songti SC"/>
          <w:color w:val="000000"/>
          <w:sz w:val="22"/>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spacing w:line="380" w:lineRule="exact"/>
      </w:pPr>
      <w:r>
        <w:rPr>
          <w:rFonts w:ascii="Times New Roman" w:hAnsi="Times New Roman" w:eastAsia="Songti SC"/>
          <w:color w:val="000000"/>
          <w:sz w:val="22"/>
        </w:rPr>
        <w:t xml:space="preserve">构造两个互不重叠的旧组件 </w:t>
      </w:r>
      <m:oMath>
        <m:r>
          <m:t xml:space="preserve">a</m:t>
        </m:r>
        <m:r>
          <m:t xml:space="preserve">=</m:t>
        </m:r>
        <m:r>
          <m:t xml:space="preserve">[</m:t>
        </m:r>
        <m:r>
          <m:t xml:space="preserve">0</m:t>
        </m:r>
        <m:r>
          <m:t xml:space="preserve">,</m:t>
        </m:r>
        <m:r>
          <m:t xml:space="preserve">4</m:t>
        </m:r>
        <m:r>
          <m:t xml:space="preserve">)</m:t>
        </m:r>
      </m:oMath>
      <w:r>
        <w:rPr>
          <w:rFonts w:ascii="Times New Roman" w:hAnsi="Times New Roman" w:eastAsia="Songti SC"/>
          <w:color w:val="000000"/>
          <w:sz w:val="22"/>
        </w:rPr>
        <w:t>、</w:t>
      </w:r>
      <m:oMath>
        <m:r>
          <m:t xml:space="preserve">b</m:t>
        </m:r>
        <m:r>
          <m:t xml:space="preserve">=</m:t>
        </m:r>
        <m:r>
          <m:t xml:space="preserve">[</m:t>
        </m:r>
        <m:r>
          <m:t xml:space="preserve">5</m:t>
        </m:r>
        <m:r>
          <m:t xml:space="preserve">,</m:t>
        </m:r>
        <m:r>
          <m:t xml:space="preserve">1</m:t>
        </m:r>
        <m:r>
          <m:t xml:space="preserve">0</m:t>
        </m:r>
        <m:r>
          <m:t xml:space="preserve">)</m:t>
        </m:r>
      </m:oMath>
      <w:r>
        <w:rPr>
          <w:rFonts w:ascii="Times New Roman" w:hAnsi="Times New Roman" w:eastAsia="Songti SC"/>
          <w:color w:val="000000"/>
          <w:sz w:val="22"/>
        </w:rPr>
        <w:t xml:space="preserve">，新跨度 </w:t>
      </w:r>
      <m:oMath>
        <m:r>
          <m:t xml:space="preserve">c</m:t>
        </m:r>
        <m:r>
          <m:t xml:space="preserve">=</m:t>
        </m:r>
        <m:r>
          <m:t xml:space="preserve">[</m:t>
        </m:r>
        <m:r>
          <m:t xml:space="preserve">0</m:t>
        </m:r>
        <m:r>
          <m:t xml:space="preserve">,</m:t>
        </m:r>
        <m:r>
          <m:t xml:space="preserve">1</m:t>
        </m:r>
        <m:r>
          <m:t xml:space="preserve">0</m:t>
        </m:r>
        <m:r>
          <m:t xml:space="preserve">)</m:t>
        </m:r>
      </m:oMath>
      <w:r>
        <w:rPr>
          <w:rFonts w:ascii="Times New Roman" w:hAnsi="Times New Roman" w:eastAsia="Songti SC"/>
          <w:color w:val="000000"/>
          <w:sz w:val="22"/>
        </w:rPr>
        <w:t xml:space="preserve"> 恰为二者包络，满足合并的坐标条件。取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sz w:val="22"/>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sz w:val="22"/>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sz w:val="22"/>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sz w:val="22"/>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sz w:val="22"/>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sz w:val="22"/>
        </w:rPr>
        <w:t xml:space="preserve"> 的效用为 </w:t>
      </w:r>
      <m:oMath>
        <m:r>
          <m:t xml:space="preserve">0</m:t>
        </m:r>
        <m:r>
          <m:t xml:space="preserve">.</m:t>
        </m:r>
        <m:r>
          <m:t xml:space="preserve">4</m:t>
        </m:r>
      </m:oMath>
      <w:r>
        <w:rPr>
          <w:rFonts w:ascii="Times New Roman" w:hAnsi="Times New Roman" w:eastAsia="Songti SC"/>
          <w:color w:val="000000"/>
          <w:sz w:val="22"/>
        </w:rPr>
        <w:t xml:space="preserve">：单独删除任一组件降分，直接插入 </w:t>
      </w:r>
      <m:oMath>
        <m:r>
          <m:t xml:space="preserve">c</m:t>
        </m:r>
      </m:oMath>
      <w:r>
        <w:rPr>
          <w:rFonts w:ascii="Times New Roman" w:hAnsi="Times New Roman" w:eastAsia="Songti SC"/>
          <w:color w:val="000000"/>
          <w:sz w:val="22"/>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sz w:val="22"/>
        </w:rPr>
        <w:t xml:space="preserve"> 则合法且增分 </w:t>
      </w:r>
      <m:oMath>
        <m:r>
          <m:t xml:space="preserve">0</m:t>
        </m:r>
        <m:r>
          <m:t xml:space="preserve">.</m:t>
        </m:r>
        <m:r>
          <m:t xml:space="preserve">4</m:t>
        </m:r>
      </m:oMath>
      <w:r>
        <w:rPr>
          <w:rFonts w:ascii="Times New Roman" w:hAnsi="Times New Roman" w:eastAsia="Songti SC"/>
          <w:color w:val="000000"/>
          <w:sz w:val="22"/>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sz w:val="22"/>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sz w:val="22"/>
        </w:rPr>
        <w:t xml:space="preserve"> 并保持关系不变，即满足全部效用门。若一对一提议通过冲突闭合同时删除两个旧组件，它事实上已扩展为上述集合事务，不再属于受限的单对象动作。</w:t>
      </w:r>
    </w:p>
    <w:p>
      <w:pPr>
        <w:spacing w:line="380" w:lineRule="exact"/>
      </w:pPr>
      <w:r>
        <w:rPr>
          <w:rFonts w:ascii="Times New Roman" w:hAnsi="Times New Roman" w:eastAsia="Songti SC"/>
          <w:color w:val="000000"/>
          <w:sz w:val="22"/>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pPr>
        <w:pStyle w:val="Heading1"/>
      </w:pPr>
      <w:r>
        <w:t>附录C 成果归属与研究声明</w:t>
      </w:r>
      <w:bookmarkStart w:id="123" w:name="v14_123"/>
      <w:bookmarkEnd w:id="123"/>
    </w:p>
    <w:p>
      <w:pPr>
        <w:pStyle w:val="Heading2"/>
      </w:pPr>
      <w:r>
        <w:t>C.1 前期共同成果</w:t>
      </w:r>
      <w:bookmarkStart w:id="124" w:name="v14_124"/>
      <w:bookmarkEnd w:id="124"/>
    </w:p>
    <w:p>
      <w:pPr>
        <w:spacing w:line="380" w:lineRule="exact"/>
      </w:pPr>
      <w:r>
        <w:rPr>
          <w:rFonts w:ascii="Times New Roman" w:hAnsi="Times New Roman" w:eastAsia="Songti SC"/>
          <w:color w:val="000000"/>
          <w:sz w:val="22"/>
        </w:rPr>
        <w:t>Chen Tang、Min Peng和Gang Tian的ICIC 2026公开论文构成本研究的直接基础[34]。已公开机制与本论文深化内容的对应关系见表1-2，前期数值保留在附录E。前期成果的引用及结果归属不因作者参与该工作而省略。</w:t>
      </w:r>
    </w:p>
    <w:p>
      <w:pPr>
        <w:pStyle w:val="Heading2"/>
      </w:pPr>
      <w:r>
        <w:t>C.2 数据与材料可得性</w:t>
      </w:r>
      <w:bookmarkStart w:id="125" w:name="v14_125"/>
      <w:bookmarkEnd w:id="125"/>
    </w:p>
    <w:p>
      <w:pPr>
        <w:spacing w:line="380" w:lineRule="exact"/>
      </w:pPr>
      <w:r>
        <w:rPr>
          <w:rFonts w:ascii="Times New Roman" w:hAnsi="Times New Roman" w:eastAsia="Songti SC"/>
          <w:color w:val="000000"/>
          <w:sz w:val="22"/>
        </w:rPr>
        <w:t>AAEC和CDCP的数据使用遵循原始发布条款[2][3]。公开获取不等于允许任意再分发，公开复现材料需按许可提供下载指引或必要派生文件，避免附带访问凭据、不必要的个人信息及未获许可的语料副本。</w:t>
      </w:r>
    </w:p>
    <w:p>
      <w:pPr>
        <w:spacing w:line="380" w:lineRule="exact"/>
      </w:pPr>
      <w:r>
        <w:rPr>
          <w:rFonts w:ascii="Times New Roman" w:hAnsi="Times New Roman" w:eastAsia="Songti SC"/>
          <w:color w:val="000000"/>
          <w:sz w:val="22"/>
        </w:rPr>
        <w:t>本地材料包含结果生成程序、统一配置、逐文档计数、审计判定、评分记录、图表数据与修订索引，入口见附录A.5。数学构造材料保留在附录D，用于复算性质和边界。材料的公开范围与存放入口由作者根据语料许可及成果归属确定。</w:t>
      </w:r>
    </w:p>
    <w:p>
      <w:pPr>
        <w:pStyle w:val="Heading2"/>
      </w:pPr>
      <w:r>
        <w:t>C.3 研究辅助与伦理说明</w:t>
      </w:r>
      <w:bookmarkStart w:id="126" w:name="v14_126"/>
      <w:bookmarkEnd w:id="126"/>
    </w:p>
    <w:p>
      <w:pPr>
        <w:spacing w:line="380" w:lineRule="exact"/>
      </w:pPr>
      <w:r>
        <w:rPr>
          <w:rFonts w:ascii="Times New Roman" w:hAnsi="Times New Roman" w:eastAsia="Songti SC"/>
          <w:color w:val="000000"/>
          <w:sz w:val="22"/>
        </w:rPr>
        <w:t>研究辅助用于文献定位与核对、方法讨论、论证边界检查、参考代码、文字修订及排版。作者负责独立审阅方法、引用和代码，并对研究事实、贡献归属及结果解释承担责任。自动生成的文字、理论例子和软件测试不作为人工标注或正式模型实验记录。</w:t>
      </w:r>
    </w:p>
    <w:p>
      <w:pPr>
        <w:spacing w:line="380" w:lineRule="exact"/>
      </w:pPr>
      <w:r>
        <w:rPr>
          <w:rFonts w:ascii="Times New Roman" w:hAnsi="Times New Roman" w:eastAsia="Songti SC"/>
          <w:color w:val="000000"/>
          <w:sz w:val="22"/>
        </w:rPr>
        <w:t>涉及人员参与、语料再使用及可能的敏感信息时，应按研究内容履行适用的机构程序。判定规则、分歧与裁决共同构成审计记录；一致性系数不能代替对语义标签的独立判断，本文不据此作机构审批或豁免声明。</w:t>
      </w:r>
    </w:p>
    <w:p>
      <w:pPr>
        <w:pStyle w:val="Heading2"/>
      </w:pPr>
      <w:r>
        <w:t>C.4 成果记录与署名责任</w:t>
      </w:r>
      <w:bookmarkStart w:id="127" w:name="v14_127"/>
      <w:bookmarkEnd w:id="127"/>
    </w:p>
    <w:p>
      <w:pPr>
        <w:spacing w:line="380" w:lineRule="exact"/>
      </w:pPr>
      <w:r>
        <w:rPr>
          <w:rFonts w:ascii="Times New Roman" w:hAnsi="Times New Roman" w:eastAsia="Songti SC"/>
          <w:color w:val="000000"/>
          <w:sz w:val="22"/>
        </w:rPr>
        <w:t>方法、程序、数据记录和论文文字采用版本关联，引用前期共同成果时保留原作者及成果身份。学位论文原创性声明、使用授权、署名与签字使用学校适用表单，由相应责任人确认；研究辅助不代替作者对事实、引用和结论的责任。</w:t>
      </w:r>
    </w:p>
    <w:p>
      <w:pPr>
        <w:pStyle w:val="Heading1"/>
      </w:pPr>
      <w:r>
        <w:t>附录D 前期实验基础与轻量诊断</w:t>
      </w:r>
      <w:bookmarkStart w:id="128" w:name="v14_128"/>
      <w:bookmarkEnd w:id="128"/>
    </w:p>
    <w:p>
      <w:pPr>
        <w:pStyle w:val="Heading2"/>
      </w:pPr>
      <w:r>
        <w:t>D.1 前期结果的使用范围</w:t>
      </w:r>
      <w:bookmarkStart w:id="129" w:name="v14_129"/>
      <w:bookmarkEnd w:id="129"/>
    </w:p>
    <w:p>
      <w:pPr>
        <w:spacing w:line="380" w:lineRule="exact"/>
      </w:pPr>
      <w:r>
        <w:rPr>
          <w:rFonts w:ascii="Times New Roman" w:hAnsi="Times New Roman" w:eastAsia="Songti SC"/>
          <w:color w:val="000000"/>
          <w:sz w:val="22"/>
        </w:rPr>
        <w:t>ICIC公开论文报告原版Full在AAEC上的组件F1为83.71、关系F1为64.83，在CDCP上分别为76.45和38.17[34]。这些成绩属于前期系统及原评价协议，用于说明研究基础，不支持第三章新增增强、第四章闭合事务或严格原生超边的效果结论。原表与补充记录逐项保留在附录E。</w:t>
      </w:r>
    </w:p>
    <w:p>
      <w:pPr>
        <w:spacing w:line="380" w:lineRule="exact"/>
      </w:pPr>
      <w:r>
        <w:rPr>
          <w:rFonts w:ascii="Times New Roman" w:hAnsi="Times New Roman" w:eastAsia="Songti SC"/>
          <w:color w:val="000000"/>
          <w:sz w:val="22"/>
        </w:rPr>
        <w:t>附录E.1的分类别组件表来自旧稿补充记录，未在此前核对的ICIC公开表中找到对应，其Single-Pass组件F1为81.67，与主表77.82不同。材料未绑定前，不据此估计增强增量。原版行为记录中的组件替换与类型修改归于BR-O，不移作BR-C或BR-J的动作分布。</w:t>
      </w:r>
    </w:p>
    <w:p>
      <w:pPr>
        <w:pStyle w:val="Heading2"/>
      </w:pPr>
      <w:r>
        <w:t>D.2 训练集内诊断设置</w:t>
      </w:r>
      <w:bookmarkStart w:id="130" w:name="v14_130"/>
      <w:bookmarkEnd w:id="130"/>
    </w:p>
    <w:p>
      <w:pPr>
        <w:spacing w:line="380" w:lineRule="exact"/>
      </w:pPr>
      <w:r>
        <w:rPr>
          <w:rFonts w:ascii="Times New Roman" w:hAnsi="Times New Roman" w:eastAsia="Songti SC"/>
          <w:color w:val="000000"/>
          <w:sz w:val="22"/>
        </w:rPr>
        <w:t>前期CPU诊断纳入AAEC 322篇，拟合、校准、审计部分分别为191、65、66篇；CDCP在记录排除文档00411后纳入580篇，对应348、116、116篇。划分按完整文本哈希分组，测试文件不参与解析、拟合、选择或评分。该诊断使用固定版本镜像和划分文件，数据异常与坐标映射问题保留在独立日志中。这些数量描述前期轻量诊断，和表2-2的比较配置分开，不用于两项新增方法的效果归因。</w:t>
      </w:r>
    </w:p>
    <w:p>
      <w:pPr>
        <w:spacing w:line="380" w:lineRule="exact"/>
      </w:pPr>
      <w:r>
        <w:rPr>
          <w:rFonts w:ascii="Times New Roman" w:hAnsi="Times New Roman" w:eastAsia="Songti SC"/>
          <w:color w:val="000000"/>
          <w:sz w:val="22"/>
        </w:rPr>
        <w:t>诊断采用稀疏线性模型生成组件与候选，初始typed component F1为AAEC 25.42、CDCP 4.89。尤其CDCP存在较强过度分割，因此该错误分布不能代表前期LLM系统。诊断中的关系分类给定金标跨度与类型，且限于单前提，不包含端到端完整关系效用、原生多前提修正、闭合事务或ILP。原记录中的收敛警告也限制了其解释范围。</w:t>
      </w:r>
    </w:p>
    <w:p>
      <w:pPr>
        <w:pStyle w:val="Heading2"/>
      </w:pPr>
      <w:r>
        <w:t>D.3 诊断的启示与限制</w:t>
      </w:r>
      <w:bookmarkStart w:id="131" w:name="v14_131"/>
      <w:bookmarkEnd w:id="131"/>
    </w:p>
    <w:p>
      <w:pPr>
        <w:spacing w:line="380" w:lineRule="exact"/>
      </w:pPr>
      <w:r>
        <w:rPr>
          <w:rFonts w:ascii="Times New Roman" w:hAnsi="Times New Roman" w:eastAsia="Songti SC"/>
          <w:color w:val="000000"/>
          <w:sz w:val="22"/>
        </w:rPr>
        <w:t>已保存的CPU预实验中，AAEC组件TP／FP／FN由340／1349／646变为340／1283／646，严格typed component F1由25.42升至26.06；CDCP由86／2708／637变为86／2593／637，F1由4.89升至5.06。增量分别为0.64和0.17个百分点。两语料分别接受66和115次删除，TP没有增加，因此不能将其解释为遗漏组件恢复或闭合修正效果。</w:t>
      </w:r>
    </w:p>
    <w:p>
      <w:pPr>
        <w:spacing w:line="380" w:lineRule="exact"/>
      </w:pPr>
      <w:r>
        <w:rPr>
          <w:rFonts w:ascii="Times New Roman" w:hAnsi="Times New Roman" w:eastAsia="Songti SC"/>
          <w:color w:val="000000"/>
          <w:sz w:val="22"/>
        </w:rPr>
        <w:t>在每文档最多增加128个跨度候选的条件下，AAEC精确跨度覆盖为945／986（95.84%），CDCP为700／723（96.82%）；原生关系全部端点覆盖分别为597／627（95.22%）和189／200（94.50%）。前者不要求类型正确，后者也不代表完整关系已经生成或可被接受，故均不能替换表4-4的严格完整对象覆盖。该预实验使用官方训练部分及单一seed=920；关系评分另给定金标端点且限单前提，不能填入本文的端到端关系主表。</w:t>
      </w:r>
    </w:p>
    <w:p>
      <w:pPr>
        <w:spacing w:line="380" w:lineRule="exact"/>
      </w:pPr>
      <w:r>
        <w:rPr>
          <w:rFonts w:ascii="Times New Roman" w:hAnsi="Times New Roman" w:eastAsia="Songti SC"/>
          <w:color w:val="000000"/>
          <w:sz w:val="22"/>
        </w:rPr>
        <w:t>本版从既存运行清单、逐文档候选预测和结果汇总读取上述数值，并从TP／FP／FN复算F1；没有重新训练。已有文本分组重采样结果中，主策略组件F1增量的95%区间为AAEC [+0.58, +0.71]、CDCP [+0.12, +0.22]个百分点。它们属于该次轻量诊断，不是三个情景种子的标准差，也不支持新增方法的效应大小。运行清单记录完成耗时29.03秒，该值不是本文系统的逐文档推理延迟。</w:t>
      </w:r>
    </w:p>
    <w:p>
      <w:pPr>
        <w:spacing w:line="380" w:lineRule="exact"/>
      </w:pPr>
      <w:r>
        <w:rPr>
          <w:rFonts w:ascii="Times New Roman" w:hAnsi="Times New Roman" w:eastAsia="Songti SC"/>
          <w:color w:val="000000"/>
          <w:sz w:val="22"/>
        </w:rPr>
        <w:t>轻量诊断用于检查候选恢复与弱评分路线可能出现的信号和失败模式。其结果提示，正式研究需在真实LLM自然错误上重新检验候选可达性和接受可靠性，特别关注弱基线中明显、强基线中可能缩小的恢复空间。它不能替代强对照，也不能直接给出新方法的预期增量。</w:t>
      </w:r>
    </w:p>
    <w:p>
      <w:pPr>
        <w:spacing w:line="380" w:lineRule="exact"/>
      </w:pPr>
      <w:r>
        <w:rPr>
          <w:rFonts w:ascii="Times New Roman" w:hAnsi="Times New Roman" w:eastAsia="Songti SC"/>
          <w:color w:val="000000"/>
          <w:sz w:val="22"/>
        </w:rPr>
        <w:t>参考工程可用于实现和测试，但软件可运行、形式性质成立、实验有效是不同判断。诊断记录只能支持其实际覆盖的流程与对象，方法效果仍需由相应任务上的独立实验确定。</w:t>
      </w:r>
    </w:p>
    <w:p>
      <w:pPr>
        <w:pStyle w:val="Heading2"/>
      </w:pPr>
      <w:r>
        <w:t>D.4 本版构造验证及复算入口</w:t>
      </w:r>
      <w:bookmarkStart w:id="132" w:name="v14_132"/>
      <w:bookmarkEnd w:id="132"/>
    </w:p>
    <w:p>
      <w:pPr>
        <w:spacing w:line="380" w:lineRule="exact"/>
      </w:pPr>
      <w:r>
        <w:rPr>
          <w:rFonts w:ascii="Times New Roman" w:hAnsi="Times New Roman" w:eastAsia="Songti SC"/>
          <w:color w:val="000000"/>
          <w:sz w:val="22"/>
        </w:rPr>
        <w:t>机制材料包含19项构造断言，接口材料包含40项有限断言，分别对应validate_mechanisms.py与validate_interfaces.py及其结果文件。这些数量是给定输入下的断言记录数，不是覆盖率或研究贡献数量。材料使用组件、超边、字符区间、固定分数和阶段状态检查接口语义；输入、程序及配置哈希保存在_revision_1009_v2中。</w:t>
      </w:r>
    </w:p>
    <w:p>
      <w:pPr>
        <w:spacing w:line="380" w:lineRule="exact"/>
      </w:pPr>
      <w:r>
        <w:rPr>
          <w:rFonts w:ascii="Times New Roman" w:hAnsi="Times New Roman" w:eastAsia="Songti SC"/>
          <w:color w:val="000000"/>
          <w:sz w:val="22"/>
        </w:rPr>
        <w:t>检查包括中心确定性、空集与回退、长金标超边、区域预算、字符输运、四类因素、逐源权重、候选保护、类别轮转、两两冲突、非接触新合法槽位、失效旧超边扩域、顺序与联合决策、第二阶段失败、Oracle包含关系、精确最优值、累计与净成本、重复与空预测评价及micro目标反例。通过表示这些有限输入满足断言，不表示覆盖完整系统，也不等于单元测试覆盖率100%。</w:t>
      </w:r>
    </w:p>
    <w:p>
      <w:pPr>
        <w:spacing w:line="380" w:lineRule="exact"/>
      </w:pPr>
      <w:r>
        <w:rPr>
          <w:rFonts w:ascii="Times New Roman" w:hAnsi="Times New Roman" w:eastAsia="Songti SC"/>
          <w:color w:val="000000"/>
          <w:sz w:val="22"/>
        </w:rPr>
        <w:t>参考程序使用半开字符区间；小图的三个关系对象和全部组件子集完整枚举得到30个合法图。编辑预算排除其中一个图，净预算集合为29；最多三事务也达到29，一事务仅7。初始及一步的最佳关系计数为TP=1、FP=0、FN=1；多步与全局为TP=2、FP=0、FN=0。相应66.67及100.00由原始计数重算，金标和评分均为公开构造输入。该小图只含组件顺序及抽象删增形态，7／29／29对应这一声明邻域。带坐标的拆合另用D.6的区间输入说明，二者不混合计算状态空间。</w:t>
      </w:r>
    </w:p>
    <w:p>
      <w:pPr>
        <w:pStyle w:val="Heading2"/>
      </w:pPr>
      <w:r>
        <w:t>D.5 micro优化的计数反例</w:t>
      </w:r>
      <w:bookmarkStart w:id="133" w:name="v14_133"/>
      <w:bookmarkEnd w:id="133"/>
    </w:p>
    <w:p>
      <w:pPr>
        <w:spacing w:line="380" w:lineRule="exact"/>
      </w:pPr>
      <w:r>
        <w:rPr>
          <w:rFonts w:ascii="Times New Roman" w:hAnsi="Times New Roman" w:eastAsia="Songti SC"/>
          <w:color w:val="000000"/>
          <w:sz w:val="22"/>
        </w:rPr>
        <w:t>两个构造文档的金标关系数分别为1000和10。文档A的可行计数为(1,0,999)或(0,0,1000)，文档B为(1,0,9)或(9,81,1)，括号依次为TP、FP、FN。A的逐文档最优选第一项，B亦选第一项，因为18.1818高于18.0000；两者汇总后micro-F1为0.3953。若对整个计数集合优化，A仍选第一项而B选第二项，汇总micro-F1为1.8165。参考程序穷举四种组合核实该差别。</w:t>
      </w:r>
    </w:p>
    <w:p>
      <w:pPr>
        <w:spacing w:line="380" w:lineRule="exact"/>
      </w:pPr>
      <w:r>
        <w:rPr>
          <w:rFonts w:ascii="Times New Roman" w:hAnsi="Times New Roman" w:eastAsia="Songti SC"/>
          <w:color w:val="000000"/>
          <w:sz w:val="22"/>
        </w:rPr>
        <w:t>该反例证明逐文档最优不是语料micro最优的充分条件，不证明上述错误分布存在于目标语料，也不说明应在实际输出中使用金标。它仅用于确定Oracle实现必须优化共同计数目标。</w:t>
      </w:r>
    </w:p>
    <w:p>
      <w:pPr>
        <w:pStyle w:val="Heading2"/>
      </w:pPr>
      <w:r>
        <w:t>D.6 既有接口构造材料</w:t>
      </w:r>
      <w:bookmarkStart w:id="134" w:name="v14_134"/>
      <w:bookmarkEnd w:id="134"/>
    </w:p>
    <w:p>
      <w:pPr>
        <w:spacing w:line="380" w:lineRule="exact"/>
      </w:pPr>
      <w:r>
        <w:rPr>
          <w:rFonts w:ascii="Times New Roman" w:hAnsi="Times New Roman" w:eastAsia="Songti SC"/>
          <w:color w:val="000000"/>
          <w:sz w:val="22"/>
        </w:rPr>
        <w:t>中心匹配fixture覆盖全为结论角色、仅一个中心、存在合格非结论中心、区域超限与空组件；允许自匹配时有效参考区域均有匹配项。二十个固定文档键的构造记录用于检验自匹配统计分母，不估计真实语料比例。反向fixture分别记录双向保留、仅正向受保护、逆向裁剪、方向非法、端点类型替换和多源范围限制，不能把未入池或未入队归为评分拒绝。</w:t>
      </w:r>
    </w:p>
    <w:p>
      <w:pPr>
        <w:spacing w:line="380" w:lineRule="exact"/>
      </w:pPr>
      <w:r>
        <w:rPr>
          <w:rFonts w:ascii="Times New Roman" w:hAnsi="Times New Roman" w:eastAsia="Songti SC"/>
          <w:color w:val="000000"/>
          <w:sz w:val="22"/>
        </w:rPr>
        <w:t>顺序账本fixture将两阶段成功、阶段一拒绝、阶段二无解、无incumbent超时、阶段二前资源耗尽、关系编辑耗尽、纯关系操作与达到外层接受上限后的配套阶段分开。两阶段成功时外层尝试／接受各1，组件／关系提交各1，实际组件／关系编辑各2；阶段二失败时保留新组件和空关系，关系删除成本1不退回。纯关系成功只有一次关系提交。人工资源单位仅验证余额约束，不换算成时延或token。删后加回同一关系的累计编辑为2、净编辑为0。</w:t>
      </w:r>
    </w:p>
    <w:p>
      <w:pPr>
        <w:spacing w:line="380" w:lineRule="exact"/>
      </w:pPr>
      <w:r>
        <w:rPr>
          <w:rFonts w:ascii="Times New Roman" w:hAnsi="Times New Roman" w:eastAsia="Songti SC"/>
          <w:color w:val="000000"/>
          <w:sz w:val="22"/>
        </w:rPr>
        <w:t>跨度fixture采用半开字符坐标和完整类型键。旧组件[0,10)可拆为[0,4)与[5,10)，两段兼容且包络一致；越界、重叠或包络缩小分别拒绝，合法逆向合并通过形态检查。新增跨度若同时碰到窗口外旧组件，先补入删除集合再核查形态；名义插入覆盖两个旧组件时按2→1处理，单对象对照拒绝。预算不足不提交。入边、出边及超边的三个旧完整对象随旧端点删除，三个合法新关系重新计费，关系编辑总计6。另检验插入不接触端点却使已选超边源连续性失效的最小扩域。</w:t>
      </w:r>
    </w:p>
    <w:p>
      <w:pPr>
        <w:spacing w:line="380" w:lineRule="exact"/>
      </w:pPr>
      <w:r>
        <w:rPr>
          <w:rFonts w:ascii="Times New Roman" w:hAnsi="Times New Roman" w:eastAsia="Songti SC"/>
          <w:color w:val="000000"/>
          <w:sz w:val="22"/>
        </w:rPr>
        <w:t>队列fixture证明其参考调度器首批全拒后可检查后批、同状态跨轮继续游标、未见状态重新枚举且去重，返回已有状态续用缓存。有限排序fixture验证效用、编辑数、规范键的顺序及非有限值拒绝。这些构造对应独立参考函数的输入输出，训练、求解和持久化接口按附录B.4.2分别组织。</w:t>
      </w:r>
    </w:p>
    <w:p>
      <w:pPr>
        <w:pStyle w:val="Heading1"/>
      </w:pPr>
      <w:r>
        <w:t>附录E 前期数值与协议存档</w:t>
      </w:r>
      <w:bookmarkStart w:id="135" w:name="v14_135"/>
      <w:bookmarkEnd w:id="135"/>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bookmarkStart w:id="136" w:name="v14_136"/>
      <w:bookmarkEnd w:id="136"/>
    </w:p>
    <w:p>
      <w:pPr>
        <w:pStyle w:val="TableCaption"/>
        <w:spacing w:line="380" w:lineRule="exact"/>
      </w:pPr>
      <w:r>
        <w:rPr>
          <w:rFonts w:ascii="Times New Roman" w:hAnsi="Times New Roman" w:eastAsia="Songti SC"/>
          <w:color w:val="000000"/>
          <w:sz w:val="21"/>
        </w:rPr>
        <w:t>表E-1 AAEC组件分类别旧稿记录</w:t>
      </w:r>
      <w:bookmarkStart w:id="206" w:name="v14_206"/>
      <w:bookmarkEnd w:id="20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bookmarkStart w:id="137" w:name="v14_137"/>
      <w:bookmarkEnd w:id="137"/>
    </w:p>
    <w:p>
      <w:pPr>
        <w:pStyle w:val="TableCaption"/>
        <w:spacing w:line="380" w:lineRule="exact"/>
      </w:pPr>
      <w:r>
        <w:rPr>
          <w:rFonts w:ascii="Times New Roman" w:hAnsi="Times New Roman" w:eastAsia="Songti SC"/>
          <w:color w:val="000000"/>
          <w:sz w:val="21"/>
        </w:rPr>
        <w:t>表E-2 ICIC原版AAEC域内结果记录</w:t>
      </w:r>
      <w:bookmarkStart w:id="207" w:name="v14_207"/>
      <w:bookmarkEnd w:id="20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bookmarkStart w:id="138" w:name="v14_138"/>
      <w:bookmarkEnd w:id="138"/>
    </w:p>
    <w:p>
      <w:pPr>
        <w:pStyle w:val="TableCaption"/>
        <w:spacing w:line="380" w:lineRule="exact"/>
      </w:pPr>
      <w:r>
        <w:rPr>
          <w:rFonts w:ascii="Times New Roman" w:hAnsi="Times New Roman" w:eastAsia="Songti SC"/>
          <w:color w:val="000000"/>
          <w:sz w:val="21"/>
        </w:rPr>
        <w:t>表E-3 ICIC原版CDCP域内结果记录</w:t>
      </w:r>
      <w:bookmarkStart w:id="208" w:name="v14_208"/>
      <w:bookmarkEnd w:id="20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bookmarkStart w:id="139" w:name="v14_139"/>
      <w:bookmarkEnd w:id="139"/>
    </w:p>
    <w:p>
      <w:pPr>
        <w:pStyle w:val="TableCaption"/>
        <w:spacing w:line="380" w:lineRule="exact"/>
      </w:pPr>
      <w:r>
        <w:rPr>
          <w:rFonts w:ascii="Times New Roman" w:hAnsi="Times New Roman" w:eastAsia="Songti SC"/>
          <w:color w:val="000000"/>
          <w:sz w:val="21"/>
        </w:rPr>
        <w:t>表E-4 ICIC原版模块消融记录</w:t>
      </w:r>
      <w:bookmarkStart w:id="209" w:name="v14_209"/>
      <w:bookmarkEnd w:id="20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bookmarkStart w:id="140" w:name="v14_140"/>
      <w:bookmarkEnd w:id="140"/>
    </w:p>
    <w:p>
      <w:pPr>
        <w:pStyle w:val="TableCaption"/>
        <w:spacing w:line="380" w:lineRule="exact"/>
      </w:pPr>
      <w:r>
        <w:rPr>
          <w:rFonts w:ascii="Times New Roman" w:hAnsi="Times New Roman" w:eastAsia="Songti SC"/>
          <w:color w:val="000000"/>
          <w:sz w:val="21"/>
        </w:rPr>
        <w:t>表E-5 ICIC原版验证器替换记录</w:t>
      </w:r>
      <w:bookmarkStart w:id="210" w:name="v14_210"/>
      <w:bookmarkEnd w:id="21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bookmarkStart w:id="141" w:name="v14_141"/>
      <w:bookmarkEnd w:id="141"/>
    </w:p>
    <w:p>
      <w:pPr>
        <w:pStyle w:val="TableCaption"/>
        <w:spacing w:line="380" w:lineRule="exact"/>
      </w:pPr>
      <w:r>
        <w:rPr>
          <w:rFonts w:ascii="Times New Roman" w:hAnsi="Times New Roman" w:eastAsia="Songti SC"/>
          <w:color w:val="000000"/>
          <w:sz w:val="21"/>
        </w:rPr>
        <w:t>表E-6 ICIC原版Oracle记录</w:t>
      </w:r>
      <w:bookmarkStart w:id="211" w:name="v14_211"/>
      <w:bookmarkEnd w:id="21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bookmarkStart w:id="142" w:name="v14_142"/>
      <w:bookmarkEnd w:id="142"/>
    </w:p>
    <w:p>
      <w:pPr>
        <w:pStyle w:val="TableCaption"/>
        <w:spacing w:line="380" w:lineRule="exact"/>
      </w:pPr>
      <w:r>
        <w:rPr>
          <w:rFonts w:ascii="Times New Roman" w:hAnsi="Times New Roman" w:eastAsia="Songti SC"/>
          <w:color w:val="000000"/>
          <w:sz w:val="21"/>
        </w:rPr>
        <w:t>表E-7 ICIC原版修正行为记录</w:t>
      </w:r>
      <w:bookmarkStart w:id="212" w:name="v14_212"/>
      <w:bookmarkEnd w:id="21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bl>
    <w:p>
      <w:pPr>
        <w:pStyle w:val="ContinuationCaption"/>
        <w:pageBreakBefore/>
      </w:pPr>
      <w:r>
        <w:t>表E-7（续）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bookmarkStart w:id="143" w:name="v14_143"/>
      <w:bookmarkEnd w:id="143"/>
    </w:p>
    <w:p>
      <w:pPr>
        <w:pStyle w:val="TableCaption"/>
        <w:spacing w:line="380" w:lineRule="exact"/>
      </w:pPr>
      <w:r>
        <w:rPr>
          <w:rFonts w:ascii="Times New Roman" w:hAnsi="Times New Roman" w:eastAsia="Songti SC"/>
          <w:color w:val="000000"/>
          <w:sz w:val="21"/>
        </w:rPr>
        <w:t>表E-8 前期粗粒度组件映射</w:t>
      </w:r>
      <w:bookmarkStart w:id="213" w:name="v14_213"/>
      <w:bookmarkEnd w:id="21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bookmarkStart w:id="144" w:name="v14_144"/>
      <w:bookmarkEnd w:id="144"/>
    </w:p>
    <w:p>
      <w:pPr>
        <w:pStyle w:val="TableCaption"/>
        <w:spacing w:line="380" w:lineRule="exact"/>
      </w:pPr>
      <w:r>
        <w:rPr>
          <w:rFonts w:ascii="Times New Roman" w:hAnsi="Times New Roman" w:eastAsia="Songti SC"/>
          <w:color w:val="000000"/>
          <w:sz w:val="21"/>
        </w:rPr>
        <w:t>表E-9 ICIC原版AAEC到CDCP迁移记录</w:t>
      </w:r>
      <w:bookmarkStart w:id="214" w:name="v14_214"/>
      <w:bookmarkEnd w:id="21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098"/>
        <w:gridCol w:w="2778"/>
        <w:gridCol w:w="4025"/>
      </w:tblGrid>
      <w:tr>
        <w:trPr>
          <w:cantSplit/>
          <w:tblHeader/>
        </w:trPr>
        <w:tc>
          <w:tcPr>
            <w:tcW w:type="dxa" w:w="209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bookmarkStart w:id="145" w:name="v14_145"/>
      <w:bookmarkEnd w:id="145"/>
    </w:p>
    <w:p>
      <w:pPr>
        <w:pStyle w:val="Heading2"/>
      </w:pPr>
      <w:r>
        <w:t>F.1 核心术语与符号</w:t>
      </w:r>
      <w:bookmarkStart w:id="146" w:name="v14_146"/>
      <w:bookmarkEnd w:id="146"/>
    </w:p>
    <w:p>
      <w:pPr>
        <w:spacing w:line="380" w:lineRule="exact"/>
      </w:pPr>
      <w:r>
        <w:rPr>
          <w:rFonts w:ascii="Times New Roman" w:hAnsi="Times New Roman" w:eastAsia="Songti SC"/>
          <w:color w:val="000000"/>
          <w:sz w:val="22"/>
        </w:rPr>
        <w:t>表F-1汇总方法中的对象及其局部作用域。本文保留各章公式的既有符号，但在首次定义和跨章节叙述中使用“输入文档”“改写集合”“变化对象集合”和“关系候选池”等完整名称。评价量使用Precision和Recall，与图对象集合分开命名。完整对象计数、概率评分、累计编辑与终态净变化分别使用对应符号，避免跨层混用。</w:t>
      </w:r>
    </w:p>
    <w:p>
      <w:pPr>
        <w:pStyle w:val="TableCaption"/>
        <w:spacing w:line="380" w:lineRule="exact"/>
      </w:pPr>
      <w:r>
        <w:rPr>
          <w:rFonts w:ascii="Times New Roman" w:hAnsi="Times New Roman" w:eastAsia="Songti SC"/>
          <w:color w:val="000000"/>
          <w:sz w:val="21"/>
        </w:rPr>
        <w:t>表F-1 核心符号及其语义</w:t>
      </w:r>
      <w:bookmarkStart w:id="215" w:name="v14_215"/>
      <w:bookmarkEnd w:id="21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推理修正不改写原文；第四章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显示ID不替代跨度和类型构成的身份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同时包含内部与跨边界组合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与是否有关系标签是两个维度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训练保持金标状态；推理允许纠正漏检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候选跨度不被选为组件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可能不同于原始重排序胜者</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修正前固定；</w:t>
            </w:r>
            <m:oMath>
              <m:r>
                <m:t xml:space="preserve">P</m:t>
              </m:r>
            </m:oMath>
            <w:r>
              <w:rPr>
                <w:rFonts w:ascii="Times New Roman" w:hAnsi="Times New Roman" w:eastAsia="Songti SC"/>
                <w:color w:val="000000"/>
                <w:sz w:val="21"/>
              </w:rPr>
              <w:t>在此不是精确率</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P</m:t>
              </m:r>
              <m:r>
                <m:t xml:space="preserve">,</m:t>
              </m:r>
              <m:r>
                <m:t xml:space="preserve">R</m:t>
              </m:r>
              <m:r>
                <m:t xml:space="preserve">,</m:t>
              </m:r>
              <m:sSub>
                <m:e>
                  <m:r>
                    <m:t xml:space="preserve">F</m:t>
                  </m:r>
                </m:e>
                <m:sub>
                  <m:r>
                    <m:t xml:space="preserve">1</m:t>
                  </m:r>
                </m:sub>
              </m:sSub>
            </m:oMath>
            <w:r>
              <w:rPr>
                <w:rFonts w:ascii="Times New Roman" w:hAnsi="Times New Roman" w:eastAsia="Songti SC"/>
                <w:color w:val="000000"/>
                <w:sz w:val="21"/>
              </w:rPr>
              <w:t xml:space="preserve"> 评价指标</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精确率、召回率和F1</w:t>
            </w:r>
          </w:p>
        </w:tc>
        <w:tc>
          <w:tcPr>
            <w:tcW w:type="dxa" w:w="391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只在评价公式中作指标解释；正文优先使用Precision和Recall</w:t>
            </w:r>
          </w:p>
        </w:tc>
      </w:tr>
    </w:tbl>
    <w:p>
      <w:pPr>
        <w:pStyle w:val="ContinuationCaption"/>
        <w:pageBreakBefore/>
      </w:pPr>
      <w:r>
        <w:t>表F-1（续）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构造验证</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人工定义对象与分数上的真实程序执行</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只验证规约，不是语料实验、模型预测或人工审计</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冲突扩张后核对预算；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完整组件与关系对象的正确性估计</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不同于给定金标跨度的训练标签概率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不提交修改而保留当前合法图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独立回退选择，不强制发生编辑</w:t>
            </w:r>
          </w:p>
        </w:tc>
      </w:tr>
    </w:tbl>
    <w:p>
      <w:pPr>
        <w:spacing w:after="0" w:line="240" w:lineRule="auto"/>
      </w:pPr>
    </w:p>
    <w:p>
      <w:pPr>
        <w:pStyle w:val="Heading2"/>
      </w:pPr>
      <w:r>
        <w:t>F.2 实现接口补充</w:t>
      </w:r>
      <w:bookmarkStart w:id="147" w:name="v14_147"/>
      <w:bookmarkEnd w:id="147"/>
    </w:p>
    <w:p>
      <w:pPr>
        <w:spacing w:line="380" w:lineRule="exact"/>
      </w:pPr>
      <w:r>
        <w:rPr>
          <w:rFonts w:ascii="Times New Roman" w:hAnsi="Times New Roman" w:eastAsia="Songti SC"/>
          <w:color w:val="000000"/>
          <w:sz w:val="22"/>
        </w:rPr>
        <w:t xml:space="preserve">标注输运按原字符区间替换指定槽位，回填全文后重新分词并更新全部组件位置。字符坐标、评价token和模型子词分别保存映射。构造第三章的组件子词集合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sz w:val="22"/>
        </w:rPr>
        <w:t xml:space="preserve"> 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spacing w:line="380" w:lineRule="exact"/>
      </w:pPr>
      <w:r>
        <w:rPr>
          <w:rFonts w:ascii="Times New Roman" w:hAnsi="Times New Roman" w:eastAsia="Songti SC"/>
          <w:color w:val="000000"/>
          <w:sz w:val="22"/>
        </w:rPr>
        <w:t>训练辅助头只读取回答开始前的输入表示，</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sz w:val="22"/>
        </w:rPr>
        <w:t xml:space="preserve"> 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spacing w:line="380" w:lineRule="exact"/>
      </w:pPr>
      <w:r>
        <w:rPr>
          <w:rFonts w:ascii="Times New Roman" w:hAnsi="Times New Roman" w:eastAsia="Songti SC"/>
          <w:color w:val="000000"/>
          <w:sz w:val="22"/>
        </w:rPr>
        <w:t>推理侧的冲突闭合与关系依赖域遵循4.3节，队列采用状态键、六类轮转及独立批长，预算、提交及回退遵循4.5.2节；顺序对照按4.6.1定义两个提交阶段，并按附录B.3区分外层计数和阶段账本。Oracle遵循4.6.3的松弛集合，不能调用预测效用ILP替代金标目标优化。模块接口分别为SelectRegion、BuildCandidates、EnumerateQueue、ScoreObject、EvaluateTransaction、Commit和EvaluateCounts；输入输出及错误身份由附录A、B约束。</w:t>
      </w:r>
    </w:p>
    <w:p>
      <w:pPr>
        <w:pStyle w:val="Heading2"/>
      </w:pPr>
      <w:r>
        <w:t>F.3 研究问题阅读索引</w:t>
      </w:r>
      <w:bookmarkStart w:id="148" w:name="v14_148"/>
      <w:bookmarkEnd w:id="148"/>
    </w:p>
    <w:p>
      <w:pPr>
        <w:spacing w:line="380" w:lineRule="exact"/>
      </w:pPr>
      <w:r>
        <w:rPr>
          <w:rFonts w:ascii="Times New Roman" w:hAnsi="Times New Roman" w:eastAsia="Songti SC"/>
          <w:color w:val="000000"/>
          <w:sz w:val="22"/>
        </w:rPr>
        <w:t>表F-2将概念、方法和验证位置对应起来，便于连续阅读和交叉回查。索引同时关联方法入口、实验结果和接口说明。</w:t>
      </w:r>
    </w:p>
    <w:p>
      <w:pPr>
        <w:pStyle w:val="TableCaption"/>
        <w:spacing w:line="380" w:lineRule="exact"/>
      </w:pPr>
      <w:r>
        <w:rPr>
          <w:rFonts w:ascii="Times New Roman" w:hAnsi="Times New Roman" w:eastAsia="Songti SC"/>
          <w:color w:val="000000"/>
          <w:sz w:val="21"/>
        </w:rPr>
        <w:t>表F-2 方法与实验的阅读索引</w:t>
      </w:r>
      <w:bookmarkStart w:id="216" w:name="v14_216"/>
      <w:bookmarkEnd w:id="21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阅读问题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方法入口</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实验与记录入口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训练改写与推理修正的区别</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1.3、2.7及图1-2、图2-1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第三、四章算法输入输出与第五章四格设计</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内部跨边界与NONE的含义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3.3.1及图3-1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3.6.2标签可靠性审计</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改写后如何迁移标注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附录A.1、B.1与F.2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成对学习是否独立有效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3.4及图3-2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3.6.1同数据条件；3.6.3学习目标消融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组件和关系为何整体决策</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4.3、4.4.5及图4-1</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4.6同候选同评分比较；附录B案例记录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候选评分与搜索各限制什么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2.4、4.2至4.5及图4-2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4.6覆盖评分风险诊断与附录B</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两项研究如何组合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5.1至5.3条件增量、对象边界与在线配置选择</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与ICIC相比深化了什么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附录C成果归属及附录E历史表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迁移结果如何解释</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2.1与2.5</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5.2及附录E.8至E.9</w:t>
            </w:r>
          </w:p>
        </w:tc>
      </w:tr>
    </w:tbl>
    <w:p>
      <w:pPr>
        <w:spacing w:after="0" w:line="240" w:lineRule="auto"/>
      </w:pPr>
    </w:p>
    <w:p>
      <w:pPr>
        <w:pStyle w:val="Heading1"/>
      </w:pPr>
      <w:r>
        <w:t>附录G 外部方法定位与比较协议</w:t>
      </w:r>
      <w:bookmarkStart w:id="149" w:name="v14_149"/>
      <w:bookmarkEnd w:id="149"/>
    </w:p>
    <w:p>
      <w:pPr>
        <w:pStyle w:val="Heading2"/>
      </w:pPr>
      <w:r>
        <w:t>G.1 检索范围与方法选择</w:t>
      </w:r>
      <w:bookmarkStart w:id="150" w:name="v14_150"/>
      <w:bookmarkEnd w:id="150"/>
    </w:p>
    <w:p>
      <w:pPr>
        <w:spacing w:line="380" w:lineRule="exact"/>
      </w:pPr>
      <w:r>
        <w:rPr>
          <w:rFonts w:ascii="Times New Roman" w:hAnsi="Times New Roman" w:eastAsia="Songti SC"/>
          <w:color w:val="000000"/>
          <w:sz w:val="22"/>
        </w:rPr>
        <w:t>外部资料检索截至2026年10月10日，优先使用ACL Anthology、论文原文、arXiv作者版本与论文所指向的公开仓库。表G-1记录纳入考虑的方法类别，检索目的为建立可执行的比较范围，未据此作穷尽性新颖性或“首次”判断。原论文成绩不并入本版估算情景主表。</w:t>
      </w:r>
    </w:p>
    <w:p>
      <w:pPr>
        <w:pStyle w:val="TableCaption"/>
        <w:spacing w:line="380" w:lineRule="exact"/>
      </w:pPr>
      <w:r>
        <w:rPr>
          <w:rFonts w:ascii="Times New Roman" w:hAnsi="Times New Roman" w:eastAsia="Songti SC"/>
          <w:color w:val="000000"/>
          <w:sz w:val="21"/>
        </w:rPr>
        <w:t>表G-1 外部研究候选与本稿比较用途</w:t>
      </w:r>
      <w:bookmarkStart w:id="217" w:name="v14_217"/>
      <w:bookmarkEnd w:id="21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2438"/>
        <w:gridCol w:w="1757"/>
        <w:gridCol w:w="3118"/>
      </w:tblGrid>
      <w:tr>
        <w:trPr>
          <w:cantSplit/>
          <w:tblHeader/>
        </w:trPr>
        <w:tc>
          <w:tcPr>
            <w:tcW w:type="dxa" w:w="158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输入与机制</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比较用途</w:t>
            </w:r>
          </w:p>
        </w:tc>
        <w:tc>
          <w:tcPr>
            <w:tcW w:type="dxa" w:w="31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接入时重点核对</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结构SVM／RNN[46]</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联合组件与关系的结构化预测</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历史结构对照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CDCP预处理与完整源集合</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MT-AM[25]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辅助语料与多任务训练</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训练来源参照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额外监督不得混入单语料主轨</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GMAM[47]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序列生成、约束指针与位置编码</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结构生成补充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输出跨度、标签及候选表达</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Kawarada等[7]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标注文本的端到端生成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stance、CDCP转换</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DENIM[12]</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篇章结构感知前缀</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生成条件补充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篇章分析成本、AAEC口径</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UniASA[48]</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统一生成与多视图学习</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标签映射、原生超边、辅助目标</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AASP[9]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自回归结构动作</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机制参照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动作表示与完整对象导出</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ARGUS[10]</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分割、分类与关系系统</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系统接口参照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分割输入、求解目标与评价</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AMELIA[26]</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跨数据集分类及多任务接口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任务边界参照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不能替代原文跨度抽取成绩</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QOS／DOS[35]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质量／多样性导向合成</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数据构造近邻</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生成目标、样本量与训练日程</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对抗强化学习合成[49]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文本与结构标注对联合生成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近期合成参照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生成器训练成本、数据目标</w:t>
            </w:r>
          </w:p>
        </w:tc>
      </w:tr>
    </w:tbl>
    <w:p>
      <w:pPr>
        <w:spacing w:after="0" w:line="240" w:lineRule="auto"/>
      </w:pPr>
    </w:p>
    <w:p>
      <w:pPr>
        <w:spacing w:line="380" w:lineRule="exact"/>
      </w:pPr>
      <w:r>
        <w:rPr>
          <w:rFonts w:ascii="Times New Roman" w:hAnsi="Times New Roman" w:eastAsia="Songti SC"/>
          <w:color w:val="000000"/>
          <w:sz w:val="22"/>
        </w:rPr>
        <w:t>FOL-AM[14]与Cabessa等[8]还提供关系推理和生成分类的思路，但给定组件的输入条件与本稿端到端定位不同，放在相关机制比较中。纳入更多方法有助于定位，但不意味着所有方法都必须同等规模复跑。</w:t>
      </w:r>
    </w:p>
    <w:p>
      <w:pPr>
        <w:pStyle w:val="Heading2"/>
      </w:pPr>
      <w:r>
        <w:t>G.2 代码入口与可复现性核查</w:t>
      </w:r>
      <w:bookmarkStart w:id="151" w:name="v14_151"/>
      <w:bookmarkEnd w:id="151"/>
    </w:p>
    <w:p>
      <w:pPr>
        <w:spacing w:line="380" w:lineRule="exact"/>
      </w:pPr>
      <w:r>
        <w:rPr>
          <w:rFonts w:ascii="Times New Roman" w:hAnsi="Times New Roman" w:eastAsia="Songti SC"/>
          <w:color w:val="000000"/>
          <w:sz w:val="22"/>
        </w:rPr>
        <w:t>Kawarada方法的公开入口为</w:t>
      </w:r>
      <w:hyperlink r:id="rId130">
        <w:r>
          <w:rPr>
            <w:color w:val="000000"/>
          </w:rPr>
          <w:t>am-as-text2text</w:t>
        </w:r>
      </w:hyperlink>
      <w:r>
        <w:rPr>
          <w:rFonts w:ascii="Times New Roman" w:hAnsi="Times New Roman" w:eastAsia="Songti SC"/>
          <w:color w:val="000000"/>
          <w:sz w:val="22"/>
        </w:rPr>
        <w:t>。当前说明使用T5／FLAN-T5及TANL接口，支持LoRA等配置，并明确CDCP转换模块不在仓库中。它提供实现入口，但当前代码配置不能自动等同于2024论文原始设置；正式运行需固定提交、补全数据转换并核对差异。</w:t>
      </w:r>
    </w:p>
    <w:p>
      <w:pPr>
        <w:spacing w:line="380" w:lineRule="exact"/>
      </w:pPr>
      <w:r>
        <w:rPr>
          <w:rFonts w:ascii="Times New Roman" w:hAnsi="Times New Roman" w:eastAsia="Songti SC"/>
          <w:color w:val="000000"/>
          <w:sz w:val="22"/>
        </w:rPr>
        <w:t>UniASA的</w:t>
      </w:r>
      <w:hyperlink r:id="rId131">
        <w:r>
          <w:rPr>
            <w:color w:val="000000"/>
          </w:rPr>
          <w:t>公开仓库</w:t>
        </w:r>
      </w:hyperlink>
      <w:r>
        <w:rPr>
          <w:rFonts w:ascii="Times New Roman" w:hAnsi="Times New Roman" w:eastAsia="Songti SC"/>
          <w:color w:val="000000"/>
          <w:sz w:val="22"/>
        </w:rPr>
        <w:t>提供AAEC、CDCP等数据处理及训练脚本；AAEC说明含标注修正，CDCP依赖graph_parser预处理。这使其具备较明确的起点，也要求保留本稿原生金标并记录转换损失，不能直接采用处理后分数代替完整超边评价。</w:t>
      </w:r>
      <w:hyperlink r:id="rId132">
        <w:r>
          <w:rPr>
            <w:color w:val="000000"/>
          </w:rPr>
          <w:t>GMAM仓库</w:t>
        </w:r>
      </w:hyperlink>
      <w:r>
        <w:rPr>
          <w:rFonts w:ascii="Times New Roman" w:hAnsi="Times New Roman" w:eastAsia="Songti SC"/>
          <w:color w:val="000000"/>
          <w:sz w:val="22"/>
        </w:rPr>
        <w:t>提供另一结构生成入口。</w:t>
      </w:r>
    </w:p>
    <w:p>
      <w:pPr>
        <w:spacing w:line="380" w:lineRule="exact"/>
      </w:pPr>
      <w:r>
        <w:rPr>
          <w:rFonts w:ascii="Times New Roman" w:hAnsi="Times New Roman" w:eastAsia="Songti SC"/>
          <w:color w:val="000000"/>
          <w:sz w:val="22"/>
        </w:rPr>
        <w:t>DENIM原文给出的代码地址为</w:t>
      </w:r>
      <w:hyperlink r:id="rId133">
        <w:r>
          <w:rPr>
            <w:color w:val="000000"/>
          </w:rPr>
          <w:t>syiswell/DENIM</w:t>
        </w:r>
      </w:hyperlink>
      <w:r>
        <w:rPr>
          <w:rFonts w:ascii="Times New Roman" w:hAnsi="Times New Roman" w:eastAsia="Songti SC"/>
          <w:color w:val="000000"/>
          <w:sz w:val="22"/>
        </w:rPr>
        <w:t>，近期合成论文给出</w:t>
      </w:r>
      <w:hyperlink r:id="rId134">
        <w:r>
          <w:rPr>
            <w:color w:val="000000"/>
          </w:rPr>
          <w:t>Synthetic-Data-for-Argument-Mining</w:t>
        </w:r>
      </w:hyperlink>
      <w:r>
        <w:rPr>
          <w:rFonts w:ascii="Times New Roman" w:hAnsi="Times New Roman" w:eastAsia="Songti SC"/>
          <w:color w:val="000000"/>
          <w:sz w:val="22"/>
        </w:rPr>
        <w:t>；前次资料核查未取得可检查的仓库内容，因此仅确认论文所载地址，不标记环境可运行。QOS／DOS的</w:t>
      </w:r>
      <w:hyperlink r:id="rId135">
        <w:r>
          <w:rPr>
            <w:color w:val="000000"/>
          </w:rPr>
          <w:t>作者仓库</w:t>
        </w:r>
      </w:hyperlink>
      <w:r>
        <w:rPr>
          <w:rFonts w:ascii="Times New Roman" w:hAnsi="Times New Roman" w:eastAsia="Songti SC"/>
          <w:color w:val="000000"/>
          <w:sz w:val="22"/>
        </w:rPr>
        <w:t>用于核对两类合成入口；</w:t>
      </w:r>
      <w:hyperlink r:id="rId136">
        <w:r>
          <w:rPr>
            <w:color w:val="000000"/>
          </w:rPr>
          <w:t>AMELIA仓库</w:t>
        </w:r>
      </w:hyperlink>
      <w:r>
        <w:rPr>
          <w:rFonts w:ascii="Times New Roman" w:hAnsi="Times New Roman" w:eastAsia="Songti SC"/>
          <w:color w:val="000000"/>
          <w:sz w:val="22"/>
        </w:rPr>
        <w:t>所列分类任务用于说明输入边界。AASP、ARGUS的既有记录以原文方法为限，不将未检查的代码写成已复现。</w:t>
      </w:r>
    </w:p>
    <w:p>
      <w:pPr>
        <w:spacing w:line="380" w:lineRule="exact"/>
      </w:pPr>
      <w:r>
        <w:rPr>
          <w:rFonts w:ascii="Times New Roman" w:hAnsi="Times New Roman" w:eastAsia="Songti SC"/>
          <w:color w:val="000000"/>
          <w:sz w:val="22"/>
        </w:rPr>
        <w:t>Kawarada和UniASA作为优先接入候选，当前共同任务结果尚未取得。至少一种方法通过原生任务兼容核查并实际运行后，才形成外部系统比较；结果登记按G.4执行，未运行项目保持待填，不使用人工分数代替。GMAM、DENIM和动作模型仅作必要补充，QOS式适配不替代端到端外部对照。</w:t>
      </w:r>
    </w:p>
    <w:p>
      <w:pPr>
        <w:pStyle w:val="Heading2"/>
      </w:pPr>
      <w:r>
        <w:t>G.3 QOS式适配与本方法的差异</w:t>
      </w:r>
      <w:bookmarkStart w:id="152" w:name="v14_152"/>
      <w:bookmarkEnd w:id="152"/>
    </w:p>
    <w:p>
      <w:pPr>
        <w:pStyle w:val="TableCaption"/>
        <w:spacing w:line="380" w:lineRule="exact"/>
      </w:pPr>
      <w:r>
        <w:rPr>
          <w:rFonts w:ascii="Times New Roman" w:hAnsi="Times New Roman" w:eastAsia="Songti SC"/>
          <w:color w:val="000000"/>
          <w:sz w:val="21"/>
        </w:rPr>
        <w:t>表G-2 当前数据构造对照的适配范围</w:t>
      </w:r>
      <w:bookmarkStart w:id="218" w:name="v14_218"/>
      <w:bookmarkEnd w:id="21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3458"/>
        <w:gridCol w:w="3969"/>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维度</w:t>
            </w:r>
          </w:p>
        </w:tc>
        <w:tc>
          <w:tcPr>
            <w:tcW w:type="dxa" w:w="34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QOS式适配</w:t>
            </w:r>
          </w:p>
        </w:tc>
        <w:tc>
          <w:tcPr>
            <w:tcW w:type="dxa" w:w="396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完整增强＋基础损失</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输入</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共同标注文档与槽位接口</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相同文档及关系影响域条件</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改写范围</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本稿固定槽位范围</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相同范围，检查内部与跨界因素</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标签检查</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槽位恢复及共同基础检查</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增加正关系／NONE影响域审核</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训练规模</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500、CDCP 900变体</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相同规模及增强token预算</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学习目标</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继承基础损失</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相同基础损失；不含新增头／成对项</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原文严格组件与完整关系</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相同原生评价器与独立文档</w:t>
            </w:r>
          </w:p>
        </w:tc>
      </w:tr>
    </w:tbl>
    <w:p>
      <w:pPr>
        <w:spacing w:after="0" w:line="240" w:lineRule="auto"/>
      </w:pPr>
    </w:p>
    <w:p>
      <w:pPr>
        <w:spacing w:line="380" w:lineRule="exact"/>
      </w:pPr>
      <w:r>
        <w:rPr>
          <w:rFonts w:ascii="Times New Roman" w:hAnsi="Times New Roman" w:eastAsia="Songti SC"/>
          <w:color w:val="000000"/>
          <w:sz w:val="22"/>
        </w:rPr>
        <w:t>这一定义控制T-B的数据构造比较，不声称复现原论文全部QOS、DOS及联合日程。完整T1另包含头监督与成对项；表3-6的同数据比较承担其学习增量。若追加原始QOS／DOS复现，原方法和本稿适配版本分别命名，生成器调用、合成样本与下游训练全部计费。</w:t>
      </w:r>
    </w:p>
    <w:p>
      <w:pPr>
        <w:pStyle w:val="Heading2"/>
      </w:pPr>
      <w:r>
        <w:t>G.4 外部系统接入与结果登记</w:t>
      </w:r>
      <w:bookmarkStart w:id="153" w:name="v14_153"/>
      <w:bookmarkEnd w:id="153"/>
    </w:p>
    <w:p>
      <w:pPr>
        <w:spacing w:line="380" w:lineRule="exact"/>
      </w:pPr>
      <w:r>
        <w:rPr>
          <w:rFonts w:ascii="Times New Roman" w:hAnsi="Times New Roman" w:eastAsia="Songti SC"/>
          <w:color w:val="000000"/>
          <w:sz w:val="22"/>
        </w:rPr>
        <w:t>先冻结原始文档ID、划分、评价分词器、类型和完整超边，再审计外部转换的每一步。AAEC原方法若将Claim stance并入组件标签，需同时保留其原任务结果与本稿映射结果；CDCP若拆分或收缩源集合，必须保留可逆来源，否则只进入兼容任务补充。不能借助测试金标为外部预测补回遗漏端点或合并出正确超边。</w:t>
      </w:r>
    </w:p>
    <w:p>
      <w:pPr>
        <w:spacing w:line="380" w:lineRule="exact"/>
      </w:pPr>
      <w:r>
        <w:rPr>
          <w:rFonts w:ascii="Times New Roman" w:hAnsi="Times New Roman" w:eastAsia="Songti SC"/>
          <w:color w:val="000000"/>
          <w:sz w:val="22"/>
        </w:rPr>
        <w:t>每个系统分别运行原配置核对轨与共同任务比较轨，记录代码提交、模型身份、额外数据、选择规则及全部失败文档。共同评价只比较可直接导出的原生完整对象；统一骨干可控时另做方法适配，不可控时解释为系统比较。若无法无损表达本稿任务，不把该方法放入严格主榜，也不以转换失败暗示其原任务能力较差。</w:t>
      </w:r>
    </w:p>
    <w:p>
      <w:pPr>
        <w:pStyle w:val="Heading1"/>
      </w:pPr>
      <w:r>
        <w:t>附录H 关键诊断与综合证据记录</w:t>
      </w:r>
      <w:bookmarkStart w:id="154" w:name="v14_154"/>
      <w:bookmarkEnd w:id="154"/>
    </w:p>
    <w:p>
      <w:pPr>
        <w:pStyle w:val="Heading2"/>
      </w:pPr>
      <w:r>
        <w:t>H.1 训练侧问题规模与初始错误的诊断设计</w:t>
      </w:r>
      <w:bookmarkStart w:id="155" w:name="v14_155"/>
      <w:bookmarkEnd w:id="155"/>
    </w:p>
    <w:p>
      <w:pPr>
        <w:spacing w:line="380" w:lineRule="exact"/>
      </w:pPr>
      <w:r>
        <w:rPr>
          <w:rFonts w:ascii="Times New Roman" w:hAnsi="Times New Roman" w:eastAsia="Songti SC"/>
          <w:color w:val="000000"/>
          <w:sz w:val="22"/>
        </w:rPr>
        <w:t>增强诊断按语料在训练侧持出组固定抽取40篇源文档，按文档长度与金标关系数的中位数交叉分层，层内随机抽取；不足的层取全量并记录实际文档数。先固定普通改写生成池，每篇最多4次尝试。内部正、跨界正、内部NONE、跨界NONE分别抽至200个可审因素，若不足则全取，报告实际分母；同一变体允许多个因素，但保留源文档与变体ID，按文档而非因素独立重采样。</w:t>
      </w:r>
    </w:p>
    <w:p>
      <w:pPr>
        <w:spacing w:line="380" w:lineRule="exact"/>
      </w:pPr>
      <w:r>
        <w:rPr>
          <w:rFonts w:ascii="Times New Roman" w:hAnsi="Times New Roman" w:eastAsia="Songti SC"/>
          <w:color w:val="000000"/>
          <w:sz w:val="22"/>
        </w:rPr>
        <w:t>原文与改写文并排审阅，审阅者不看方法名及接受标志；两人独立判断并保留分歧，经裁决形成因素标签。接受／拒绝分层用于筛选诊断，不能替代未筛生成池的问题发生率。方法选择使用训练侧材料，独立评价仅验证冻结结论。开发诊断完成后按2.6节重新生成正式OOF记录，保持拟合、校准及策略角色隔离。审计至少记录四层的文档数、变体数、因素数和漂移数，等层均值与按原池构成加权值分别报告。</w:t>
      </w:r>
    </w:p>
    <w:p>
      <w:pPr>
        <w:spacing w:line="380" w:lineRule="exact"/>
      </w:pPr>
      <w:r>
        <w:rPr>
          <w:rFonts w:ascii="Times New Roman" w:hAnsi="Times New Roman" w:eastAsia="Songti SC"/>
          <w:color w:val="000000"/>
          <w:sz w:val="22"/>
        </w:rPr>
        <w:t>初始预测诊断复用训练侧OOF记录。组件先按严格键命中，再配对同跨度异类型对象；剩余对象按token交并比降序、坐标顺序破同分进行一对一配对，交并比阈值在训练侧预定为0.5，仅用于描述边界误差，完全不改主评价。未配对金标记遗漏，未配对预测记多检。关系同时记录“全部端点正确”“至少一个端点错误”及关系标签／方向状态；候选覆盖另作交叉维度，不能把各维度相加为因果比例。</w:t>
      </w:r>
    </w:p>
    <w:p>
      <w:pPr>
        <w:pStyle w:val="Heading2"/>
      </w:pPr>
      <w:r>
        <w:t>H.2 表达变化、源覆盖与资源轨道</w:t>
      </w:r>
      <w:bookmarkStart w:id="156" w:name="v14_156"/>
      <w:bookmarkEnd w:id="156"/>
    </w:p>
    <w:p>
      <w:pPr>
        <w:spacing w:line="380" w:lineRule="exact"/>
      </w:pPr>
      <w:r>
        <w:rPr>
          <w:rFonts w:ascii="Times New Roman" w:hAnsi="Times New Roman" w:eastAsia="Songti SC"/>
          <w:color w:val="000000"/>
          <w:sz w:val="22"/>
        </w:rPr>
        <w:t>非复制在仅作Unicode NFC及换行规范化后比较允许改写的组件文本，保留大小写、否定和标点。所有可解析变体为分母，只要一个允许槽位与原文不同即为非复制；生成池与接受池分别报告，解析失败数以全部尝试为分母另列。跨变体重复和完全复制另存标志，避免把反复生成同一个新句子视为高多样性。</w:t>
      </w:r>
    </w:p>
    <w:p>
      <w:pPr>
        <w:spacing w:line="380" w:lineRule="exact"/>
      </w:pPr>
      <w:r>
        <w:rPr>
          <w:rFonts w:ascii="Times New Roman" w:hAnsi="Times New Roman" w:eastAsia="Songti SC"/>
          <w:color w:val="000000"/>
          <w:sz w:val="22"/>
        </w:rPr>
        <w:t>规范化编辑距离采用固定评价分词器。对同一变体的各改写槽位，分别计算Levenshtein距离，再将距离之和除以各槽位原、新token长度较大值之和；不拼接跨槽边界，不纳入未允许改写的全文区域。分母为0时记0并单列空槽异常。报告中位数、四分位区间和零值比例，源文档为重采样单位。两项指标度量字面变化，不等于语义多样性或标签正确性。</w:t>
      </w:r>
    </w:p>
    <w:p>
      <w:pPr>
        <w:spacing w:line="380" w:lineRule="exact"/>
      </w:pPr>
      <w:r>
        <w:rPr>
          <w:rFonts w:ascii="Times New Roman" w:hAnsi="Times New Roman" w:eastAsia="Songti SC"/>
          <w:color w:val="000000"/>
          <w:sz w:val="22"/>
        </w:rPr>
        <w:t>接受覆盖按源文档统计，复用H.1的长度与关系复杂度分层，同时保留每个变体实际受检因素数。沿用文档、变体和因素三个分母，并列观察接受覆盖、字面变化与漂移，不另造综合评分。任何因素失败即拒绝的规则可能使受检因素多的文档更难通过；需要看同层内是否仍有这种趋势，不能从低漂移率直接排除，也不能从聚合相关性认定审核是唯一原因。显式／隐式关系只在标注依据可复核时作为附加描述，不为增加切片而填造标签。任务收益仍由既有两组比较判断：同基础损失比较增强构造，同增强集合比较头监督与成对项；编辑距离本身不证明任务有用的多样性。</w:t>
      </w:r>
    </w:p>
    <w:p>
      <w:pPr>
        <w:spacing w:line="380" w:lineRule="exact"/>
      </w:pPr>
      <w:r>
        <w:rPr>
          <w:rFonts w:ascii="Times New Roman" w:hAnsi="Times New Roman" w:eastAsia="Songti SC"/>
          <w:color w:val="000000"/>
          <w:sz w:val="22"/>
        </w:rPr>
        <w:t>表H-1保留旧情景的固定尝试轨训练成本。它不进入匹配训练规模主结果的成本比较；正式训练需为两轨各自登记变体清单、增强token、实际更新数、设备小时和峰值显存。</w:t>
      </w:r>
    </w:p>
    <w:p>
      <w:pPr>
        <w:pStyle w:val="TableCaption"/>
        <w:spacing w:line="380" w:lineRule="exact"/>
      </w:pPr>
      <w:r>
        <w:rPr>
          <w:rFonts w:ascii="Times New Roman" w:hAnsi="Times New Roman" w:eastAsia="Songti SC"/>
          <w:color w:val="000000"/>
          <w:sz w:val="21"/>
        </w:rPr>
        <w:t>表H-1 固定尝试轨训练成本存档（估算情景）</w:t>
      </w:r>
      <w:bookmarkStart w:id="219" w:name="v14_219"/>
      <w:bookmarkEnd w:id="21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4649"/>
        <w:gridCol w:w="4252"/>
      </w:tblGrid>
      <w:tr>
        <w:trPr>
          <w:cantSplit/>
          <w:tblHeader/>
        </w:trPr>
        <w:tc>
          <w:tcPr>
            <w:tcW w:type="dxa" w:w="464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425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训练GPU小时</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1.46</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1.79</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2.32</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pStyle w:val="Heading2"/>
      </w:pPr>
      <w:r>
        <w:t>H.3 候选规模、共同预算与求解状态</w:t>
      </w:r>
      <w:bookmarkStart w:id="157" w:name="v14_157"/>
      <w:bookmarkEnd w:id="157"/>
    </w:p>
    <w:p>
      <w:pPr>
        <w:spacing w:line="380" w:lineRule="exact"/>
      </w:pPr>
      <w:r>
        <w:rPr>
          <w:rFonts w:ascii="Times New Roman" w:hAnsi="Times New Roman" w:eastAsia="Songti SC"/>
          <w:color w:val="000000"/>
          <w:sz w:val="22"/>
        </w:rPr>
        <w:t>资源探测逐文档保存保护跨度数、补充跨度数、去重后跨度数、带类型组件数、裁剪前槽位数、正标签评分对象数、批次数、裁剪后槽位数，以及各阶段时间和峰值内存。槽位与标签对象分别计数，受保护与补充部分记录交集，不能重复相加。资源阈值依据训练侧探测及设备容量设定，连同探测文档ID冻结；预检失败、评分失败、无可行解和超时分别编码，所有独立评价文档保留在分母内。</w:t>
      </w:r>
    </w:p>
    <w:p>
      <w:pPr>
        <w:spacing w:line="380" w:lineRule="exact"/>
      </w:pPr>
      <w:r>
        <w:rPr>
          <w:rFonts w:ascii="Times New Roman" w:hAnsi="Times New Roman" w:eastAsia="Songti SC"/>
          <w:color w:val="000000"/>
          <w:sz w:val="22"/>
        </w:rPr>
        <w:t>等求解预算轨以表2-2的3秒／5秒为基准，预定0.5、1、2倍三个逐文档总额度，大预算全局行另作补充。图规模按训练侧带类型组件数和裁剪前槽位数分别确定三分位切点，测试只应用固定切点。等端到端轨另按共同准备时间的训练侧P95加基准求解额度确定基准时限，并比较相同倍数；计时自读取文档后开始，包含生成、枚举、评分、提议构造、全部拒绝、求解和提交。输入无法在时限内完成准备也计失败，不把它从速度表排除。</w:t>
      </w:r>
    </w:p>
    <w:p>
      <w:pPr>
        <w:spacing w:line="380" w:lineRule="exact"/>
      </w:pPr>
      <w:r>
        <w:rPr>
          <w:rFonts w:ascii="Times New Roman" w:hAnsi="Times New Roman" w:eastAsia="Songti SC"/>
          <w:color w:val="000000"/>
          <w:sz w:val="22"/>
        </w:rPr>
        <w:t>共同候选与评分缓存可以复用，但单文档比较须向双方计入相同冷缓存准备成本；热缓存吞吐另报，不能只向一方计费。分别报告平均、P95、超时率、返回完整可行图的比例、无incumbent率、F1、初始TP损失与新FP。局部和全局都提供从初始图出发的可行回退，求解器无incumbent与系统能返回回退图是不同事件。</w:t>
      </w:r>
    </w:p>
    <w:p>
      <w:pPr>
        <w:spacing w:line="380" w:lineRule="exact"/>
      </w:pPr>
      <w:r>
        <w:rPr>
          <w:rFonts w:ascii="Times New Roman" w:hAnsi="Times New Roman" w:eastAsia="Songti SC"/>
          <w:color w:val="000000"/>
          <w:sz w:val="22"/>
        </w:rPr>
        <w:t>每次最大化求解保存status、incumbent效用、有效上界、绝对gap和求解器定义的相对gap，缺失值保持缺失并注明原因；最优性只采用求解器证书或已证明状态，不由时限长短推断。局部子问题的界不拼成整图全局界。只有已验证包含关系的同目标全局上界，才能用于限制局部终态效用，仍不构成真实F1上界。</w:t>
      </w:r>
    </w:p>
    <w:p>
      <w:pPr>
        <w:spacing w:line="380" w:lineRule="exact"/>
      </w:pPr>
      <w:r>
        <w:rPr>
          <w:rFonts w:ascii="Times New Roman" w:hAnsi="Times New Roman" w:eastAsia="Songti SC"/>
          <w:color w:val="000000"/>
          <w:sz w:val="22"/>
        </w:rPr>
        <w:t>为区分资源失败与搜索效果，预检失败同时报告其文档比例及对应金标数量；若对象尚未完成枚举，潜在可恢复覆盖保持未知，不能填成0或从成功文档外推。局部累计预算与全局净预算的差别沿用4.6.1的可行域说明，共同候选、评分和时限不等于相同可达域。</w:t>
      </w:r>
    </w:p>
    <w:p>
      <w:pPr>
        <w:spacing w:line="380" w:lineRule="exact"/>
      </w:pPr>
      <w:r>
        <w:rPr>
          <w:rFonts w:ascii="Times New Roman" w:hAnsi="Times New Roman" w:eastAsia="Songti SC"/>
          <w:color w:val="000000"/>
          <w:sz w:val="22"/>
        </w:rPr>
        <w:t>旧情景的平均与P95耗时为设定输入；独立预算函数及完成度插值的示例集中于H.7。两轨不拼接为同次运行曲线，模拟状态也不替代实测日志。本节规定的正式运行需单独记录求解证书、有效界及状态，缺失项保持缺失。</w:t>
      </w:r>
    </w:p>
    <w:p>
      <w:pPr>
        <w:pStyle w:val="Heading2"/>
      </w:pPr>
      <w:r>
        <w:t>H.4 四格对象、恢复阻断与案例</w:t>
      </w:r>
      <w:bookmarkStart w:id="158" w:name="v14_158"/>
      <w:bookmarkEnd w:id="158"/>
    </w:p>
    <w:p>
      <w:pPr>
        <w:spacing w:line="380" w:lineRule="exact"/>
      </w:pPr>
      <w:r>
        <w:rPr>
          <w:rFonts w:ascii="Times New Roman" w:hAnsi="Times New Roman" w:eastAsia="Songti SC"/>
          <w:color w:val="000000"/>
          <w:sz w:val="22"/>
        </w:rPr>
        <w:t>对象重叠以相同原文上的完整语义键对齐。记</w:t>
      </w:r>
      <m:oMath>
        <m:sSub>
          <m:e>
            <m:r>
              <m:t xml:space="preserve">P</m:t>
            </m:r>
          </m:e>
          <m:sub>
            <m:r>
              <m:t xml:space="preserve">t</m:t>
            </m:r>
            <m:r>
              <m:t xml:space="preserve">i</m:t>
            </m:r>
          </m:sub>
        </m:sSub>
      </m:oMath>
      <w:r>
        <w:rPr>
          <w:rFonts w:ascii="Times New Roman" w:hAnsi="Times New Roman" w:eastAsia="Songti SC"/>
          <w:color w:val="000000"/>
          <w:sz w:val="22"/>
        </w:rPr>
        <w:t>为四格中的预测对象集合，</w:t>
      </w:r>
      <m:oMath>
        <m:r>
          <m:t xml:space="preserve">Ω</m:t>
        </m:r>
      </m:oMath>
      <w:r>
        <w:rPr>
          <w:rFonts w:ascii="Times New Roman" w:hAnsi="Times New Roman" w:eastAsia="Songti SC"/>
          <w:color w:val="000000"/>
          <w:sz w:val="22"/>
        </w:rPr>
        <w:t>为金标，训练新命中集合为</w:t>
      </w:r>
      <m:oMath>
        <m:sSub>
          <m:e>
            <m:r>
              <m:t xml:space="preserve">R</m:t>
            </m:r>
          </m:e>
          <m:sub>
            <m:r>
              <m:t xml:space="preserve">T</m:t>
            </m:r>
          </m:sub>
        </m:sSub>
        <m:r>
          <m:t xml:space="preserve">=</m:t>
        </m:r>
        <m:r>
          <m:t xml:space="preserve">(</m:t>
        </m:r>
        <m:sSub>
          <m:e>
            <m:r>
              <m:t xml:space="preserve">P</m:t>
            </m:r>
          </m:e>
          <m:sub>
            <m:r>
              <m:t xml:space="preserve">1</m:t>
            </m:r>
            <m:r>
              <m:t xml:space="preserve">0</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sz w:val="22"/>
        </w:rPr>
        <w:t>，仅修正新命中为</w:t>
      </w:r>
      <m:oMath>
        <m:sSub>
          <m:e>
            <m:r>
              <m:t xml:space="preserve">R</m:t>
            </m:r>
          </m:e>
          <m:sub>
            <m:r>
              <m:t xml:space="preserve">I</m:t>
            </m:r>
          </m:sub>
        </m:sSub>
        <m:r>
          <m:t xml:space="preserve">=</m:t>
        </m:r>
        <m:r>
          <m:t xml:space="preserve">(</m:t>
        </m:r>
        <m:sSub>
          <m:e>
            <m:r>
              <m:t xml:space="preserve">P</m:t>
            </m:r>
          </m:e>
          <m:sub>
            <m:r>
              <m:t xml:space="preserve">0</m:t>
            </m:r>
            <m:r>
              <m:t xml:space="preserve">1</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sz w:val="22"/>
        </w:rPr>
        <w:t>。二者交集表示共同修复，差集分别表示独有修复；再检查完整组合新增命中中未被两种单阶段覆盖的对象，以及</w:t>
      </w:r>
      <m:oMath>
        <m:r>
          <m:t xml:space="preserve">Ω</m:t>
        </m:r>
        <m:r>
          <m:t xml:space="preserve">∖</m:t>
        </m:r>
        <m:sSub>
          <m:e>
            <m:r>
              <m:t xml:space="preserve">P</m:t>
            </m:r>
          </m:e>
          <m:sub>
            <m:r>
              <m:t xml:space="preserve">1</m:t>
            </m:r>
            <m:r>
              <m:t xml:space="preserve">1</m:t>
            </m:r>
          </m:sub>
        </m:sSub>
      </m:oMath>
      <w:r>
        <w:rPr>
          <w:rFonts w:ascii="Times New Roman" w:hAnsi="Times New Roman" w:eastAsia="Songti SC"/>
          <w:color w:val="000000"/>
          <w:sz w:val="22"/>
        </w:rPr>
        <w:t>中的剩余遗漏。原有正确对象被组合破坏、T1正确对象被I1破坏也分别登记，新增错误关系与移除错误关系单列。</w:t>
      </w:r>
    </w:p>
    <w:p>
      <w:pPr>
        <w:spacing w:line="380" w:lineRule="exact"/>
      </w:pPr>
      <w:r>
        <w:rPr>
          <w:rFonts w:ascii="Times New Roman" w:hAnsi="Times New Roman" w:eastAsia="Songti SC"/>
          <w:color w:val="000000"/>
          <w:sz w:val="22"/>
        </w:rPr>
        <w:t>优先复用同一批四格输出完成一项对象级分析，不要求共同修复少、独有修复多或交互显著为正。训练影响初始错误、候选与评分的深层分解作为进一步分析：先在同一文档上连接初始错误、覆盖与最终对象，再在共同提案集合上检查评分。缺少受控比较时不作单路径归因，也不必为每条可能路径新增一个正文小节。</w:t>
      </w:r>
    </w:p>
    <w:p>
      <w:pPr>
        <w:spacing w:line="380" w:lineRule="exact"/>
      </w:pPr>
      <w:r>
        <w:rPr>
          <w:rFonts w:ascii="Times New Roman" w:hAnsi="Times New Roman" w:eastAsia="Songti SC"/>
          <w:color w:val="000000"/>
          <w:sz w:val="22"/>
        </w:rPr>
        <w:t>四格每个预测对象保存语料、文档ID、种子、配置、原文规范坐标、组件类型及关系完整端点与标签。金标与预测都按共同语义键形成集合，先验证四格文档集合及评价身份完全一致，再生成共同修复、各自独有修复、组合新增、仍遗漏与新破坏的清单。关系新FP、已移除FP独立记录，不把TP增加解释为所有错误减少。每个清单保留对象键及源运行身份，以供原文核查。</w:t>
      </w:r>
    </w:p>
    <w:p>
      <w:pPr>
        <w:spacing w:line="380" w:lineRule="exact"/>
      </w:pPr>
      <w:r>
        <w:rPr>
          <w:rFonts w:ascii="Times New Roman" w:hAnsi="Times New Roman" w:eastAsia="Songti SC"/>
          <w:color w:val="000000"/>
          <w:sz w:val="22"/>
        </w:rPr>
        <w:t>恢复失败按组件候选、完整槽位、动作、队列、执行资源、接受门的顺序取首个阻断；动作不可表达需要穷尽声明邻域或给出规则证据，未搜索到不能直接判定不可达。附加标志保留评分异常、超时等并发原因。保护长超边与新建长超边分别以初始命中／遗漏金标为分母，并报告其他候选图提供的长槽位来源；0样本组不计算F1或成功率。</w:t>
      </w:r>
    </w:p>
    <w:p>
      <w:pPr>
        <w:spacing w:line="380" w:lineRule="exact"/>
      </w:pPr>
      <w:r>
        <w:rPr>
          <w:rFonts w:ascii="Times New Roman" w:hAnsi="Times New Roman" w:eastAsia="Songti SC"/>
          <w:color w:val="000000"/>
          <w:sz w:val="22"/>
        </w:rPr>
        <w:t>完整案例采用附录B.5的原文、金标、初始与最终对象和事务轨迹。选择规则在看结论前固定：覆盖成功恢复、错误接受、错误拒绝及最常见阻断类型，每类按预定文档排序取例，并与总体频数并列。教学例只解释机制，人工片段不能更名为实际运行案例。</w:t>
      </w:r>
    </w:p>
    <w:p>
      <w:pPr>
        <w:pStyle w:val="Heading2"/>
      </w:pPr>
      <w:r>
        <w:t>H.5 模拟结果后的实证替换顺序</w:t>
      </w:r>
      <w:bookmarkStart w:id="159" w:name="v14_159"/>
      <w:bookmarkEnd w:id="159"/>
    </w:p>
    <w:p>
      <w:pPr>
        <w:spacing w:line="380" w:lineRule="exact"/>
      </w:pPr>
      <w:r>
        <w:rPr>
          <w:rFonts w:ascii="Times New Roman" w:hAnsi="Times New Roman" w:eastAsia="Songti SC"/>
          <w:color w:val="000000"/>
          <w:sz w:val="22"/>
        </w:rPr>
        <w:t>本版主结果的估算原则是固定v6的T0情景起点、样本规模、随机扰动及成本口径，缩小假设训练和推理增量，再从整数TP、FP、FN重算全部主表。参数并未根据CPU诊断、历史论文或目标实验拟合；“增量较小”只表示相对旧演示的设定更克制，不意味着更接近实际结果。原始目标是生成器的平衡精确率／召回率中心，经过偏移和整数化后，与表中均值略有差别。</w:t>
      </w:r>
    </w:p>
    <w:p>
      <w:pPr>
        <w:spacing w:line="380" w:lineRule="exact"/>
      </w:pPr>
      <w:r>
        <w:rPr>
          <w:rFonts w:ascii="Times New Roman" w:hAnsi="Times New Roman" w:eastAsia="Songti SC"/>
          <w:color w:val="000000"/>
          <w:sz w:val="22"/>
        </w:rPr>
        <w:t>具体假设中，AAEC／CDCP的关系F1中心依次为：T0 53.30／48.10，完整增强基础损失55.70／50.50，加头监督56.60／51.30，T1 57.80／52.50，RelationOnly 59.60／54.80，单对象60.70／55.90，BR-J 61.90／57.40，等求解预算全局62.30／57.90。固定组件对照严格复用T1组件计数；全局略高的排序是情景假设，不由可行域包含关系推出F1优越性。</w:t>
      </w:r>
    </w:p>
    <w:p>
      <w:pPr>
        <w:spacing w:line="380" w:lineRule="exact"/>
      </w:pPr>
      <w:r>
        <w:rPr>
          <w:rFonts w:ascii="Times New Roman" w:hAnsi="Times New Roman" w:eastAsia="Songti SC"/>
          <w:color w:val="000000"/>
          <w:sz w:val="22"/>
        </w:rPr>
        <w:t>零增益和负增益也属于需要保留的备选条件。用于读表的压力假设为：成对学习相对加头监督的关系增量分别取−0.50、0.00、+1.20个百分点；允许组件变化相对RelationOnly取−0.50、0.00、+2.30；局部减全局取−1.50、−0.50、+0.50。它们逐项替换一个效应假设，尚未生成新的逐文档记录或计算置信区间，不能称为已完成的敏感性实验。零或负增益出现时，相应机制的采用结论须收缩，而不能保留正增益情景的文字。</w:t>
      </w:r>
    </w:p>
    <w:p>
      <w:pPr>
        <w:spacing w:line="380" w:lineRule="exact"/>
      </w:pPr>
      <w:r>
        <w:rPr>
          <w:rFonts w:ascii="Times New Roman" w:hAnsi="Times New Roman" w:eastAsia="Songti SC"/>
          <w:color w:val="000000"/>
          <w:sz w:val="22"/>
        </w:rPr>
        <w:t>成本同样依赖假设。若只将共同对象评分时间乘以0.5、1、2，其他项保持表4-8设定，AAEC局部相对等求解预算全局的总时间节省率依次为5.15%、4.19%、3.06%，CDCP为5.96%、4.73%、3.34%。这只是总时间公式的重算，不包含评分误差、批量吞吐或求解轨迹变化；评分成本占比越大，单独加速求解的总收益越小。</w:t>
      </w:r>
    </w:p>
    <w:p>
      <w:pPr>
        <w:spacing w:line="380" w:lineRule="exact"/>
      </w:pPr>
      <w:r>
        <w:rPr>
          <w:rFonts w:ascii="Times New Roman" w:hAnsi="Times New Roman" w:eastAsia="Songti SC"/>
          <w:color w:val="000000"/>
          <w:sz w:val="22"/>
        </w:rPr>
        <w:t>核心验证仍未完成。第一阶段在固定的少量真实文档上复核监督漂移、端点相关错误、候选覆盖及裁剪前成本，保留来源、分层和全部失败记录；先确认复杂机制所针对的问题是否实际存在，再决定设计是否保留。模板和成本示例不提供该判断，结果不足时允许收缩主张或简化机制。</w:t>
      </w:r>
    </w:p>
    <w:p>
      <w:pPr>
        <w:spacing w:line="380" w:lineRule="exact"/>
      </w:pPr>
      <w:r>
        <w:rPr>
          <w:rFonts w:ascii="Times New Roman" w:hAnsi="Times New Roman" w:eastAsia="Songti SC"/>
          <w:color w:val="000000"/>
          <w:sz w:val="22"/>
        </w:rPr>
        <w:t>局部方案的优先级依据真实结果决定：在尾延迟、资源限制或明确逐步变更要求下稳定获益时可作为主方案；只对特定子集有用时作为条件选项；若全局更适合目标场景，则比较两种求解选择或简化局部设计。当前不在三者中预先定案，也不从成本函数选取有利阈值。日志可追溯并非局部独占优势，变更可控性须有具体约束和实际表现。</w:t>
      </w:r>
    </w:p>
    <w:p>
      <w:pPr>
        <w:spacing w:line="380" w:lineRule="exact"/>
      </w:pPr>
      <w:r>
        <w:rPr>
          <w:rFonts w:ascii="Times New Roman" w:hAnsi="Times New Roman" w:eastAsia="Songti SC"/>
          <w:color w:val="000000"/>
          <w:sz w:val="22"/>
        </w:rPr>
        <w:t>第二阶段按2.6.3完成关键比较：T-B固定学习目标比较增强构造，T-E固定增强集合比较学习项；推理侧用RelationOnly、单对象动作和同目标全局ILP分别检验修改范围与求解取舍，分步策略作为补充。同时完成至少一个可解释的原生外部系统对照及共同条件下的四格运行。每项核心贡献有直接比较与机制解释后停止横向扩张，保留不利结果，不为追求显著性追加切片。</w:t>
      </w:r>
    </w:p>
    <w:p>
      <w:pPr>
        <w:spacing w:line="380" w:lineRule="exact"/>
      </w:pPr>
      <w:r>
        <w:rPr>
          <w:rFonts w:ascii="Times New Roman" w:hAnsi="Times New Roman" w:eastAsia="Songti SC"/>
          <w:color w:val="000000"/>
          <w:sz w:val="22"/>
        </w:rPr>
        <w:t>第三阶段复用同一批输出，形成至少一项对象级综合认识及少量同文档真实前后案例，再以结果替换诊断方案。若第五章仍缺独立内容，压缩相应小节；不以更多集合定义代替发现。</w:t>
      </w:r>
    </w:p>
    <w:p>
      <w:pPr>
        <w:spacing w:line="380" w:lineRule="exact"/>
      </w:pPr>
      <w:r>
        <w:rPr>
          <w:rFonts w:ascii="Times New Roman" w:hAnsi="Times New Roman" w:eastAsia="Songti SC"/>
          <w:color w:val="000000"/>
          <w:sz w:val="22"/>
        </w:rPr>
        <w:t>正式替换同时更新表、图、区间、摘要、结论及模拟标识。文档排版、公式一致和人工计数复算仍作为质量检查保存；它们不计入真实训练或求解次数。历史附录E及本模拟版本继续存档。</w:t>
      </w:r>
    </w:p>
    <w:p>
      <w:pPr>
        <w:pStyle w:val="Heading2"/>
      </w:pPr>
      <w:r>
        <w:t>H.6 模板筛选的指标阅读示例</w:t>
      </w:r>
      <w:bookmarkStart w:id="160" w:name="v14_160"/>
      <w:bookmarkEnd w:id="160"/>
    </w:p>
    <w:p>
      <w:pPr>
        <w:spacing w:line="380" w:lineRule="exact"/>
      </w:pPr>
      <w:r>
        <w:rPr>
          <w:rFonts w:ascii="Times New Roman" w:hAnsi="Times New Roman" w:eastAsia="Songti SC"/>
          <w:color w:val="000000"/>
          <w:sz w:val="22"/>
        </w:rPr>
        <w:t>本节只演示怎样并列阅读变化、漂移与覆盖，不检验真实语义审核器。材料独立沿用SIM-1010-V4旧记录，与本版主表无训练绑定：每种语料规模构造40篇模板源文档，4／12因素组各20篇，每源4个共同候选、最多接受2个，三种筛选共960条决定。检测率设为0.18、0.55、0.90，误报率设为0.005、0.012、0.023；漂移标签同样由程序赋予，较高检出能力已经进入假设。</w:t>
      </w:r>
    </w:p>
    <w:p>
      <w:pPr>
        <w:pStyle w:val="TableCaption"/>
        <w:spacing w:line="380" w:lineRule="exact"/>
      </w:pPr>
      <w:r>
        <w:rPr>
          <w:rFonts w:ascii="Times New Roman" w:hAnsi="Times New Roman" w:eastAsia="Songti SC"/>
          <w:color w:val="000000"/>
          <w:sz w:val="21"/>
        </w:rPr>
        <w:t>表H-2 共同池的变化与覆盖诊断（指标演示的估算情景）</w:t>
      </w:r>
      <w:bookmarkStart w:id="220" w:name="v14_220"/>
      <w:bookmarkEnd w:id="22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984"/>
        <w:gridCol w:w="1191"/>
        <w:gridCol w:w="1361"/>
        <w:gridCol w:w="1191"/>
        <w:gridCol w:w="1474"/>
        <w:gridCol w:w="1701"/>
      </w:tblGrid>
      <w:tr>
        <w:trPr>
          <w:cantSplit/>
          <w:tblHeader/>
        </w:trPr>
        <w:tc>
          <w:tcPr>
            <w:tcW w:type="dxa" w:w="19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语料与筛选</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接受／尝试</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非复制／接受</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编辑距离中位数</w:t>
            </w:r>
          </w:p>
        </w:tc>
        <w:tc>
          <w:tcPr>
            <w:tcW w:type="dxa" w:w="147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漂移变体／接受</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低／高组覆盖</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69/80</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64/75</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20/20；19/20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59/67</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20/20；18/20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70/80</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65/75</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54/65</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20/20；16/20</w:t>
            </w:r>
          </w:p>
        </w:tc>
      </w:tr>
    </w:tbl>
    <w:p>
      <w:pPr>
        <w:spacing w:after="0" w:line="240" w:lineRule="auto"/>
      </w:pPr>
    </w:p>
    <w:p>
      <w:pPr>
        <w:spacing w:line="380" w:lineRule="exact"/>
      </w:pPr>
      <w:r>
        <w:rPr>
          <w:rFonts w:ascii="Times New Roman" w:hAnsi="Times New Roman" w:eastAsia="Songti SC"/>
          <w:color w:val="000000"/>
          <w:sz w:val="22"/>
        </w:rPr>
        <w:t>同一表中的非复制、编辑距离、漂移和覆盖有不同分母。0.75的编辑距离中位数来自有限模板，不是语义多样性证据；0/65不证明审核安全。高复杂度组还同时改变因素数与漂移生成率，覆盖差不能只归因于检查数量。本节候选池未用于生成表3-5、表3-6的训练成绩，因此不能将字面变化、低漂移与主任务增量串成因果链。真实诊断及同源绑定要求见H.1—H.2。</w:t>
      </w:r>
    </w:p>
    <w:p>
      <w:pPr>
        <w:pStyle w:val="Heading2"/>
      </w:pPr>
      <w:r>
        <w:t>H.7 预算条件的假设推演</w:t>
      </w:r>
      <w:bookmarkStart w:id="161" w:name="v14_161"/>
      <w:bookmarkEnd w:id="161"/>
    </w:p>
    <w:p>
      <w:pPr>
        <w:spacing w:line="380" w:lineRule="exact"/>
      </w:pPr>
      <w:r>
        <w:rPr>
          <w:rFonts w:ascii="Times New Roman" w:hAnsi="Times New Roman" w:eastAsia="Songti SC"/>
          <w:color w:val="000000"/>
          <w:sz w:val="22"/>
        </w:rPr>
        <w:t>本节数值及图H-1独立保留SIM-1010-V4旧成本与质量轨迹，终点沿用v6的情景主成绩；它们未改为v7主表的预算实验。为保留可追溯的条件示例，本节不与新版表4-3或表5-1拼接，也不用于估计新版效果。</w:t>
      </w:r>
    </w:p>
    <w:p>
      <w:pPr>
        <w:spacing w:line="380" w:lineRule="exact"/>
      </w:pPr>
      <w:r>
        <w:rPr>
          <w:rFonts w:ascii="Times New Roman" w:hAnsi="Times New Roman" w:eastAsia="Songti SC"/>
          <w:color w:val="000000"/>
          <w:sz w:val="22"/>
        </w:rPr>
        <w:t>本节保留SIM-1010-V4的预算记录作为分析示例。它不执行BR-J或全局ILP，而由成本函数指定完成时间，再在初始计数与旧终态计数之间线性插值TP、FP并取整；FN由固定金标数补足。由此得到的排序是设定关系的后果，不能确认为算法实际采用条件。</w:t>
      </w:r>
    </w:p>
    <w:p>
      <w:pPr>
        <w:spacing w:line="380" w:lineRule="exact"/>
      </w:pPr>
      <w:r>
        <w:rPr>
          <w:rFonts w:ascii="Times New Roman" w:hAnsi="Times New Roman" w:eastAsia="Songti SC"/>
          <w:color w:val="000000"/>
          <w:sz w:val="22"/>
        </w:rPr>
        <w:t>228篇模拟文档的候选跨度数设为金标组件数加8，每跨度2种类型；合法槽位数取4.2.5组合上界的60%，每槽位2个正标签评分对象。AAEC／CDCP预检阈值为9000／330000，端到端基准时限为24／36秒，比较0.5、1、2倍。以CDCP为例，令S为设定槽位数，局部与全局求解秒数分别为3.0＋0.000018×S和1.8＋0.000070×S，再乘预设随机扰动。完成比例由扣除共同准备后的剩余时限与该时间之比决定，不包含实际搜索质量轨迹或可行图生成。</w:t>
      </w:r>
    </w:p>
    <w:p>
      <w:pPr>
        <w:pStyle w:val="TableCaption"/>
        <w:spacing w:line="380" w:lineRule="exact"/>
      </w:pPr>
      <w:r>
        <w:rPr>
          <w:rFonts w:ascii="Times New Roman" w:hAnsi="Times New Roman" w:eastAsia="Songti SC"/>
          <w:color w:val="000000"/>
          <w:sz w:val="21"/>
        </w:rPr>
        <w:t>表H-3 裁剪前规模与预检成本（成本函数示例）</w:t>
      </w:r>
      <w:bookmarkStart w:id="221" w:name="v14_221"/>
      <w:bookmarkEnd w:id="22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57"/>
        <w:gridCol w:w="1020"/>
        <w:gridCol w:w="1531"/>
        <w:gridCol w:w="1531"/>
        <w:gridCol w:w="1871"/>
        <w:gridCol w:w="1191"/>
      </w:tblGrid>
      <w:tr>
        <w:trPr>
          <w:cantSplit/>
          <w:tblHeader/>
        </w:trPr>
        <w:tc>
          <w:tcPr>
            <w:tcW w:type="dxa" w:w="175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语料与规模</w:t>
            </w:r>
          </w:p>
        </w:tc>
        <w:tc>
          <w:tcPr>
            <w:tcW w:type="dxa" w:w="102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槽位中位数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槽位最大值</w:t>
            </w:r>
          </w:p>
        </w:tc>
        <w:tc>
          <w:tcPr>
            <w:tcW w:type="dxa" w:w="187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完整准备估计P95秒</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预检失败</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小</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1214</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1560</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12.59</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0/27</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中</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1948</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2380</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13.88</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0/27</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大</w:t>
            </w:r>
          </w:p>
        </w:tc>
        <w:tc>
          <w:tcPr>
            <w:tcW w:type="dxa" w:w="10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2940</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3196</w:t>
            </w:r>
          </w:p>
        </w:tc>
        <w:tc>
          <w:tcPr>
            <w:tcW w:type="dxa" w:w="187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15.64</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0/26</w:t>
            </w:r>
          </w:p>
        </w:tc>
      </w:tr>
    </w:tbl>
    <w:p>
      <w:pPr>
        <w:pStyle w:val="ContinuationCaption"/>
        <w:pageBreakBefore/>
      </w:pPr>
      <w:r>
        <w:t>表H-3（续）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57"/>
        <w:gridCol w:w="1020"/>
        <w:gridCol w:w="1531"/>
        <w:gridCol w:w="1531"/>
        <w:gridCol w:w="1871"/>
        <w:gridCol w:w="1191"/>
      </w:tblGrid>
      <w:tr>
        <w:trPr>
          <w:cantSplit/>
          <w:tblHeader/>
        </w:trPr>
        <w:tc>
          <w:tcPr>
            <w:tcW w:type="dxa" w:w="175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语料与规模</w:t>
            </w:r>
          </w:p>
        </w:tc>
        <w:tc>
          <w:tcPr>
            <w:tcW w:type="dxa" w:w="102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槽位中位数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槽位最大值</w:t>
            </w:r>
          </w:p>
        </w:tc>
        <w:tc>
          <w:tcPr>
            <w:tcW w:type="dxa" w:w="187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完整准备估计P95秒</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预检失败</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小</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59472</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101836</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17.22</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0/50</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中</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163612</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203376</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21.54</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0/49</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大</w:t>
            </w:r>
          </w:p>
        </w:tc>
        <w:tc>
          <w:tcPr>
            <w:tcW w:type="dxa" w:w="10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304180</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366748</w:t>
            </w:r>
          </w:p>
        </w:tc>
        <w:tc>
          <w:tcPr>
            <w:tcW w:type="dxa" w:w="187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28.28</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10/49</w:t>
            </w:r>
          </w:p>
        </w:tc>
      </w:tr>
    </w:tbl>
    <w:p>
      <w:pPr>
        <w:spacing w:after="0" w:line="240" w:lineRule="auto"/>
      </w:pPr>
    </w:p>
    <w:p>
      <w:pPr>
        <w:spacing w:line="380" w:lineRule="exact"/>
      </w:pPr>
      <w:r>
        <w:rPr>
          <w:rFonts w:ascii="Times New Roman" w:hAnsi="Times New Roman" w:eastAsia="Songti SC"/>
          <w:color w:val="000000"/>
          <w:sz w:val="22"/>
        </w:rPr>
        <w:t>表H-3的P95按全部文档的完整准备估计计算；预检在枚举后进行，失败文档不再评分，实际到达的模拟耗时计入表H-4。CDCP失败10／148篇，全部保留金标和耗时分母；未枚举对象的可恢复覆盖保持未知。保留4096个补充槽位不等于只枚举或评分4096个对象。</w:t>
      </w:r>
    </w:p>
    <w:p>
      <w:pPr>
        <w:pStyle w:val="TableCaption"/>
        <w:spacing w:line="380" w:lineRule="exact"/>
      </w:pPr>
      <w:r>
        <w:rPr>
          <w:rFonts w:ascii="Times New Roman" w:hAnsi="Times New Roman" w:eastAsia="Songti SC"/>
          <w:color w:val="000000"/>
          <w:sz w:val="21"/>
        </w:rPr>
        <w:t>表H-4 同端到端时限的质量与尾延迟（成本与完成度假设下的推演）</w:t>
      </w:r>
      <w:bookmarkStart w:id="222" w:name="v14_222"/>
      <w:bookmarkEnd w:id="22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361"/>
        <w:gridCol w:w="1417"/>
        <w:gridCol w:w="1417"/>
        <w:gridCol w:w="1644"/>
        <w:gridCol w:w="1814"/>
        <w:gridCol w:w="1247"/>
      </w:tblGrid>
      <w:tr>
        <w:trPr>
          <w:cantSplit/>
          <w:tblHeader/>
        </w:trPr>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语料与时限</w:t>
            </w:r>
          </w:p>
        </w:tc>
        <w:tc>
          <w:tcPr>
            <w:tcW w:type="dxa" w:w="14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局部关系F1</w:t>
            </w:r>
          </w:p>
        </w:tc>
        <w:tc>
          <w:tcPr>
            <w:tcW w:type="dxa" w:w="14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全局关系F1</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 局部／全局</w:t>
            </w:r>
          </w:p>
        </w:tc>
        <w:tc>
          <w:tcPr>
            <w:tcW w:type="dxa" w:w="181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回退% 局部／全局</w:t>
            </w:r>
          </w:p>
        </w:tc>
        <w:tc>
          <w:tcPr>
            <w:tcW w:type="dxa" w:w="124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全局超时%</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12秒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60.85±0.36</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60.80±0.38</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12.00／12.00</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90.00／90.00</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100.00</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24秒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66.56±0.22</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66.96±0.33</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18.47／19.63</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0.00／0.00</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48秒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66.96±0.33</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18.47／19.63</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18秒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56.76±0.63</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56.24±0.46</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18.00／18.00</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71.62／71.62</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90.54</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36秒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61.53±0.84</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61.07±0.24</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34.30／36.00</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6.76／6.76</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34.23</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72秒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61.53±0.84</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61.85±0.32</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34.30／49.14</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6.76／6.76</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bl>
    <w:p>
      <w:pPr>
        <w:spacing w:after="0" w:line="240" w:lineRule="auto"/>
      </w:pPr>
    </w:p>
    <w:p>
      <w:pPr>
        <w:keepNext/>
        <w:spacing w:line="240" w:lineRule="auto" w:before="80" w:after="60"/>
        <w:ind w:firstLine="0"/>
        <w:jc w:val="center"/>
      </w:pPr>
      <w:r>
        <w:drawing>
          <wp:inline xmlns:a="http://schemas.openxmlformats.org/drawingml/2006/main" xmlns:pic="http://schemas.openxmlformats.org/drawingml/2006/picture">
            <wp:extent cx="5652770" cy="2879742"/>
            <wp:docPr id="11" name="budget_conditions.png" descr="给定成本与完成度假设下的预算结果"/>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652770" cy="2879742"/>
                    </a:xfrm>
                    <a:prstGeom prst="rect"/>
                  </pic:spPr>
                </pic:pic>
              </a:graphicData>
            </a:graphic>
          </wp:inline>
        </w:drawing>
      </w:r>
    </w:p>
    <w:p>
      <w:pPr>
        <w:pStyle w:val="FigureCaption"/>
        <w:spacing w:line="380" w:lineRule="exact"/>
      </w:pPr>
      <w:r>
        <w:rPr>
          <w:rFonts w:ascii="Times New Roman" w:hAnsi="Times New Roman" w:eastAsia="Songti SC"/>
          <w:color w:val="000000"/>
          <w:sz w:val="21"/>
        </w:rPr>
        <w:t>图H-1 给定成本与完成度假设下的预算结果</w:t>
      </w:r>
      <w:bookmarkStart w:id="223" w:name="v14_223"/>
      <w:bookmarkEnd w:id="223"/>
    </w:p>
    <w:p>
      <w:pPr>
        <w:spacing w:line="380" w:lineRule="exact"/>
      </w:pPr>
      <w:r>
        <w:rPr>
          <w:rFonts w:ascii="Times New Roman" w:hAnsi="Times New Roman" w:eastAsia="Songti SC"/>
          <w:color w:val="000000"/>
          <w:sz w:val="22"/>
        </w:rPr>
        <w:t>在这一设定下，CDCP大规模组36秒时局部关系F1较高；放宽至72秒后排序变化。其条件表达应为：若共同准备和两类求解轨迹具有所设关系，可能出现局部的条件优势。全局时间函数更陡本就使大规模紧时限下的完成比例偏低；改变相对速度或质量轨迹可能改变结论。此处不研究模拟模型本身，未据该情景选择实际阈值，也未把它用于摘要和方法定位。</w:t>
      </w:r>
    </w:p>
    <w:p>
      <w:pPr>
        <w:spacing w:line="380" w:lineRule="exact"/>
      </w:pPr>
      <w:r>
        <w:rPr>
          <w:rFonts w:ascii="Times New Roman" w:hAnsi="Times New Roman" w:eastAsia="Songti SC"/>
          <w:color w:val="000000"/>
          <w:sz w:val="22"/>
        </w:rPr>
        <w:t>图中误差棒为17、29、43三个模拟种子的样本标准差；原记录另保存按文档配对重采样2000次的全部区间及规模、预算组合。它们只表示给定生成假设后的变化，不反映函数或插值机制设错的风险。模拟状态与回退计数不能证明完整图合法或获得了incumbent；实际优化器未执行，求解证书为NOT_EXECUTED，gap为空。旧表4-8的成本与本节来自不同轨道，不合并成运行曲线。</w:t>
      </w:r>
    </w:p>
    <w:p>
      <w:pPr>
        <w:pStyle w:val="Heading2"/>
      </w:pPr>
      <w:r>
        <w:t>H.8 对象重叠的非唯一性示例</w:t>
      </w:r>
      <w:bookmarkStart w:id="162" w:name="v14_162"/>
      <w:bookmarkEnd w:id="162"/>
    </w:p>
    <w:p>
      <w:pPr>
        <w:spacing w:line="380" w:lineRule="exact"/>
      </w:pPr>
      <w:r>
        <w:rPr>
          <w:rFonts w:ascii="Times New Roman" w:hAnsi="Times New Roman" w:eastAsia="Songti SC"/>
          <w:color w:val="000000"/>
          <w:sz w:val="22"/>
        </w:rPr>
        <w:t>既有旧情景对象记录为684个文档种子记录赋予抽象关系键，匹配v6四格未分组TP、FP、FN及T1到组合的风险总量，并不匹配v7主表。坐标、类型与端点均由程序构造，未重建完整组件预测图，也未约束源成员数分组；该文件只保留作非唯一性示例，不承担关于两阶段互补性的研究发现。</w:t>
      </w:r>
    </w:p>
    <w:p>
      <w:pPr>
        <w:spacing w:line="380" w:lineRule="exact"/>
      </w:pPr>
      <w:r>
        <w:rPr>
          <w:rFonts w:ascii="Times New Roman" w:hAnsi="Times New Roman" w:eastAsia="Songti SC"/>
          <w:color w:val="000000"/>
          <w:sz w:val="22"/>
        </w:rPr>
        <w:t>保持T0I0、T1I0和T1I1的集合不变，只重分配T0I1在初始遗漏金标中的新增对象。对每个文档种子，记两个单阶段新增命中数为a、b，初始遗漏金标池大小为M，则共同新增命中数可以在max(0,a＋b−M)与min(a,b)之间变化。保留T0I1已命中的初始对象及全部FP不动，并从池中分别优先选择与另一阶段相交或不相交的对象，即可达到两个端点。此重分配保留四格所有严格关系成绩，也保留T1到组合的恢复、损失及FP变化。</w:t>
      </w:r>
    </w:p>
    <w:p>
      <w:pPr>
        <w:spacing w:line="380" w:lineRule="exact"/>
      </w:pPr>
      <w:r>
        <w:rPr>
          <w:rFonts w:ascii="Times New Roman" w:hAnsi="Times New Roman" w:eastAsia="Songti SC"/>
          <w:color w:val="000000"/>
          <w:sz w:val="22"/>
        </w:rPr>
        <w:t>逐文档累加后，AAEC共同修复范围为26—434，CDCP为158—550；旧补全选取的353／505只是其中一种构造。因此，计数足以约束成绩，却不足以确定共同修复和独有修复的对象身份。此范围仅对声明的抽象关系集合成立，不证明完整图合法性、类型分组一致性或真实语料可行性。正文不再展示旧补全的重叠比例和合成坐标案例；原记录保留供复核。</w:t>
      </w:r>
    </w:p>
    <w:p>
      <w:pPr>
        <w:spacing w:line="380" w:lineRule="exact"/>
      </w:pPr>
      <w:r>
        <w:rPr>
          <w:rFonts w:ascii="Times New Roman" w:hAnsi="Times New Roman" w:eastAsia="Songti SC"/>
          <w:color w:val="000000"/>
          <w:sz w:val="22"/>
        </w:rPr>
        <w:t>旧版核验程序独立构造上述最小与最大交集，逐项检查旧计数及风险不变；它验证非唯一性这一构造结论，不新增模型运行。正式第五章应从同批四格实际输出对齐对象，保留原文、预测身份和具体改动，再判断重叠、损害或作用路径，不要求预先满足某种互补比例。</w:t>
      </w:r>
    </w:p>
    <w:sectPr>
      <w:headerReference w:type="default" r:id="rId163"/>
      <w:footerReference w:type="default" r:id="rId164"/>
      <w:pgSz w:w="11906" w:h="16838"/>
      <w:pgMar w:top="1417" w:right="1417" w:bottom="1417" w:left="1587" w:header="737" w:footer="737" w:gutter="0"/>
      <w:cols w:space="72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1010-v7</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1010-v3</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1010-v3</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1010-v4</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1010-v4</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1010-v5</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1010-v5</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1010-v7</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410" w:lineRule="exact" w:after="4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00" w:lineRule="auto"/>
      <w:ind w:firstLine="0"/>
      <w:jc w:val="center"/>
      <w:outlineLvl w:val="0"/>
      <w:pageBreakBefore/>
      <w:snapToGrid w:val="0"/>
      <w:snapToGrid w:val="0"/>
    </w:pPr>
    <w:rPr>
      <w:rFonts w:cstheme="majorBidi" w:ascii="Times New Roman" w:hAnsi="Times New Roman" w:eastAsia="Hiragino Sans GB"/>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ind w:firstLine="0"/>
      <w:jc w:val="left"/>
      <w:outlineLvl w:val="1"/>
      <w:pageBreakBefore w:val="0"/>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ind w:firstLine="0"/>
      <w:jc w:val="left"/>
      <w:outlineLvl w:val="2"/>
      <w:pageBreakBefore w:val="0"/>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rontContents">
    <w:name w:val="Front Contents"/>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igureCaption">
    <w:name w:val="Figure Caption"/>
    <w:basedOn w:val="Normal"/>
    <w:pPr>
      <w:keepNext w:val="0"/>
      <w:keepLines/>
      <w:spacing w:before="0" w:after="140" w:line="276" w:lineRule="auto"/>
      <w:ind w:firstLine="0"/>
      <w:jc w:val="center"/>
    </w:pPr>
    <w:rPr>
      <w:rFonts w:ascii="Times New Roman" w:hAnsi="Times New Roman" w:eastAsia="Songti SC"/>
      <w:b w:val="0"/>
      <w:color w:val="000000"/>
      <w:sz w:val="21"/>
    </w:rPr>
  </w:style>
  <w:style w:type="paragraph" w:customStyle="1" w:styleId="TableCaption">
    <w:name w:val="Table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ContinuationCaption">
    <w:name w:val="Continuation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AlgorithmCaption">
    <w:name w:val="Algorithm Caption"/>
    <w:basedOn w:val="Normal"/>
    <w:pPr>
      <w:keepNext/>
      <w:keepLines/>
      <w:spacing w:before="0" w:after="140" w:line="276" w:lineRule="auto"/>
      <w:ind w:firstLine="0"/>
      <w:jc w:val="center"/>
    </w:pPr>
    <w:rPr>
      <w:rFonts w:ascii="Times New Roman" w:hAnsi="Times New Roman" w:eastAsia="Songti SC"/>
      <w:b/>
      <w:color w:val="000000"/>
      <w:sz w:val="21"/>
    </w:rPr>
  </w:style>
  <w:style w:type="paragraph" w:customStyle="1" w:styleId="AlgorithmLine">
    <w:name w:val="Algorithm Line"/>
    <w:basedOn w:val="Normal"/>
    <w:pPr>
      <w:keepNext/>
      <w:keepLines/>
      <w:spacing w:before="0" w:after="140" w:line="276" w:lineRule="auto"/>
      <w:ind w:firstLine="0"/>
    </w:pPr>
    <w:rPr>
      <w:rFonts w:ascii="Times New Roman" w:hAnsi="Times New Roman" w:eastAsia="Songti SC"/>
      <w:b w:val="0"/>
      <w:color w:val="000000"/>
      <w:sz w:val="21"/>
    </w:rPr>
  </w:style>
  <w:style w:type="paragraph" w:customStyle="1" w:styleId="TOC1">
    <w:name w:val="TOC 1"/>
    <w:basedOn w:val="Normal"/>
    <w:pPr>
      <w:keepNext/>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60" w:line="320" w:lineRule="exact" w:before="120"/>
      <w:ind w:left="0" w:right="510" w:firstLine="0"/>
    </w:pPr>
    <w:rPr>
      <w:b/>
      <w:color w:val="000000"/>
      <w:sz w:val="22"/>
    </w:rPr>
  </w:style>
  <w:style w:type="paragraph" w:customStyle="1" w:styleId="TOC2">
    <w:name w:val="TOC 2"/>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12" w:line="320" w:lineRule="exact"/>
      <w:ind w:left="283" w:right="510" w:firstLine="0"/>
    </w:pPr>
    <w:rPr>
      <w:b w:val="0"/>
      <w:color w:val="000000"/>
      <w:sz w:val="22"/>
    </w:rPr>
  </w:style>
  <w:style w:type="paragraph" w:customStyle="1" w:styleId="TOC3">
    <w:name w:val="TOC 3"/>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12" w:line="320" w:lineRule="exact"/>
      <w:ind w:left="567" w:right="510" w:firstLine="0"/>
    </w:pPr>
    <w:rPr>
      <w:b w:val="0"/>
      <w:color w:val="000000"/>
      <w:sz w:val="22"/>
    </w:rPr>
  </w:style>
  <w:style w:type="paragraph" w:customStyle="1" w:styleId="FigureList">
    <w:name w:val="Figure List"/>
    <w:basedOn w:val="TOC1"/>
    <w:pPr>
      <w:keepNext w:val="0"/>
      <w:spacing w:before="0"/>
    </w:pPr>
  </w:style>
  <w:style w:type="paragraph" w:customStyle="1" w:styleId="TableList">
    <w:name w:val="Table List"/>
    <w:basedOn w:val="TOC1"/>
    <w:pPr>
      <w:keepNext w:val="0"/>
      <w:spacing w:befor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eader" Target="header7.xml"/><Relationship Id="rId71" Type="http://schemas.openxmlformats.org/officeDocument/2006/relationships/footer" Target="footer7.xml"/><Relationship Id="rId72" Type="http://schemas.openxmlformats.org/officeDocument/2006/relationships/header" Target="header8.xml"/><Relationship Id="rId73" Type="http://schemas.openxmlformats.org/officeDocument/2006/relationships/footer" Target="footer8.xml"/><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 Id="rId81" Type="http://schemas.openxmlformats.org/officeDocument/2006/relationships/header" Target="header9.xml"/><Relationship Id="rId82" Type="http://schemas.openxmlformats.org/officeDocument/2006/relationships/footer" Target="footer9.xml"/><Relationship Id="rId83" Type="http://schemas.openxmlformats.org/officeDocument/2006/relationships/header" Target="header10.xml"/><Relationship Id="rId84" Type="http://schemas.openxmlformats.org/officeDocument/2006/relationships/footer" Target="footer10.xml"/><Relationship Id="rId85" Type="http://schemas.openxmlformats.org/officeDocument/2006/relationships/header" Target="header11.xml"/><Relationship Id="rId86" Type="http://schemas.openxmlformats.org/officeDocument/2006/relationships/footer" Target="footer11.xml"/><Relationship Id="rId87" Type="http://schemas.openxmlformats.org/officeDocument/2006/relationships/header" Target="header12.xml"/><Relationship Id="rId88" Type="http://schemas.openxmlformats.org/officeDocument/2006/relationships/footer" Target="footer12.xml"/><Relationship Id="rId89" Type="http://schemas.openxmlformats.org/officeDocument/2006/relationships/header" Target="header13.xml"/><Relationship Id="rId90" Type="http://schemas.openxmlformats.org/officeDocument/2006/relationships/footer" Target="footer13.xml"/><Relationship Id="rId91" Type="http://schemas.openxmlformats.org/officeDocument/2006/relationships/header" Target="header14.xml"/><Relationship Id="rId92" Type="http://schemas.openxmlformats.org/officeDocument/2006/relationships/footer" Target="footer14.xml"/><Relationship Id="rId93" Type="http://schemas.openxmlformats.org/officeDocument/2006/relationships/image" Target="media/image11.png"/><Relationship Id="rId94" Type="http://schemas.openxmlformats.org/officeDocument/2006/relationships/image" Target="media/image12.png"/><Relationship Id="rId95" Type="http://schemas.openxmlformats.org/officeDocument/2006/relationships/header" Target="header15.xml"/><Relationship Id="rId96" Type="http://schemas.openxmlformats.org/officeDocument/2006/relationships/footer" Target="footer15.xml"/><Relationship Id="rId97" Type="http://schemas.openxmlformats.org/officeDocument/2006/relationships/header" Target="header16.xml"/><Relationship Id="rId98" Type="http://schemas.openxmlformats.org/officeDocument/2006/relationships/footer" Target="footer16.xml"/><Relationship Id="rId99" Type="http://schemas.openxmlformats.org/officeDocument/2006/relationships/image" Target="media/image13.png"/><Relationship Id="rId100" Type="http://schemas.openxmlformats.org/officeDocument/2006/relationships/header" Target="header17.xml"/><Relationship Id="rId101" Type="http://schemas.openxmlformats.org/officeDocument/2006/relationships/footer" Target="footer17.xml"/><Relationship Id="rId102" Type="http://schemas.openxmlformats.org/officeDocument/2006/relationships/header" Target="header18.xml"/><Relationship Id="rId103" Type="http://schemas.openxmlformats.org/officeDocument/2006/relationships/footer" Target="footer18.xml"/><Relationship Id="rId104" Type="http://schemas.openxmlformats.org/officeDocument/2006/relationships/image" Target="media/image14.png"/><Relationship Id="rId105" Type="http://schemas.openxmlformats.org/officeDocument/2006/relationships/image" Target="media/image15.png"/><Relationship Id="rId106" Type="http://schemas.openxmlformats.org/officeDocument/2006/relationships/image" Target="media/image16.png"/><Relationship Id="rId107" Type="http://schemas.openxmlformats.org/officeDocument/2006/relationships/image" Target="media/image17.png"/><Relationship Id="rId108" Type="http://schemas.openxmlformats.org/officeDocument/2006/relationships/image" Target="media/image18.png"/><Relationship Id="rId109" Type="http://schemas.openxmlformats.org/officeDocument/2006/relationships/image" Target="media/image19.png"/><Relationship Id="rId110" Type="http://schemas.openxmlformats.org/officeDocument/2006/relationships/image" Target="media/image20.png"/><Relationship Id="rId111" Type="http://schemas.openxmlformats.org/officeDocument/2006/relationships/image" Target="media/image21.png"/><Relationship Id="rId112" Type="http://schemas.openxmlformats.org/officeDocument/2006/relationships/image" Target="media/image22.png"/><Relationship Id="rId113" Type="http://schemas.openxmlformats.org/officeDocument/2006/relationships/image" Target="media/image23.png"/><Relationship Id="rId114" Type="http://schemas.openxmlformats.org/officeDocument/2006/relationships/image" Target="media/image24.png"/><Relationship Id="rId115" Type="http://schemas.openxmlformats.org/officeDocument/2006/relationships/header" Target="header19.xml"/><Relationship Id="rId116" Type="http://schemas.openxmlformats.org/officeDocument/2006/relationships/footer" Target="footer19.xml"/><Relationship Id="rId117" Type="http://schemas.openxmlformats.org/officeDocument/2006/relationships/header" Target="header20.xml"/><Relationship Id="rId118" Type="http://schemas.openxmlformats.org/officeDocument/2006/relationships/footer" Target="footer20.xml"/><Relationship Id="rId119" Type="http://schemas.openxmlformats.org/officeDocument/2006/relationships/header" Target="header21.xml"/><Relationship Id="rId120" Type="http://schemas.openxmlformats.org/officeDocument/2006/relationships/footer" Target="footer21.xml"/><Relationship Id="rId121" Type="http://schemas.openxmlformats.org/officeDocument/2006/relationships/header" Target="header22.xml"/><Relationship Id="rId122" Type="http://schemas.openxmlformats.org/officeDocument/2006/relationships/footer" Target="footer22.xml"/><Relationship Id="rId123" Type="http://schemas.openxmlformats.org/officeDocument/2006/relationships/image" Target="media/image25.png"/><Relationship Id="rId124" Type="http://schemas.openxmlformats.org/officeDocument/2006/relationships/image" Target="media/image26.png"/><Relationship Id="rId125" Type="http://schemas.openxmlformats.org/officeDocument/2006/relationships/image" Target="media/image27.png"/><Relationship Id="rId126" Type="http://schemas.openxmlformats.org/officeDocument/2006/relationships/image" Target="media/image28.png"/><Relationship Id="rId127" Type="http://schemas.openxmlformats.org/officeDocument/2006/relationships/hyperlink" Target="https://aclanthology.org/2022.emnlp-main.713/" TargetMode="External"/><Relationship Id="rId128" Type="http://schemas.openxmlformats.org/officeDocument/2006/relationships/hyperlink" Target="https://aclanthology.org/2025.cl-3.2/" TargetMode="External"/><Relationship Id="rId129" Type="http://schemas.openxmlformats.org/officeDocument/2006/relationships/hyperlink" Target="https://arxiv.org/abs/2610.07699v1" TargetMode="External"/><Relationship Id="rId130" Type="http://schemas.openxmlformats.org/officeDocument/2006/relationships/hyperlink" Target="https://github.com/masayouk/am-as-text2text" TargetMode="External"/><Relationship Id="rId131" Type="http://schemas.openxmlformats.org/officeDocument/2006/relationships/hyperlink" Target="https://github.com/HITSZ-HLT/UniASA" TargetMode="External"/><Relationship Id="rId132" Type="http://schemas.openxmlformats.org/officeDocument/2006/relationships/hyperlink" Target="https://github.com/HITSZ-HLT/GMAM" TargetMode="External"/><Relationship Id="rId133" Type="http://schemas.openxmlformats.org/officeDocument/2006/relationships/hyperlink" Target="https://github.com/syiswell/DENIM" TargetMode="External"/><Relationship Id="rId134" Type="http://schemas.openxmlformats.org/officeDocument/2006/relationships/hyperlink" Target="https://github.com/ZhangZJ-GH/Synthetic-Data-for-Argument-Mining" TargetMode="External"/><Relationship Id="rId135" Type="http://schemas.openxmlformats.org/officeDocument/2006/relationships/hyperlink" Target="https://github.com/YuqiHuang2003/QOS_DOS" TargetMode="External"/><Relationship Id="rId136" Type="http://schemas.openxmlformats.org/officeDocument/2006/relationships/hyperlink" Target="https://github.com/brunoyun/amelia" TargetMode="External"/><Relationship Id="rId137" Type="http://schemas.openxmlformats.org/officeDocument/2006/relationships/header" Target="header23.xml"/><Relationship Id="rId138" Type="http://schemas.openxmlformats.org/officeDocument/2006/relationships/footer" Target="footer23.xml"/><Relationship Id="rId139" Type="http://schemas.openxmlformats.org/officeDocument/2006/relationships/header" Target="header24.xml"/><Relationship Id="rId140" Type="http://schemas.openxmlformats.org/officeDocument/2006/relationships/footer" Target="footer24.xml"/><Relationship Id="rId141" Type="http://schemas.openxmlformats.org/officeDocument/2006/relationships/header" Target="header25.xml"/><Relationship Id="rId142" Type="http://schemas.openxmlformats.org/officeDocument/2006/relationships/footer" Target="footer25.xml"/><Relationship Id="rId143" Type="http://schemas.openxmlformats.org/officeDocument/2006/relationships/header" Target="header26.xml"/><Relationship Id="rId144" Type="http://schemas.openxmlformats.org/officeDocument/2006/relationships/footer" Target="footer26.xml"/><Relationship Id="rId145" Type="http://schemas.openxmlformats.org/officeDocument/2006/relationships/image" Target="media/image29.png"/><Relationship Id="rId146" Type="http://schemas.openxmlformats.org/officeDocument/2006/relationships/image" Target="media/image30.png"/><Relationship Id="rId147" Type="http://schemas.openxmlformats.org/officeDocument/2006/relationships/image" Target="media/image31.png"/><Relationship Id="rId148" Type="http://schemas.openxmlformats.org/officeDocument/2006/relationships/image" Target="media/image32.png"/><Relationship Id="rId149" Type="http://schemas.openxmlformats.org/officeDocument/2006/relationships/image" Target="media/image33.png"/><Relationship Id="rId150" Type="http://schemas.openxmlformats.org/officeDocument/2006/relationships/image" Target="media/image34.png"/><Relationship Id="rId151" Type="http://schemas.openxmlformats.org/officeDocument/2006/relationships/image" Target="media/image35.png"/><Relationship Id="rId152" Type="http://schemas.openxmlformats.org/officeDocument/2006/relationships/header" Target="header27.xml"/><Relationship Id="rId153" Type="http://schemas.openxmlformats.org/officeDocument/2006/relationships/footer" Target="footer27.xml"/><Relationship Id="rId154" Type="http://schemas.openxmlformats.org/officeDocument/2006/relationships/header" Target="header28.xml"/><Relationship Id="rId155" Type="http://schemas.openxmlformats.org/officeDocument/2006/relationships/footer" Target="footer28.xml"/><Relationship Id="rId156" Type="http://schemas.openxmlformats.org/officeDocument/2006/relationships/image" Target="media/image36.png"/><Relationship Id="rId157" Type="http://schemas.openxmlformats.org/officeDocument/2006/relationships/header" Target="header29.xml"/><Relationship Id="rId158" Type="http://schemas.openxmlformats.org/officeDocument/2006/relationships/footer" Target="footer29.xml"/><Relationship Id="rId159" Type="http://schemas.openxmlformats.org/officeDocument/2006/relationships/header" Target="header30.xml"/><Relationship Id="rId160" Type="http://schemas.openxmlformats.org/officeDocument/2006/relationships/footer" Target="footer30.xml"/><Relationship Id="rId161" Type="http://schemas.openxmlformats.org/officeDocument/2006/relationships/header" Target="header31.xml"/><Relationship Id="rId162" Type="http://schemas.openxmlformats.org/officeDocument/2006/relationships/footer" Target="footer31.xml"/><Relationship Id="rId163" Type="http://schemas.openxmlformats.org/officeDocument/2006/relationships/header" Target="header32.xml"/><Relationship Id="rId164" Type="http://schemas.openxmlformats.org/officeDocument/2006/relationships/footer" Target="footer3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1010-v7 估算演示版；模拟身份见封面、摘要与实验表图</dc:subject>
  <dc:creator>Chen Tang</dc:creator>
  <cp:keywords>估算演示版 关系感知学习 依赖闭合修正</cp:keywords>
  <dc:description>generated by python-docx</dc:description>
  <cp:lastModifiedBy/>
  <cp:revision>1</cp:revision>
  <dcterms:created xsi:type="dcterms:W3CDTF">2013-12-23T23:15:00Z</dcterms:created>
  <dcterms:modified xsi:type="dcterms:W3CDTF">2013-12-23T23:15:00Z</dcterms:modified>
  <cp:category/>
</cp:coreProperties>
</file>