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1011-v11 估算演示版</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完整数字预览，主表及新增训练、OOF、外部对照和四格对象数据均为明确假设下的模拟材料，不代表真实实验记录或经验证的效果预测。真实材料包括既存CPU诊断、此前Luna预测与评分试验，以及本版64个改写、24篇成分抽取诊断和1536条固定输入求解记录。真实诊断和模拟主结果分表报告，负结果不以模拟数字覆盖；成本中的实测、组合上界与吞吐假设分别标识。附录E保留前期存档，H.6—H.8保留独立旧情景。本版补齐了预览所需数据，正式训练、人工审核及完整系统验收仍须实测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主比较以明确假设计数展示训练和完整系统的评价，补齐训练对照区间、错误链、四格对象与成本条件。真实Luna诊断保留AAEC关系恢复和CDCP评分误改等结果。新增64个改写经两路模型判断，标记1个成分语义变化，未检出关系标签漂移，尚不支持完整影响域筛选的额外收益。三套语料各8篇的候选诊断中，分离成分抽取使CasiMedicos完整关系入池数由0增至13／37；ArgUNSC和CDCP覆盖仍低。对既有96篇冻结输入开展1536条局部、单对象和全局求解记录，单对象与集合动作的聚合指标相同，全局也未解决低正确关系率。上述证据将研究结论限定于有限候选、原生接口与评分条件，训练贡献、目标系统优势和两阶段互补仍是待实测验证的主张。</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main comparisons are explicitly simulated and now include paired training contrasts, error-chain records, four-cell object identities, and cost assumptions. Genuine Luna diagnostics retain both successful recovery and harmful edits. Two model assessments of 64 new paraphrases flag one component-meaning change but detect no relation-label drift, providing no additional benefit for the full affected-domain filter in this small pool. In eight documents per diagnostic corpus, separate component extraction increases complete-relation candidate coverage on CasiMedicos from 0 to 13 of 37 gold relations, while coverage remains low on ArgUNSC and CDCP. A total of 1,536 solver records reuse fixed inputs from 96 documents: single-object and set-level actions yield identical aggregate metrics, and global optimization does not resolve the low true-relation rate. These observations bound the proposed methods by candidate coverage, native annotation interfaces, and score quality. Training gains, full-system superiority, and two-stage complementarity remain hypotheses requiring empirical validation.</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4_20" w:history="1">
        <w:r>
          <w:rPr>
            <w:rFonts w:ascii="Times New Roman" w:hAnsi="Times New Roman" w:eastAsia="Songti SC"/>
            <w:color w:val="000000"/>
            <w:sz w:val="22"/>
          </w:rPr>
          <w:t>1.3.1 研究问题</w:t>
        </w:r>
        <w:r>
          <w:rPr>
            <w:rFonts w:ascii="Times New Roman" w:hAnsi="Times New Roman" w:eastAsia="Songti SC"/>
            <w:color w:val="000000"/>
            <w:sz w:val="22"/>
          </w:rPr>
          <w:tab/>
          <w:t>7</w:t>
        </w:r>
      </w:hyperlink>
    </w:p>
    <w:p>
      <w:pPr>
        <w:pStyle w:val="TOC3"/>
      </w:pPr>
      <w:hyperlink w:anchor="v14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8</w:t>
        </w:r>
      </w:hyperlink>
    </w:p>
    <w:p>
      <w:pPr>
        <w:pStyle w:val="TOC2"/>
      </w:pPr>
      <w:hyperlink w:anchor="v14_23" w:history="1">
        <w:r>
          <w:rPr>
            <w:rFonts w:ascii="Times New Roman" w:hAnsi="Times New Roman" w:eastAsia="Songti SC"/>
            <w:color w:val="000000"/>
            <w:sz w:val="22"/>
          </w:rPr>
          <w:t>1.4 论文组织结构</w:t>
        </w:r>
        <w:r>
          <w:rPr>
            <w:rFonts w:ascii="Times New Roman" w:hAnsi="Times New Roman" w:eastAsia="Songti SC"/>
            <w:color w:val="000000"/>
            <w:sz w:val="22"/>
          </w:rPr>
          <w:tab/>
          <w:t>9</w:t>
        </w:r>
      </w:hyperlink>
    </w:p>
    <w:p>
      <w:pPr>
        <w:pStyle w:val="TOC1"/>
        <w:keepNext/>
        <w:spacing w:before="120"/>
      </w:pPr>
      <w:hyperlink w:anchor="v1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10</w:t>
        </w:r>
      </w:hyperlink>
    </w:p>
    <w:p>
      <w:pPr>
        <w:pStyle w:val="TOC2"/>
      </w:pPr>
      <w:hyperlink w:anchor="v1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10</w:t>
        </w:r>
      </w:hyperlink>
    </w:p>
    <w:p>
      <w:pPr>
        <w:pStyle w:val="TOC3"/>
      </w:pPr>
      <w:hyperlink w:anchor="v1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10</w:t>
        </w:r>
      </w:hyperlink>
    </w:p>
    <w:p>
      <w:pPr>
        <w:pStyle w:val="TOC3"/>
      </w:pPr>
      <w:hyperlink w:anchor="v1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10</w:t>
        </w:r>
      </w:hyperlink>
    </w:p>
    <w:p>
      <w:pPr>
        <w:pStyle w:val="TOC2"/>
      </w:pPr>
      <w:hyperlink w:anchor="v1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11</w:t>
        </w:r>
      </w:hyperlink>
    </w:p>
    <w:p>
      <w:pPr>
        <w:pStyle w:val="TOC3"/>
      </w:pPr>
      <w:hyperlink w:anchor="v1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11</w:t>
        </w:r>
      </w:hyperlink>
    </w:p>
    <w:p>
      <w:pPr>
        <w:pStyle w:val="TOC3"/>
      </w:pPr>
      <w:hyperlink w:anchor="v1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12</w:t>
        </w:r>
      </w:hyperlink>
    </w:p>
    <w:p>
      <w:pPr>
        <w:pStyle w:val="TOC2"/>
      </w:pPr>
      <w:hyperlink w:anchor="v1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12</w:t>
        </w:r>
      </w:hyperlink>
    </w:p>
    <w:p>
      <w:pPr>
        <w:pStyle w:val="TOC2"/>
      </w:pPr>
      <w:hyperlink w:anchor="v1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12</w:t>
        </w:r>
      </w:hyperlink>
    </w:p>
    <w:p>
      <w:pPr>
        <w:pStyle w:val="TOC2"/>
      </w:pPr>
      <w:hyperlink w:anchor="v1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13</w:t>
        </w:r>
      </w:hyperlink>
    </w:p>
    <w:p>
      <w:pPr>
        <w:pStyle w:val="TOC2"/>
      </w:pPr>
      <w:hyperlink w:anchor="v14_34" w:history="1">
        <w:r>
          <w:rPr>
            <w:rFonts w:ascii="Times New Roman" w:hAnsi="Times New Roman" w:eastAsia="Songti SC"/>
            <w:color w:val="000000"/>
            <w:sz w:val="22"/>
          </w:rPr>
          <w:t>2.6 公共实验协议</w:t>
        </w:r>
        <w:r>
          <w:rPr>
            <w:rFonts w:ascii="Times New Roman" w:hAnsi="Times New Roman" w:eastAsia="Songti SC"/>
            <w:color w:val="000000"/>
            <w:sz w:val="22"/>
          </w:rPr>
          <w:tab/>
          <w:t>14</w:t>
        </w:r>
      </w:hyperlink>
    </w:p>
    <w:p>
      <w:pPr>
        <w:pStyle w:val="TOC3"/>
      </w:pPr>
      <w:hyperlink w:anchor="v1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14</w:t>
        </w:r>
      </w:hyperlink>
    </w:p>
    <w:p>
      <w:pPr>
        <w:pStyle w:val="TOC3"/>
      </w:pPr>
      <w:hyperlink w:anchor="v1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14</w:t>
        </w:r>
      </w:hyperlink>
    </w:p>
    <w:p>
      <w:pPr>
        <w:pStyle w:val="TOC3"/>
      </w:pPr>
      <w:hyperlink w:anchor="v1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16</w:t>
        </w:r>
      </w:hyperlink>
    </w:p>
    <w:p>
      <w:pPr>
        <w:pStyle w:val="TOC2"/>
      </w:pPr>
      <w:hyperlink w:anchor="v1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17</w:t>
        </w:r>
      </w:hyperlink>
    </w:p>
    <w:p>
      <w:pPr>
        <w:pStyle w:val="TOC2"/>
      </w:pPr>
      <w:hyperlink w:anchor="v14_39" w:history="1">
        <w:r>
          <w:rPr>
            <w:rFonts w:ascii="Times New Roman" w:hAnsi="Times New Roman" w:eastAsia="Songti SC"/>
            <w:color w:val="000000"/>
            <w:sz w:val="22"/>
          </w:rPr>
          <w:t>2.8 本章小结</w:t>
        </w:r>
        <w:r>
          <w:rPr>
            <w:rFonts w:ascii="Times New Roman" w:hAnsi="Times New Roman" w:eastAsia="Songti SC"/>
            <w:color w:val="000000"/>
            <w:sz w:val="22"/>
          </w:rPr>
          <w:tab/>
          <w:t>18</w:t>
        </w:r>
      </w:hyperlink>
    </w:p>
    <w:p>
      <w:pPr>
        <w:pStyle w:val="TOC1"/>
        <w:keepNext/>
        <w:spacing w:before="120"/>
      </w:pPr>
      <w:hyperlink w:anchor="v14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19</w:t>
        </w:r>
      </w:hyperlink>
    </w:p>
    <w:p>
      <w:pPr>
        <w:pStyle w:val="TOC2"/>
      </w:pPr>
      <w:hyperlink w:anchor="v14_41" w:history="1">
        <w:r>
          <w:rPr>
            <w:rFonts w:ascii="Times New Roman" w:hAnsi="Times New Roman" w:eastAsia="Songti SC"/>
            <w:color w:val="000000"/>
            <w:sz w:val="22"/>
          </w:rPr>
          <w:t>3.1 引言</w:t>
        </w:r>
        <w:r>
          <w:rPr>
            <w:rFonts w:ascii="Times New Roman" w:hAnsi="Times New Roman" w:eastAsia="Songti SC"/>
            <w:color w:val="000000"/>
            <w:sz w:val="22"/>
          </w:rPr>
          <w:tab/>
          <w:t>19</w:t>
        </w:r>
      </w:hyperlink>
    </w:p>
    <w:p>
      <w:pPr>
        <w:pStyle w:val="TOC2"/>
      </w:pPr>
      <w:hyperlink w:anchor="v1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19</w:t>
        </w:r>
      </w:hyperlink>
    </w:p>
    <w:p>
      <w:pPr>
        <w:pStyle w:val="TOC3"/>
      </w:pPr>
      <w:hyperlink w:anchor="v1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19</w:t>
        </w:r>
      </w:hyperlink>
    </w:p>
    <w:p>
      <w:pPr>
        <w:pStyle w:val="TOC3"/>
      </w:pPr>
      <w:hyperlink w:anchor="v1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20</w:t>
        </w:r>
      </w:hyperlink>
    </w:p>
    <w:p>
      <w:pPr>
        <w:pStyle w:val="TOC2"/>
      </w:pPr>
      <w:hyperlink w:anchor="v1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20</w:t>
        </w:r>
      </w:hyperlink>
    </w:p>
    <w:p>
      <w:pPr>
        <w:pStyle w:val="TOC3"/>
      </w:pPr>
      <w:hyperlink w:anchor="v1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20</w:t>
        </w:r>
      </w:hyperlink>
    </w:p>
    <w:p>
      <w:pPr>
        <w:pStyle w:val="TOC3"/>
      </w:pPr>
      <w:hyperlink w:anchor="v1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23</w:t>
        </w:r>
      </w:hyperlink>
    </w:p>
    <w:p>
      <w:pPr>
        <w:pStyle w:val="TOC3"/>
      </w:pPr>
      <w:hyperlink w:anchor="v1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23</w:t>
        </w:r>
      </w:hyperlink>
    </w:p>
    <w:p>
      <w:pPr>
        <w:pStyle w:val="TOC2"/>
      </w:pPr>
      <w:hyperlink w:anchor="v1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24</w:t>
        </w:r>
      </w:hyperlink>
    </w:p>
    <w:p>
      <w:pPr>
        <w:pStyle w:val="TOC3"/>
      </w:pPr>
      <w:hyperlink w:anchor="v1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25</w:t>
        </w:r>
      </w:hyperlink>
    </w:p>
    <w:p>
      <w:pPr>
        <w:pStyle w:val="TOC3"/>
      </w:pPr>
      <w:hyperlink w:anchor="v1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26</w:t>
        </w:r>
      </w:hyperlink>
    </w:p>
    <w:p>
      <w:pPr>
        <w:pStyle w:val="TOC3"/>
      </w:pPr>
      <w:hyperlink w:anchor="v1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27</w:t>
        </w:r>
      </w:hyperlink>
    </w:p>
    <w:p>
      <w:pPr>
        <w:pStyle w:val="TOC2"/>
      </w:pPr>
      <w:hyperlink w:anchor="v14_53" w:history="1">
        <w:r>
          <w:rPr>
            <w:rFonts w:ascii="Times New Roman" w:hAnsi="Times New Roman" w:eastAsia="Songti SC"/>
            <w:color w:val="000000"/>
            <w:sz w:val="22"/>
          </w:rPr>
          <w:t>3.5 算法及性质</w:t>
        </w:r>
        <w:r>
          <w:rPr>
            <w:rFonts w:ascii="Times New Roman" w:hAnsi="Times New Roman" w:eastAsia="Songti SC"/>
            <w:color w:val="000000"/>
            <w:sz w:val="22"/>
          </w:rPr>
          <w:tab/>
          <w:t>28</w:t>
        </w:r>
      </w:hyperlink>
    </w:p>
    <w:p>
      <w:pPr>
        <w:pStyle w:val="TOC3"/>
      </w:pPr>
      <w:hyperlink w:anchor="v1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28</w:t>
        </w:r>
      </w:hyperlink>
    </w:p>
    <w:p>
      <w:pPr>
        <w:pStyle w:val="TOC3"/>
      </w:pPr>
      <w:hyperlink w:anchor="v1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29</w:t>
        </w:r>
      </w:hyperlink>
    </w:p>
    <w:p>
      <w:pPr>
        <w:pStyle w:val="TOC2"/>
      </w:pPr>
      <w:hyperlink w:anchor="v14_56" w:history="1">
        <w:r>
          <w:rPr>
            <w:rFonts w:ascii="Times New Roman" w:hAnsi="Times New Roman" w:eastAsia="Songti SC"/>
            <w:color w:val="000000"/>
            <w:sz w:val="22"/>
          </w:rPr>
          <w:t>3.6 实验结果与分析</w:t>
        </w:r>
        <w:r>
          <w:rPr>
            <w:rFonts w:ascii="Times New Roman" w:hAnsi="Times New Roman" w:eastAsia="Songti SC"/>
            <w:color w:val="000000"/>
            <w:sz w:val="22"/>
          </w:rPr>
          <w:tab/>
          <w:t>30</w:t>
        </w:r>
      </w:hyperlink>
    </w:p>
    <w:p>
      <w:pPr>
        <w:pStyle w:val="TOC3"/>
      </w:pPr>
      <w:hyperlink w:anchor="v1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30</w:t>
        </w:r>
      </w:hyperlink>
    </w:p>
    <w:p>
      <w:pPr>
        <w:pStyle w:val="TOC3"/>
      </w:pPr>
      <w:hyperlink w:anchor="v1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31</w:t>
        </w:r>
      </w:hyperlink>
    </w:p>
    <w:p>
      <w:pPr>
        <w:pStyle w:val="TOC3"/>
      </w:pPr>
      <w:hyperlink w:anchor="v14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33</w:t>
        </w:r>
      </w:hyperlink>
    </w:p>
    <w:p>
      <w:pPr>
        <w:pStyle w:val="TOC3"/>
      </w:pPr>
      <w:hyperlink w:anchor="v14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34</w:t>
        </w:r>
      </w:hyperlink>
    </w:p>
    <w:p>
      <w:pPr>
        <w:pStyle w:val="TOC3"/>
      </w:pPr>
      <w:hyperlink w:anchor="v14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35</w:t>
        </w:r>
      </w:hyperlink>
    </w:p>
    <w:p>
      <w:pPr>
        <w:pStyle w:val="TOC3"/>
      </w:pPr>
      <w:hyperlink w:anchor="v14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35</w:t>
        </w:r>
      </w:hyperlink>
    </w:p>
    <w:p>
      <w:pPr>
        <w:pStyle w:val="TOC3"/>
      </w:pPr>
      <w:hyperlink w:anchor="v11_evidence_248" w:history="1">
        <w:r>
          <w:rPr>
            <w:rFonts w:ascii="Times New Roman" w:hAnsi="Times New Roman" w:eastAsia="Songti SC"/>
            <w:color w:val="000000"/>
            <w:sz w:val="22"/>
          </w:rPr>
          <w:t>3.6.7 Luna改写与筛选的真实诊断</w:t>
        </w:r>
        <w:r>
          <w:rPr>
            <w:rFonts w:ascii="Times New Roman" w:hAnsi="Times New Roman" w:eastAsia="Songti SC"/>
            <w:color w:val="000000"/>
            <w:sz w:val="22"/>
          </w:rPr>
          <w:tab/>
          <w:t>36</w:t>
        </w:r>
      </w:hyperlink>
    </w:p>
    <w:p>
      <w:pPr>
        <w:pStyle w:val="TOC2"/>
      </w:pPr>
      <w:hyperlink w:anchor="v14_63" w:history="1">
        <w:r>
          <w:rPr>
            <w:rFonts w:ascii="Times New Roman" w:hAnsi="Times New Roman" w:eastAsia="Songti SC"/>
            <w:color w:val="000000"/>
            <w:sz w:val="22"/>
          </w:rPr>
          <w:t>3.7 本章小结</w:t>
        </w:r>
        <w:r>
          <w:rPr>
            <w:rFonts w:ascii="Times New Roman" w:hAnsi="Times New Roman" w:eastAsia="Songti SC"/>
            <w:color w:val="000000"/>
            <w:sz w:val="22"/>
          </w:rPr>
          <w:tab/>
          <w:t>37</w:t>
        </w:r>
      </w:hyperlink>
    </w:p>
    <w:p>
      <w:pPr>
        <w:pStyle w:val="TOC1"/>
        <w:keepNext/>
        <w:spacing w:before="120"/>
      </w:pPr>
      <w:hyperlink w:anchor="v14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38</w:t>
        </w:r>
      </w:hyperlink>
    </w:p>
    <w:p>
      <w:pPr>
        <w:pStyle w:val="TOC2"/>
      </w:pPr>
      <w:hyperlink w:anchor="v14_65" w:history="1">
        <w:r>
          <w:rPr>
            <w:rFonts w:ascii="Times New Roman" w:hAnsi="Times New Roman" w:eastAsia="Songti SC"/>
            <w:color w:val="000000"/>
            <w:sz w:val="22"/>
          </w:rPr>
          <w:t>4.1 引言</w:t>
        </w:r>
        <w:r>
          <w:rPr>
            <w:rFonts w:ascii="Times New Roman" w:hAnsi="Times New Roman" w:eastAsia="Songti SC"/>
            <w:color w:val="000000"/>
            <w:sz w:val="22"/>
          </w:rPr>
          <w:tab/>
          <w:t>38</w:t>
        </w:r>
      </w:hyperlink>
    </w:p>
    <w:p>
      <w:pPr>
        <w:pStyle w:val="TOC2"/>
      </w:pPr>
      <w:hyperlink w:anchor="v14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40</w:t>
        </w:r>
      </w:hyperlink>
    </w:p>
    <w:p>
      <w:pPr>
        <w:pStyle w:val="TOC3"/>
      </w:pPr>
      <w:hyperlink w:anchor="v14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40</w:t>
        </w:r>
      </w:hyperlink>
    </w:p>
    <w:p>
      <w:pPr>
        <w:pStyle w:val="TOC3"/>
      </w:pPr>
      <w:hyperlink w:anchor="v14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41</w:t>
        </w:r>
      </w:hyperlink>
    </w:p>
    <w:p>
      <w:pPr>
        <w:pStyle w:val="TOC3"/>
      </w:pPr>
      <w:hyperlink w:anchor="v14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42</w:t>
        </w:r>
      </w:hyperlink>
    </w:p>
    <w:p>
      <w:pPr>
        <w:pStyle w:val="TOC3"/>
      </w:pPr>
      <w:hyperlink w:anchor="v14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42</w:t>
        </w:r>
      </w:hyperlink>
    </w:p>
    <w:p>
      <w:pPr>
        <w:pStyle w:val="TOC3"/>
      </w:pPr>
      <w:hyperlink w:anchor="v14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43</w:t>
        </w:r>
      </w:hyperlink>
    </w:p>
    <w:p>
      <w:pPr>
        <w:pStyle w:val="TOC2"/>
      </w:pPr>
      <w:hyperlink w:anchor="v14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43</w:t>
        </w:r>
      </w:hyperlink>
    </w:p>
    <w:p>
      <w:pPr>
        <w:pStyle w:val="TOC3"/>
      </w:pPr>
      <w:hyperlink w:anchor="v14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43</w:t>
        </w:r>
      </w:hyperlink>
    </w:p>
    <w:p>
      <w:pPr>
        <w:pStyle w:val="TOC3"/>
      </w:pPr>
      <w:hyperlink w:anchor="v14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44</w:t>
        </w:r>
      </w:hyperlink>
    </w:p>
    <w:p>
      <w:pPr>
        <w:pStyle w:val="TOC2"/>
      </w:pPr>
      <w:hyperlink w:anchor="v14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45</w:t>
        </w:r>
      </w:hyperlink>
    </w:p>
    <w:p>
      <w:pPr>
        <w:pStyle w:val="TOC3"/>
      </w:pPr>
      <w:hyperlink w:anchor="v14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45</w:t>
        </w:r>
      </w:hyperlink>
    </w:p>
    <w:p>
      <w:pPr>
        <w:pStyle w:val="TOC3"/>
      </w:pPr>
      <w:hyperlink w:anchor="v14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46</w:t>
        </w:r>
      </w:hyperlink>
    </w:p>
    <w:p>
      <w:pPr>
        <w:pStyle w:val="TOC3"/>
      </w:pPr>
      <w:hyperlink w:anchor="v14_78" w:history="1">
        <w:r>
          <w:rPr>
            <w:rFonts w:ascii="Times New Roman" w:hAnsi="Times New Roman" w:eastAsia="Songti SC"/>
            <w:color w:val="000000"/>
            <w:sz w:val="22"/>
          </w:rPr>
          <w:t>4.4.3 固定计数效用</w:t>
        </w:r>
        <w:r>
          <w:rPr>
            <w:rFonts w:ascii="Times New Roman" w:hAnsi="Times New Roman" w:eastAsia="Songti SC"/>
            <w:color w:val="000000"/>
            <w:sz w:val="22"/>
          </w:rPr>
          <w:tab/>
          <w:t>47</w:t>
        </w:r>
      </w:hyperlink>
    </w:p>
    <w:p>
      <w:pPr>
        <w:pStyle w:val="TOC3"/>
      </w:pPr>
      <w:hyperlink w:anchor="v14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47</w:t>
        </w:r>
      </w:hyperlink>
    </w:p>
    <w:p>
      <w:pPr>
        <w:pStyle w:val="TOC3"/>
      </w:pPr>
      <w:hyperlink w:anchor="v14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48</w:t>
        </w:r>
      </w:hyperlink>
    </w:p>
    <w:p>
      <w:pPr>
        <w:pStyle w:val="TOC2"/>
      </w:pPr>
      <w:hyperlink w:anchor="v14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49</w:t>
        </w:r>
      </w:hyperlink>
    </w:p>
    <w:p>
      <w:pPr>
        <w:pStyle w:val="TOC3"/>
      </w:pPr>
      <w:hyperlink w:anchor="v14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49</w:t>
        </w:r>
      </w:hyperlink>
    </w:p>
    <w:p>
      <w:pPr>
        <w:pStyle w:val="TOC3"/>
      </w:pPr>
      <w:hyperlink w:anchor="v14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50</w:t>
        </w:r>
      </w:hyperlink>
    </w:p>
    <w:p>
      <w:pPr>
        <w:pStyle w:val="TOC3"/>
      </w:pPr>
      <w:hyperlink w:anchor="v14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52</w:t>
        </w:r>
      </w:hyperlink>
    </w:p>
    <w:p>
      <w:pPr>
        <w:pStyle w:val="TOC3"/>
      </w:pPr>
      <w:hyperlink w:anchor="v14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53</w:t>
        </w:r>
      </w:hyperlink>
    </w:p>
    <w:p>
      <w:pPr>
        <w:pStyle w:val="TOC3"/>
      </w:pPr>
      <w:hyperlink w:anchor="v14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53</w:t>
        </w:r>
      </w:hyperlink>
    </w:p>
    <w:p>
      <w:pPr>
        <w:pStyle w:val="TOC2"/>
      </w:pPr>
      <w:hyperlink w:anchor="v14_87" w:history="1">
        <w:r>
          <w:rPr>
            <w:rFonts w:ascii="Times New Roman" w:hAnsi="Times New Roman" w:eastAsia="Songti SC"/>
            <w:color w:val="000000"/>
            <w:sz w:val="22"/>
          </w:rPr>
          <w:t>4.6 实验与分析</w:t>
        </w:r>
        <w:r>
          <w:rPr>
            <w:rFonts w:ascii="Times New Roman" w:hAnsi="Times New Roman" w:eastAsia="Songti SC"/>
            <w:color w:val="000000"/>
            <w:sz w:val="22"/>
          </w:rPr>
          <w:tab/>
          <w:t>53</w:t>
        </w:r>
      </w:hyperlink>
    </w:p>
    <w:p>
      <w:pPr>
        <w:pStyle w:val="TOC3"/>
      </w:pPr>
      <w:hyperlink w:anchor="v14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54</w:t>
        </w:r>
      </w:hyperlink>
    </w:p>
    <w:p>
      <w:pPr>
        <w:pStyle w:val="TOC3"/>
      </w:pPr>
      <w:hyperlink w:anchor="v14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57</w:t>
        </w:r>
      </w:hyperlink>
    </w:p>
    <w:p>
      <w:pPr>
        <w:pStyle w:val="TOC3"/>
      </w:pPr>
      <w:hyperlink w:anchor="v14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59</w:t>
        </w:r>
      </w:hyperlink>
    </w:p>
    <w:p>
      <w:pPr>
        <w:pStyle w:val="TOC3"/>
      </w:pPr>
      <w:hyperlink w:anchor="v14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60</w:t>
        </w:r>
      </w:hyperlink>
    </w:p>
    <w:p>
      <w:pPr>
        <w:pStyle w:val="TOC3"/>
      </w:pPr>
      <w:hyperlink w:anchor="v14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61</w:t>
        </w:r>
      </w:hyperlink>
    </w:p>
    <w:p>
      <w:pPr>
        <w:pStyle w:val="TOC3"/>
      </w:pPr>
      <w:hyperlink w:anchor="v14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63</w:t>
        </w:r>
      </w:hyperlink>
    </w:p>
    <w:p>
      <w:pPr>
        <w:pStyle w:val="TOC3"/>
      </w:pPr>
      <w:hyperlink w:anchor="v14_94" w:history="1">
        <w:r>
          <w:rPr>
            <w:rFonts w:ascii="Times New Roman" w:hAnsi="Times New Roman" w:eastAsia="Songti SC"/>
            <w:color w:val="000000"/>
            <w:sz w:val="22"/>
          </w:rPr>
          <w:t>4.6.7 案例分析</w:t>
        </w:r>
        <w:r>
          <w:rPr>
            <w:rFonts w:ascii="Times New Roman" w:hAnsi="Times New Roman" w:eastAsia="Songti SC"/>
            <w:color w:val="000000"/>
            <w:sz w:val="22"/>
          </w:rPr>
          <w:tab/>
          <w:t>63</w:t>
        </w:r>
      </w:hyperlink>
    </w:p>
    <w:p>
      <w:pPr>
        <w:pStyle w:val="TOC3"/>
      </w:pPr>
      <w:hyperlink w:anchor="v11_evidence_250" w:history="1">
        <w:r>
          <w:rPr>
            <w:rFonts w:ascii="Times New Roman" w:hAnsi="Times New Roman" w:eastAsia="Songti SC"/>
            <w:color w:val="000000"/>
            <w:sz w:val="22"/>
          </w:rPr>
          <w:t>4.6.8 候选修复与求解范围的真实对照</w:t>
        </w:r>
        <w:r>
          <w:rPr>
            <w:rFonts w:ascii="Times New Roman" w:hAnsi="Times New Roman" w:eastAsia="Songti SC"/>
            <w:color w:val="000000"/>
            <w:sz w:val="22"/>
          </w:rPr>
          <w:tab/>
          <w:t>66</w:t>
        </w:r>
      </w:hyperlink>
    </w:p>
    <w:p>
      <w:pPr>
        <w:pStyle w:val="TOC2"/>
      </w:pPr>
      <w:hyperlink w:anchor="v14_95" w:history="1">
        <w:r>
          <w:rPr>
            <w:rFonts w:ascii="Times New Roman" w:hAnsi="Times New Roman" w:eastAsia="Songti SC"/>
            <w:color w:val="000000"/>
            <w:sz w:val="22"/>
          </w:rPr>
          <w:t>4.7 本章小结</w:t>
        </w:r>
        <w:r>
          <w:rPr>
            <w:rFonts w:ascii="Times New Roman" w:hAnsi="Times New Roman" w:eastAsia="Songti SC"/>
            <w:color w:val="000000"/>
            <w:sz w:val="22"/>
          </w:rPr>
          <w:tab/>
          <w:t>68</w:t>
        </w:r>
      </w:hyperlink>
    </w:p>
    <w:p>
      <w:pPr>
        <w:pStyle w:val="TOC1"/>
        <w:keepNext/>
        <w:spacing w:before="120"/>
      </w:pPr>
      <w:hyperlink w:anchor="v14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69</w:t>
        </w:r>
      </w:hyperlink>
    </w:p>
    <w:p>
      <w:pPr>
        <w:pStyle w:val="TOC2"/>
      </w:pPr>
      <w:hyperlink w:anchor="v14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69</w:t>
        </w:r>
      </w:hyperlink>
    </w:p>
    <w:p>
      <w:pPr>
        <w:pStyle w:val="TOC2"/>
      </w:pPr>
      <w:hyperlink w:anchor="v14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70</w:t>
        </w:r>
      </w:hyperlink>
    </w:p>
    <w:p>
      <w:pPr>
        <w:pStyle w:val="TOC2"/>
      </w:pPr>
      <w:hyperlink w:anchor="v14_99" w:history="1">
        <w:r>
          <w:rPr>
            <w:rFonts w:ascii="Times New Roman" w:hAnsi="Times New Roman" w:eastAsia="Songti SC"/>
            <w:color w:val="000000"/>
            <w:sz w:val="22"/>
          </w:rPr>
          <w:t>5.3 训练完成后的在线配置取舍</w:t>
        </w:r>
        <w:r>
          <w:rPr>
            <w:rFonts w:ascii="Times New Roman" w:hAnsi="Times New Roman" w:eastAsia="Songti SC"/>
            <w:color w:val="000000"/>
            <w:sz w:val="22"/>
          </w:rPr>
          <w:tab/>
          <w:t>72</w:t>
        </w:r>
      </w:hyperlink>
    </w:p>
    <w:p>
      <w:pPr>
        <w:pStyle w:val="TOC2"/>
      </w:pPr>
      <w:hyperlink w:anchor="v11_evidence_253" w:history="1">
        <w:r>
          <w:rPr>
            <w:rFonts w:ascii="Times New Roman" w:hAnsi="Times New Roman" w:eastAsia="Songti SC"/>
            <w:color w:val="000000"/>
            <w:sz w:val="22"/>
          </w:rPr>
          <w:t>5.4 同计数四格的对象成员分析</w:t>
        </w:r>
        <w:r>
          <w:rPr>
            <w:rFonts w:ascii="Times New Roman" w:hAnsi="Times New Roman" w:eastAsia="Songti SC"/>
            <w:color w:val="000000"/>
            <w:sz w:val="22"/>
          </w:rPr>
          <w:tab/>
          <w:t>72</w:t>
        </w:r>
      </w:hyperlink>
      <w:r>
        <w:fldChar w:fldCharType="end"/>
      </w:r>
    </w:p>
    <w:p>
      <w:pPr>
        <w:pStyle w:val="TOC2"/>
      </w:pPr>
      <w:hyperlink w:anchor="v14_100" w:history="1">
        <w:r>
          <w:rPr>
            <w:rFonts w:ascii="Times New Roman" w:hAnsi="Times New Roman" w:eastAsia="Songti SC"/>
            <w:color w:val="000000"/>
            <w:sz w:val="22"/>
          </w:rPr>
          <w:t>5.5 本章小结</w:t>
        </w:r>
        <w:r>
          <w:rPr>
            <w:rFonts w:ascii="Times New Roman" w:hAnsi="Times New Roman" w:eastAsia="Songti SC"/>
            <w:color w:val="000000"/>
            <w:sz w:val="22"/>
          </w:rPr>
          <w:tab/>
          <w:t>73</w:t>
        </w:r>
      </w:hyperlink>
    </w:p>
    <w:p>
      <w:pPr>
        <w:pStyle w:val="TOC1"/>
        <w:keepNext/>
        <w:spacing w:before="120"/>
      </w:pPr>
      <w:hyperlink w:anchor="v14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74</w:t>
        </w:r>
      </w:hyperlink>
    </w:p>
    <w:p>
      <w:pPr>
        <w:pStyle w:val="TOC2"/>
      </w:pPr>
      <w:hyperlink w:anchor="v14_102" w:history="1">
        <w:r>
          <w:rPr>
            <w:rFonts w:ascii="Times New Roman" w:hAnsi="Times New Roman" w:eastAsia="Songti SC"/>
            <w:color w:val="000000"/>
            <w:sz w:val="22"/>
          </w:rPr>
          <w:t>6.1 研究总结</w:t>
        </w:r>
        <w:r>
          <w:rPr>
            <w:rFonts w:ascii="Times New Roman" w:hAnsi="Times New Roman" w:eastAsia="Songti SC"/>
            <w:color w:val="000000"/>
            <w:sz w:val="22"/>
          </w:rPr>
          <w:tab/>
          <w:t>74</w:t>
        </w:r>
      </w:hyperlink>
    </w:p>
    <w:p>
      <w:pPr>
        <w:pStyle w:val="TOC2"/>
      </w:pPr>
      <w:hyperlink w:anchor="v14_103" w:history="1">
        <w:r>
          <w:rPr>
            <w:rFonts w:ascii="Times New Roman" w:hAnsi="Times New Roman" w:eastAsia="Songti SC"/>
            <w:color w:val="000000"/>
            <w:sz w:val="22"/>
          </w:rPr>
          <w:t>6.2 研究局限</w:t>
        </w:r>
        <w:r>
          <w:rPr>
            <w:rFonts w:ascii="Times New Roman" w:hAnsi="Times New Roman" w:eastAsia="Songti SC"/>
            <w:color w:val="000000"/>
            <w:sz w:val="22"/>
          </w:rPr>
          <w:tab/>
          <w:t>74</w:t>
        </w:r>
      </w:hyperlink>
    </w:p>
    <w:p>
      <w:pPr>
        <w:pStyle w:val="TOC2"/>
      </w:pPr>
      <w:hyperlink w:anchor="v14_104" w:history="1">
        <w:r>
          <w:rPr>
            <w:rFonts w:ascii="Times New Roman" w:hAnsi="Times New Roman" w:eastAsia="Songti SC"/>
            <w:color w:val="000000"/>
            <w:sz w:val="22"/>
          </w:rPr>
          <w:t>6.3 后续研究方向</w:t>
        </w:r>
        <w:r>
          <w:rPr>
            <w:rFonts w:ascii="Times New Roman" w:hAnsi="Times New Roman" w:eastAsia="Songti SC"/>
            <w:color w:val="000000"/>
            <w:sz w:val="22"/>
          </w:rPr>
          <w:tab/>
          <w:t>75</w:t>
        </w:r>
      </w:hyperlink>
    </w:p>
    <w:p>
      <w:pPr>
        <w:pStyle w:val="TOC1"/>
        <w:keepNext/>
        <w:spacing w:before="120"/>
      </w:pPr>
      <w:hyperlink w:anchor="v14_105" w:history="1">
        <w:r>
          <w:rPr>
            <w:rFonts w:ascii="Times New Roman" w:hAnsi="Times New Roman" w:eastAsia="Songti SC"/>
            <w:color w:val="000000"/>
            <w:sz w:val="22"/>
          </w:rPr>
          <w:t>参考文献</w:t>
        </w:r>
        <w:r>
          <w:rPr>
            <w:rFonts w:ascii="Times New Roman" w:hAnsi="Times New Roman" w:eastAsia="Songti SC"/>
            <w:color w:val="000000"/>
            <w:sz w:val="22"/>
          </w:rPr>
          <w:tab/>
          <w:t>76</w:t>
        </w:r>
      </w:hyperlink>
    </w:p>
    <w:p>
      <w:pPr>
        <w:pStyle w:val="TOC1"/>
        <w:keepNext/>
        <w:spacing w:before="120"/>
      </w:pPr>
      <w:hyperlink w:anchor="v14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80</w:t>
        </w:r>
      </w:hyperlink>
    </w:p>
    <w:p>
      <w:pPr>
        <w:pStyle w:val="TOC2"/>
      </w:pPr>
      <w:hyperlink w:anchor="v14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80</w:t>
        </w:r>
      </w:hyperlink>
    </w:p>
    <w:p>
      <w:pPr>
        <w:pStyle w:val="TOC2"/>
      </w:pPr>
      <w:hyperlink w:anchor="v14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80</w:t>
        </w:r>
      </w:hyperlink>
    </w:p>
    <w:p>
      <w:pPr>
        <w:pStyle w:val="TOC2"/>
      </w:pPr>
      <w:hyperlink w:anchor="v14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81</w:t>
        </w:r>
      </w:hyperlink>
    </w:p>
    <w:p>
      <w:pPr>
        <w:pStyle w:val="TOC2"/>
      </w:pPr>
      <w:hyperlink w:anchor="v14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81</w:t>
        </w:r>
      </w:hyperlink>
    </w:p>
    <w:p>
      <w:pPr>
        <w:pStyle w:val="TOC2"/>
      </w:pPr>
      <w:hyperlink w:anchor="v14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82</w:t>
        </w:r>
      </w:hyperlink>
    </w:p>
    <w:p>
      <w:pPr>
        <w:pStyle w:val="TOC2"/>
      </w:pPr>
      <w:hyperlink w:anchor="v14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83</w:t>
        </w:r>
      </w:hyperlink>
    </w:p>
    <w:p>
      <w:pPr>
        <w:pStyle w:val="TOC1"/>
        <w:keepNext/>
        <w:spacing w:before="120"/>
      </w:pPr>
      <w:hyperlink w:anchor="v14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84</w:t>
        </w:r>
      </w:hyperlink>
    </w:p>
    <w:p>
      <w:pPr>
        <w:pStyle w:val="TOC2"/>
      </w:pPr>
      <w:hyperlink w:anchor="v14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84</w:t>
        </w:r>
      </w:hyperlink>
    </w:p>
    <w:p>
      <w:pPr>
        <w:pStyle w:val="TOC2"/>
      </w:pPr>
      <w:hyperlink w:anchor="v14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84</w:t>
        </w:r>
      </w:hyperlink>
    </w:p>
    <w:p>
      <w:pPr>
        <w:pStyle w:val="TOC2"/>
      </w:pPr>
      <w:hyperlink w:anchor="v14_116" w:history="1">
        <w:r>
          <w:rPr>
            <w:rFonts w:ascii="Times New Roman" w:hAnsi="Times New Roman" w:eastAsia="Songti SC"/>
            <w:color w:val="000000"/>
            <w:sz w:val="22"/>
          </w:rPr>
          <w:t>B.3 回退与预算</w:t>
        </w:r>
        <w:r>
          <w:rPr>
            <w:rFonts w:ascii="Times New Roman" w:hAnsi="Times New Roman" w:eastAsia="Songti SC"/>
            <w:color w:val="000000"/>
            <w:sz w:val="22"/>
          </w:rPr>
          <w:tab/>
          <w:t>84</w:t>
        </w:r>
      </w:hyperlink>
    </w:p>
    <w:p>
      <w:pPr>
        <w:pStyle w:val="TOC2"/>
      </w:pPr>
      <w:hyperlink w:anchor="v14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85</w:t>
        </w:r>
      </w:hyperlink>
    </w:p>
    <w:p>
      <w:pPr>
        <w:pStyle w:val="TOC3"/>
      </w:pPr>
      <w:hyperlink w:anchor="v14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85</w:t>
        </w:r>
      </w:hyperlink>
    </w:p>
    <w:p>
      <w:pPr>
        <w:pStyle w:val="TOC3"/>
      </w:pPr>
      <w:hyperlink w:anchor="v14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85</w:t>
        </w:r>
      </w:hyperlink>
    </w:p>
    <w:p>
      <w:pPr>
        <w:pStyle w:val="TOC3"/>
      </w:pPr>
      <w:hyperlink w:anchor="v14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85</w:t>
        </w:r>
      </w:hyperlink>
    </w:p>
    <w:p>
      <w:pPr>
        <w:pStyle w:val="TOC2"/>
      </w:pPr>
      <w:hyperlink w:anchor="v14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86</w:t>
        </w:r>
      </w:hyperlink>
    </w:p>
    <w:p>
      <w:pPr>
        <w:pStyle w:val="TOC2"/>
      </w:pPr>
      <w:hyperlink w:anchor="v14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87</w:t>
        </w:r>
      </w:hyperlink>
    </w:p>
    <w:p>
      <w:pPr>
        <w:pStyle w:val="TOC1"/>
        <w:keepNext/>
        <w:spacing w:before="120"/>
      </w:pPr>
      <w:hyperlink w:anchor="v14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88</w:t>
        </w:r>
      </w:hyperlink>
    </w:p>
    <w:p>
      <w:pPr>
        <w:pStyle w:val="TOC2"/>
      </w:pPr>
      <w:hyperlink w:anchor="v14_124" w:history="1">
        <w:r>
          <w:rPr>
            <w:rFonts w:ascii="Times New Roman" w:hAnsi="Times New Roman" w:eastAsia="Songti SC"/>
            <w:color w:val="000000"/>
            <w:sz w:val="22"/>
          </w:rPr>
          <w:t>C.1 前期共同成果</w:t>
        </w:r>
        <w:r>
          <w:rPr>
            <w:rFonts w:ascii="Times New Roman" w:hAnsi="Times New Roman" w:eastAsia="Songti SC"/>
            <w:color w:val="000000"/>
            <w:sz w:val="22"/>
          </w:rPr>
          <w:tab/>
          <w:t>88</w:t>
        </w:r>
      </w:hyperlink>
    </w:p>
    <w:p>
      <w:pPr>
        <w:pStyle w:val="TOC2"/>
      </w:pPr>
      <w:hyperlink w:anchor="v14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88</w:t>
        </w:r>
      </w:hyperlink>
    </w:p>
    <w:p>
      <w:pPr>
        <w:pStyle w:val="TOC2"/>
      </w:pPr>
      <w:hyperlink w:anchor="v14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88</w:t>
        </w:r>
      </w:hyperlink>
    </w:p>
    <w:p>
      <w:pPr>
        <w:pStyle w:val="TOC2"/>
      </w:pPr>
      <w:hyperlink w:anchor="v14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88</w:t>
        </w:r>
      </w:hyperlink>
    </w:p>
    <w:p>
      <w:pPr>
        <w:pStyle w:val="TOC1"/>
        <w:keepNext/>
        <w:spacing w:before="120"/>
      </w:pPr>
      <w:hyperlink w:anchor="v14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89</w:t>
        </w:r>
      </w:hyperlink>
    </w:p>
    <w:p>
      <w:pPr>
        <w:pStyle w:val="TOC2"/>
      </w:pPr>
      <w:hyperlink w:anchor="v14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89</w:t>
        </w:r>
      </w:hyperlink>
    </w:p>
    <w:p>
      <w:pPr>
        <w:pStyle w:val="TOC2"/>
      </w:pPr>
      <w:hyperlink w:anchor="v14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89</w:t>
        </w:r>
      </w:hyperlink>
    </w:p>
    <w:p>
      <w:pPr>
        <w:pStyle w:val="TOC2"/>
      </w:pPr>
      <w:hyperlink w:anchor="v14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89</w:t>
        </w:r>
      </w:hyperlink>
    </w:p>
    <w:p>
      <w:pPr>
        <w:pStyle w:val="TOC2"/>
      </w:pPr>
      <w:hyperlink w:anchor="v14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93</w:t>
        </w:r>
      </w:hyperlink>
    </w:p>
    <w:p>
      <w:pPr>
        <w:pStyle w:val="TOC2"/>
      </w:pPr>
      <w:hyperlink w:anchor="v14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94</w:t>
        </w:r>
      </w:hyperlink>
    </w:p>
    <w:p>
      <w:pPr>
        <w:pStyle w:val="TOC2"/>
      </w:pPr>
      <w:hyperlink w:anchor="v14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94</w:t>
        </w:r>
      </w:hyperlink>
    </w:p>
    <w:p>
      <w:pPr>
        <w:pStyle w:val="TOC2"/>
      </w:pPr>
      <w:hyperlink w:anchor="v9_real_232" w:history="1">
        <w:r>
          <w:rPr>
            <w:rFonts w:ascii="Times New Roman" w:hAnsi="Times New Roman" w:eastAsia="Songti SC"/>
            <w:color w:val="000000"/>
            <w:sz w:val="22"/>
          </w:rPr>
          <w:t>D.7 初始Luna试验的条件与来源</w:t>
        </w:r>
        <w:r>
          <w:rPr>
            <w:rFonts w:ascii="Times New Roman" w:hAnsi="Times New Roman" w:eastAsia="Songti SC"/>
            <w:color w:val="000000"/>
            <w:sz w:val="22"/>
          </w:rPr>
          <w:tab/>
          <w:t>95</w:t>
        </w:r>
      </w:hyperlink>
    </w:p>
    <w:p>
      <w:pPr>
        <w:pStyle w:val="TOC2"/>
      </w:pPr>
      <w:hyperlink w:anchor="v9_real_233" w:history="1">
        <w:r>
          <w:rPr>
            <w:rFonts w:ascii="Times New Roman" w:hAnsi="Times New Roman" w:eastAsia="Songti SC"/>
            <w:color w:val="000000"/>
            <w:sz w:val="22"/>
          </w:rPr>
          <w:t>D.8 初始批的完整计数与逐文档结果</w:t>
        </w:r>
        <w:r>
          <w:rPr>
            <w:rFonts w:ascii="Times New Roman" w:hAnsi="Times New Roman" w:eastAsia="Songti SC"/>
            <w:color w:val="000000"/>
            <w:sz w:val="22"/>
          </w:rPr>
          <w:tab/>
          <w:t>96</w:t>
        </w:r>
      </w:hyperlink>
    </w:p>
    <w:p>
      <w:pPr>
        <w:pStyle w:val="TOC2"/>
      </w:pPr>
      <w:hyperlink w:anchor="v9_real_236" w:history="1">
        <w:r>
          <w:rPr>
            <w:rFonts w:ascii="Times New Roman" w:hAnsi="Times New Roman" w:eastAsia="Songti SC"/>
            <w:color w:val="000000"/>
            <w:sz w:val="22"/>
          </w:rPr>
          <w:t>D.9 初始批的执行与解释边界</w:t>
        </w:r>
        <w:r>
          <w:rPr>
            <w:rFonts w:ascii="Times New Roman" w:hAnsi="Times New Roman" w:eastAsia="Songti SC"/>
            <w:color w:val="000000"/>
            <w:sz w:val="22"/>
          </w:rPr>
          <w:tab/>
          <w:t>97</w:t>
        </w:r>
      </w:hyperlink>
    </w:p>
    <w:p>
      <w:pPr>
        <w:pStyle w:val="TOC2"/>
      </w:pPr>
      <w:hyperlink w:anchor="v10_real_240" w:history="1">
        <w:r>
          <w:rPr>
            <w:rFonts w:ascii="Times New Roman" w:hAnsi="Times New Roman" w:eastAsia="Songti SC"/>
            <w:color w:val="000000"/>
            <w:sz w:val="22"/>
          </w:rPr>
          <w:t>D.10 探索性扩样与对象诊断</w:t>
        </w:r>
        <w:r>
          <w:rPr>
            <w:rFonts w:ascii="Times New Roman" w:hAnsi="Times New Roman" w:eastAsia="Songti SC"/>
            <w:color w:val="000000"/>
            <w:sz w:val="22"/>
          </w:rPr>
          <w:tab/>
          <w:t>98</w:t>
        </w:r>
      </w:hyperlink>
    </w:p>
    <w:p>
      <w:pPr>
        <w:pStyle w:val="TOC2"/>
      </w:pPr>
      <w:hyperlink w:anchor="v10_real_242" w:history="1">
        <w:r>
          <w:rPr>
            <w:rFonts w:ascii="Times New Roman" w:hAnsi="Times New Roman" w:eastAsia="Songti SC"/>
            <w:color w:val="000000"/>
            <w:sz w:val="22"/>
          </w:rPr>
          <w:t>D.11 新增语料的来源与固定试验</w:t>
        </w:r>
        <w:r>
          <w:rPr>
            <w:rFonts w:ascii="Times New Roman" w:hAnsi="Times New Roman" w:eastAsia="Songti SC"/>
            <w:color w:val="000000"/>
            <w:sz w:val="22"/>
          </w:rPr>
          <w:tab/>
          <w:t>99</w:t>
        </w:r>
      </w:hyperlink>
    </w:p>
    <w:p>
      <w:pPr>
        <w:pStyle w:val="TOC2"/>
      </w:pPr>
      <w:hyperlink w:anchor="v10_real_244" w:history="1">
        <w:r>
          <w:rPr>
            <w:rFonts w:ascii="Times New Roman" w:hAnsi="Times New Roman" w:eastAsia="Songti SC"/>
            <w:color w:val="000000"/>
            <w:sz w:val="22"/>
          </w:rPr>
          <w:t>D.12 CDCP原生评分接口的配对检查</w:t>
        </w:r>
        <w:r>
          <w:rPr>
            <w:rFonts w:ascii="Times New Roman" w:hAnsi="Times New Roman" w:eastAsia="Songti SC"/>
            <w:color w:val="000000"/>
            <w:sz w:val="22"/>
          </w:rPr>
          <w:tab/>
          <w:t>100</w:t>
        </w:r>
      </w:hyperlink>
    </w:p>
    <w:p>
      <w:pPr>
        <w:pStyle w:val="TOC2"/>
      </w:pPr>
      <w:hyperlink w:anchor="v11_evidence_255" w:history="1">
        <w:r>
          <w:rPr>
            <w:rFonts w:ascii="Times New Roman" w:hAnsi="Times New Roman" w:eastAsia="Songti SC"/>
            <w:color w:val="000000"/>
            <w:sz w:val="22"/>
          </w:rPr>
          <w:t>D.13 新增改写、候选与求解的运行身份</w:t>
        </w:r>
        <w:r>
          <w:rPr>
            <w:rFonts w:ascii="Times New Roman" w:hAnsi="Times New Roman" w:eastAsia="Songti SC"/>
            <w:color w:val="000000"/>
            <w:sz w:val="22"/>
          </w:rPr>
          <w:tab/>
          <w:t>102</w:t>
        </w:r>
      </w:hyperlink>
      <w:r>
        <w:fldChar w:fldCharType="end"/>
      </w:r>
    </w:p>
    <w:p>
      <w:pPr>
        <w:pStyle w:val="TOC1"/>
        <w:keepNext/>
        <w:spacing w:before="120"/>
      </w:pPr>
      <w:hyperlink w:anchor="v14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104</w:t>
        </w:r>
      </w:hyperlink>
    </w:p>
    <w:p>
      <w:pPr>
        <w:pStyle w:val="TOC2"/>
      </w:pPr>
      <w:hyperlink w:anchor="v14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104</w:t>
        </w:r>
      </w:hyperlink>
    </w:p>
    <w:p>
      <w:pPr>
        <w:pStyle w:val="TOC2"/>
      </w:pPr>
      <w:hyperlink w:anchor="v14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104</w:t>
        </w:r>
      </w:hyperlink>
    </w:p>
    <w:p>
      <w:pPr>
        <w:pStyle w:val="TOC2"/>
      </w:pPr>
      <w:hyperlink w:anchor="v14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105</w:t>
        </w:r>
      </w:hyperlink>
    </w:p>
    <w:p>
      <w:pPr>
        <w:pStyle w:val="TOC2"/>
      </w:pPr>
      <w:hyperlink w:anchor="v14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105</w:t>
        </w:r>
      </w:hyperlink>
    </w:p>
    <w:p>
      <w:pPr>
        <w:pStyle w:val="TOC2"/>
      </w:pPr>
      <w:hyperlink w:anchor="v14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106</w:t>
        </w:r>
      </w:hyperlink>
    </w:p>
    <w:p>
      <w:pPr>
        <w:pStyle w:val="TOC2"/>
      </w:pPr>
      <w:hyperlink w:anchor="v14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106</w:t>
        </w:r>
      </w:hyperlink>
    </w:p>
    <w:p>
      <w:pPr>
        <w:pStyle w:val="TOC2"/>
      </w:pPr>
      <w:hyperlink w:anchor="v14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106</w:t>
        </w:r>
      </w:hyperlink>
    </w:p>
    <w:p>
      <w:pPr>
        <w:pStyle w:val="TOC2"/>
      </w:pPr>
      <w:hyperlink w:anchor="v14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107</w:t>
        </w:r>
      </w:hyperlink>
    </w:p>
    <w:p>
      <w:pPr>
        <w:pStyle w:val="TOC2"/>
      </w:pPr>
      <w:hyperlink w:anchor="v14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108</w:t>
        </w:r>
      </w:hyperlink>
    </w:p>
    <w:p>
      <w:pPr>
        <w:pStyle w:val="TOC1"/>
        <w:keepNext/>
        <w:spacing w:before="120"/>
      </w:pPr>
      <w:hyperlink w:anchor="v14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109</w:t>
        </w:r>
      </w:hyperlink>
    </w:p>
    <w:p>
      <w:pPr>
        <w:pStyle w:val="TOC2"/>
      </w:pPr>
      <w:hyperlink w:anchor="v14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109</w:t>
        </w:r>
      </w:hyperlink>
    </w:p>
    <w:p>
      <w:pPr>
        <w:pStyle w:val="TOC2"/>
      </w:pPr>
      <w:hyperlink w:anchor="v14_147" w:history="1">
        <w:r>
          <w:rPr>
            <w:rFonts w:ascii="Times New Roman" w:hAnsi="Times New Roman" w:eastAsia="Songti SC"/>
            <w:color w:val="000000"/>
            <w:sz w:val="22"/>
          </w:rPr>
          <w:t>F.2 实现接口补充</w:t>
        </w:r>
        <w:r>
          <w:rPr>
            <w:rFonts w:ascii="Times New Roman" w:hAnsi="Times New Roman" w:eastAsia="Songti SC"/>
            <w:color w:val="000000"/>
            <w:sz w:val="22"/>
          </w:rPr>
          <w:tab/>
          <w:t>110</w:t>
        </w:r>
      </w:hyperlink>
    </w:p>
    <w:p>
      <w:pPr>
        <w:pStyle w:val="TOC2"/>
      </w:pPr>
      <w:hyperlink w:anchor="v14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111</w:t>
        </w:r>
      </w:hyperlink>
    </w:p>
    <w:p>
      <w:pPr>
        <w:pStyle w:val="TOC1"/>
        <w:keepNext/>
        <w:spacing w:before="120"/>
      </w:pPr>
      <w:hyperlink w:anchor="v14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112</w:t>
        </w:r>
      </w:hyperlink>
    </w:p>
    <w:p>
      <w:pPr>
        <w:pStyle w:val="TOC2"/>
      </w:pPr>
      <w:hyperlink w:anchor="v14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112</w:t>
        </w:r>
      </w:hyperlink>
    </w:p>
    <w:p>
      <w:pPr>
        <w:pStyle w:val="TOC2"/>
      </w:pPr>
      <w:hyperlink w:anchor="v14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113</w:t>
        </w:r>
      </w:hyperlink>
    </w:p>
    <w:p>
      <w:pPr>
        <w:pStyle w:val="TOC2"/>
      </w:pPr>
      <w:hyperlink w:anchor="v14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113</w:t>
        </w:r>
      </w:hyperlink>
    </w:p>
    <w:p>
      <w:pPr>
        <w:pStyle w:val="TOC2"/>
      </w:pPr>
      <w:hyperlink w:anchor="v14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114</w:t>
        </w:r>
      </w:hyperlink>
    </w:p>
    <w:p>
      <w:pPr>
        <w:pStyle w:val="TOC1"/>
        <w:keepNext/>
        <w:spacing w:before="120"/>
      </w:pPr>
      <w:hyperlink w:anchor="v14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115</w:t>
        </w:r>
      </w:hyperlink>
    </w:p>
    <w:p>
      <w:pPr>
        <w:pStyle w:val="TOC2"/>
      </w:pPr>
      <w:hyperlink w:anchor="v14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115</w:t>
        </w:r>
      </w:hyperlink>
    </w:p>
    <w:p>
      <w:pPr>
        <w:pStyle w:val="TOC2"/>
      </w:pPr>
      <w:hyperlink w:anchor="v14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115</w:t>
        </w:r>
      </w:hyperlink>
    </w:p>
    <w:p>
      <w:pPr>
        <w:pStyle w:val="TOC2"/>
      </w:pPr>
      <w:hyperlink w:anchor="v14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116</w:t>
        </w:r>
      </w:hyperlink>
    </w:p>
    <w:p>
      <w:pPr>
        <w:pStyle w:val="TOC2"/>
      </w:pPr>
      <w:hyperlink w:anchor="v14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117</w:t>
        </w:r>
      </w:hyperlink>
    </w:p>
    <w:p>
      <w:pPr>
        <w:pStyle w:val="TOC2"/>
      </w:pPr>
      <w:hyperlink w:anchor="v14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118</w:t>
        </w:r>
      </w:hyperlink>
    </w:p>
    <w:p>
      <w:pPr>
        <w:pStyle w:val="TOC2"/>
      </w:pPr>
      <w:hyperlink w:anchor="v14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119</w:t>
        </w:r>
      </w:hyperlink>
    </w:p>
    <w:p>
      <w:pPr>
        <w:pStyle w:val="TOC2"/>
      </w:pPr>
      <w:hyperlink w:anchor="v14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120</w:t>
        </w:r>
      </w:hyperlink>
    </w:p>
    <w:p>
      <w:pPr>
        <w:pStyle w:val="TOC2"/>
      </w:pPr>
      <w:hyperlink w:anchor="v14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122</w:t>
        </w:r>
      </w:hyperlink>
      <w:r>
        <w:fldChar w:fldCharType="end"/>
      </w:r>
    </w:p>
    <w:p>
      <w:pPr>
        <w:pStyle w:val="TOC2"/>
      </w:pPr>
      <w:hyperlink w:anchor="v11_evidence_258" w:history="1">
        <w:r>
          <w:rPr>
            <w:rFonts w:ascii="Times New Roman" w:hAnsi="Times New Roman" w:eastAsia="Songti SC"/>
            <w:color w:val="000000"/>
            <w:sz w:val="22"/>
          </w:rPr>
          <w:t>H.9 训练比较与OOF错误链的数字预览</w:t>
        </w:r>
        <w:r>
          <w:rPr>
            <w:rFonts w:ascii="Times New Roman" w:hAnsi="Times New Roman" w:eastAsia="Songti SC"/>
            <w:color w:val="000000"/>
            <w:sz w:val="22"/>
          </w:rPr>
          <w:tab/>
          <w:t>123</w:t>
        </w:r>
      </w:hyperlink>
      <w:r>
        <w:fldChar w:fldCharType="end"/>
      </w:r>
    </w:p>
    <w:p>
      <w:pPr>
        <w:pStyle w:val="TOC2"/>
      </w:pPr>
      <w:hyperlink w:anchor="v11_evidence_261" w:history="1">
        <w:r>
          <w:rPr>
            <w:rFonts w:ascii="Times New Roman" w:hAnsi="Times New Roman" w:eastAsia="Songti SC"/>
            <w:color w:val="000000"/>
            <w:sz w:val="22"/>
          </w:rPr>
          <w:t>H.10 小池实测规模与裁剪成本推测</w:t>
        </w:r>
        <w:r>
          <w:rPr>
            <w:rFonts w:ascii="Times New Roman" w:hAnsi="Times New Roman" w:eastAsia="Songti SC"/>
            <w:color w:val="000000"/>
            <w:sz w:val="22"/>
          </w:rPr>
          <w:tab/>
          <w:t>123</w:t>
        </w:r>
      </w:hyperlink>
      <w:r>
        <w:fldChar w:fldCharType="end"/>
      </w:r>
    </w:p>
    <w:p>
      <w:pPr>
        <w:pStyle w:val="TOC2"/>
      </w:pPr>
      <w:hyperlink w:anchor="v11_evidence_263" w:history="1">
        <w:r>
          <w:rPr>
            <w:rFonts w:ascii="Times New Roman" w:hAnsi="Times New Roman" w:eastAsia="Songti SC"/>
            <w:color w:val="000000"/>
            <w:sz w:val="22"/>
          </w:rPr>
          <w:t>H.11 正式全类型候选的组合规模压力</w:t>
        </w:r>
        <w:r>
          <w:rPr>
            <w:rFonts w:ascii="Times New Roman" w:hAnsi="Times New Roman" w:eastAsia="Songti SC"/>
            <w:color w:val="000000"/>
            <w:sz w:val="22"/>
          </w:rPr>
          <w:tab/>
          <w:t>124</w:t>
        </w:r>
      </w:hyperlink>
      <w:r>
        <w:fldChar w:fldCharType="end"/>
      </w:r>
    </w:p>
    <w:p>
      <w:pPr>
        <w:pStyle w:val="TOC2"/>
      </w:pPr>
      <w:hyperlink w:anchor="v11_evidence_265" w:history="1">
        <w:r>
          <w:rPr>
            <w:rFonts w:ascii="Times New Roman" w:hAnsi="Times New Roman" w:eastAsia="Songti SC"/>
            <w:color w:val="000000"/>
            <w:sz w:val="22"/>
          </w:rPr>
          <w:t>H.12 零增益与负增益情景的整数复算</w:t>
        </w:r>
        <w:r>
          <w:rPr>
            <w:rFonts w:ascii="Times New Roman" w:hAnsi="Times New Roman" w:eastAsia="Songti SC"/>
            <w:color w:val="000000"/>
            <w:sz w:val="22"/>
          </w:rPr>
          <w:tab/>
          <w:t>125</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4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4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7</w:t>
        </w:r>
      </w:hyperlink>
    </w:p>
    <w:p>
      <w:pPr>
        <w:pStyle w:val="FigureList"/>
      </w:pPr>
      <w:hyperlink w:anchor="v14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18</w:t>
        </w:r>
      </w:hyperlink>
    </w:p>
    <w:p>
      <w:pPr>
        <w:pStyle w:val="FigureList"/>
      </w:pPr>
      <w:hyperlink w:anchor="v14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21</w:t>
        </w:r>
      </w:hyperlink>
    </w:p>
    <w:p>
      <w:pPr>
        <w:pStyle w:val="FigureList"/>
      </w:pPr>
      <w:hyperlink w:anchor="v14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25</w:t>
        </w:r>
      </w:hyperlink>
    </w:p>
    <w:p>
      <w:pPr>
        <w:pStyle w:val="FigureList"/>
      </w:pPr>
      <w:hyperlink w:anchor="v14_179" w:history="1">
        <w:r>
          <w:rPr>
            <w:rFonts w:ascii="Times New Roman" w:hAnsi="Times New Roman" w:eastAsia="Songti SC"/>
            <w:color w:val="000000"/>
            <w:sz w:val="22"/>
          </w:rPr>
          <w:t>图3-3 训练方案与学习目标的严格关系结果（估算情景）</w:t>
        </w:r>
        <w:r>
          <w:rPr>
            <w:rFonts w:ascii="Times New Roman" w:hAnsi="Times New Roman" w:eastAsia="Songti SC"/>
            <w:color w:val="000000"/>
            <w:sz w:val="22"/>
          </w:rPr>
          <w:tab/>
          <w:t>34</w:t>
        </w:r>
      </w:hyperlink>
    </w:p>
    <w:p>
      <w:pPr>
        <w:pStyle w:val="FigureList"/>
      </w:pPr>
      <w:hyperlink w:anchor="v14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40</w:t>
        </w:r>
      </w:hyperlink>
    </w:p>
    <w:p>
      <w:pPr>
        <w:pStyle w:val="FigureList"/>
      </w:pPr>
      <w:hyperlink w:anchor="v14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52</w:t>
        </w:r>
      </w:hyperlink>
    </w:p>
    <w:p>
      <w:pPr>
        <w:pStyle w:val="FigureList"/>
      </w:pPr>
      <w:hyperlink w:anchor="v14_194" w:history="1">
        <w:r>
          <w:rPr>
            <w:rFonts w:ascii="Times New Roman" w:hAnsi="Times New Roman" w:eastAsia="Songti SC"/>
            <w:color w:val="000000"/>
            <w:sz w:val="22"/>
          </w:rPr>
          <w:t>图4-3 联合修正中的关系恢复与原真阳性损失（估算情景）</w:t>
        </w:r>
        <w:r>
          <w:rPr>
            <w:rFonts w:ascii="Times New Roman" w:hAnsi="Times New Roman" w:eastAsia="Songti SC"/>
            <w:color w:val="000000"/>
            <w:sz w:val="22"/>
          </w:rPr>
          <w:tab/>
          <w:t>62</w:t>
        </w:r>
      </w:hyperlink>
    </w:p>
    <w:p>
      <w:pPr>
        <w:pStyle w:val="FigureList"/>
      </w:pPr>
      <w:hyperlink w:anchor="v14_199" w:history="1">
        <w:r>
          <w:rPr>
            <w:rFonts w:ascii="Times New Roman" w:hAnsi="Times New Roman" w:eastAsia="Songti SC"/>
            <w:color w:val="000000"/>
            <w:sz w:val="22"/>
          </w:rPr>
          <w:t>图5-1 两个训练条件下的推理增量与交互关系（估算情景）</w:t>
        </w:r>
        <w:r>
          <w:rPr>
            <w:rFonts w:ascii="Times New Roman" w:hAnsi="Times New Roman" w:eastAsia="Songti SC"/>
            <w:color w:val="000000"/>
            <w:sz w:val="22"/>
          </w:rPr>
          <w:tab/>
          <w:t>70</w:t>
        </w:r>
      </w:hyperlink>
    </w:p>
    <w:p>
      <w:pPr>
        <w:pStyle w:val="FigureList"/>
      </w:pPr>
      <w:hyperlink w:anchor="v14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122</w:t>
        </w:r>
      </w:hyperlink>
      <w:r>
        <w:fldChar w:fldCharType="end"/>
      </w:r>
    </w:p>
    <w:p>
      <w:pPr>
        <w:pStyle w:val="FrontHeading"/>
      </w:pPr>
      <w:r>
        <w:t>表目录</w:t>
      </w:r>
    </w:p>
    <w:p>
      <w:pPr>
        <w:pStyle w:val="TableList"/>
        <w:spacing w:before="0" w:after="20" w:line="320" w:lineRule="exact"/>
      </w:pPr>
      <w:r>
        <w:fldChar w:fldCharType="begin"/>
      </w:r>
      <w:r>
        <w:instrText xml:space="preserve"> TOC \h \z \t "Table Caption,1" </w:instrText>
      </w:r>
      <w:r>
        <w:fldChar w:fldCharType="separate"/>
      </w:r>
      <w:hyperlink w:anchor="v14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6</w:t>
        </w:r>
      </w:hyperlink>
    </w:p>
    <w:p>
      <w:pPr>
        <w:pStyle w:val="TableList"/>
        <w:spacing w:before="0" w:after="20" w:line="320" w:lineRule="exact"/>
      </w:pPr>
      <w:hyperlink w:anchor="v14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spacing w:before="0" w:after="20" w:line="320" w:lineRule="exact"/>
      </w:pPr>
      <w:hyperlink w:anchor="v14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11</w:t>
        </w:r>
      </w:hyperlink>
    </w:p>
    <w:p>
      <w:pPr>
        <w:pStyle w:val="TableList"/>
        <w:spacing w:before="0" w:after="20" w:line="320" w:lineRule="exact"/>
      </w:pPr>
      <w:hyperlink w:anchor="v14_168" w:history="1">
        <w:r>
          <w:rPr>
            <w:rFonts w:ascii="Times New Roman" w:hAnsi="Times New Roman" w:eastAsia="Songti SC"/>
            <w:color w:val="000000"/>
            <w:sz w:val="22"/>
          </w:rPr>
          <w:t>表2-2 公共配置与评价规模（估算情景）</w:t>
        </w:r>
        <w:r>
          <w:rPr>
            <w:rFonts w:ascii="Times New Roman" w:hAnsi="Times New Roman" w:eastAsia="Songti SC"/>
            <w:color w:val="000000"/>
            <w:sz w:val="22"/>
          </w:rPr>
          <w:tab/>
          <w:t>15</w:t>
        </w:r>
      </w:hyperlink>
    </w:p>
    <w:p>
      <w:pPr>
        <w:pStyle w:val="TableList"/>
        <w:spacing w:before="0" w:after="20" w:line="320" w:lineRule="exact"/>
      </w:pPr>
      <w:hyperlink w:anchor="v11_evidence_247" w:history="1">
        <w:r>
          <w:rPr>
            <w:rFonts w:ascii="Times New Roman" w:hAnsi="Times New Roman" w:eastAsia="Songti SC"/>
            <w:color w:val="000000"/>
            <w:sz w:val="22"/>
          </w:rPr>
          <w:t>表2-3 补充实现配置（预览假设）</w:t>
        </w:r>
        <w:r>
          <w:rPr>
            <w:rFonts w:ascii="Times New Roman" w:hAnsi="Times New Roman" w:eastAsia="Songti SC"/>
            <w:color w:val="000000"/>
            <w:sz w:val="22"/>
          </w:rPr>
          <w:tab/>
          <w:t>16</w:t>
        </w:r>
      </w:hyperlink>
      <w:r>
        <w:fldChar w:fldCharType="end"/>
      </w:r>
    </w:p>
    <w:p>
      <w:pPr>
        <w:pStyle w:val="TableList"/>
        <w:spacing w:before="0" w:after="20" w:line="320" w:lineRule="exact"/>
      </w:pPr>
      <w:hyperlink w:anchor="v14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21</w:t>
        </w:r>
      </w:hyperlink>
    </w:p>
    <w:p>
      <w:pPr>
        <w:pStyle w:val="TableList"/>
        <w:spacing w:before="0" w:after="20" w:line="320" w:lineRule="exact"/>
      </w:pPr>
      <w:hyperlink w:anchor="v14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30</w:t>
        </w:r>
      </w:hyperlink>
    </w:p>
    <w:p>
      <w:pPr>
        <w:pStyle w:val="TableList"/>
        <w:spacing w:before="0" w:after="20" w:line="320" w:lineRule="exact"/>
      </w:pPr>
      <w:hyperlink w:anchor="v14_175" w:history="1">
        <w:r>
          <w:rPr>
            <w:rFonts w:ascii="Times New Roman" w:hAnsi="Times New Roman" w:eastAsia="Songti SC"/>
            <w:color w:val="000000"/>
            <w:sz w:val="22"/>
          </w:rPr>
          <w:t>表3-3 接受样本的标签漂移率（%）（估算情景）</w:t>
        </w:r>
        <w:r>
          <w:rPr>
            <w:rFonts w:ascii="Times New Roman" w:hAnsi="Times New Roman" w:eastAsia="Songti SC"/>
            <w:color w:val="000000"/>
            <w:sz w:val="22"/>
          </w:rPr>
          <w:tab/>
          <w:t>31</w:t>
        </w:r>
      </w:hyperlink>
    </w:p>
    <w:p>
      <w:pPr>
        <w:pStyle w:val="TableList"/>
        <w:spacing w:before="0" w:after="20" w:line="320" w:lineRule="exact"/>
      </w:pPr>
      <w:hyperlink w:anchor="v14_176" w:history="1">
        <w:r>
          <w:rPr>
            <w:rFonts w:ascii="Times New Roman" w:hAnsi="Times New Roman" w:eastAsia="Songti SC"/>
            <w:color w:val="000000"/>
            <w:sz w:val="22"/>
          </w:rPr>
          <w:t>表3-4 接受与拒绝样本的因素漂移审计（估算情景）</w:t>
        </w:r>
        <w:r>
          <w:rPr>
            <w:rFonts w:ascii="Times New Roman" w:hAnsi="Times New Roman" w:eastAsia="Songti SC"/>
            <w:color w:val="000000"/>
            <w:sz w:val="22"/>
          </w:rPr>
          <w:tab/>
          <w:t>32</w:t>
        </w:r>
      </w:hyperlink>
    </w:p>
    <w:p>
      <w:pPr>
        <w:pStyle w:val="TableList"/>
        <w:spacing w:before="0" w:after="20" w:line="320" w:lineRule="exact"/>
      </w:pPr>
      <w:hyperlink w:anchor="v14_177" w:history="1">
        <w:r>
          <w:rPr>
            <w:rFonts w:ascii="Times New Roman" w:hAnsi="Times New Roman" w:eastAsia="Songti SC"/>
            <w:color w:val="000000"/>
            <w:sz w:val="22"/>
          </w:rPr>
          <w:t>表3-5 训练方案的严格抽取结果（匹配训练规模）（估算情景）</w:t>
        </w:r>
        <w:r>
          <w:rPr>
            <w:rFonts w:ascii="Times New Roman" w:hAnsi="Times New Roman" w:eastAsia="Songti SC"/>
            <w:color w:val="000000"/>
            <w:sz w:val="22"/>
          </w:rPr>
          <w:tab/>
          <w:t>33</w:t>
        </w:r>
      </w:hyperlink>
    </w:p>
    <w:p>
      <w:pPr>
        <w:pStyle w:val="TableList"/>
        <w:spacing w:before="0" w:after="20" w:line="320" w:lineRule="exact"/>
      </w:pPr>
      <w:hyperlink w:anchor="v14_178" w:history="1">
        <w:r>
          <w:rPr>
            <w:rFonts w:ascii="Times New Roman" w:hAnsi="Times New Roman" w:eastAsia="Songti SC"/>
            <w:color w:val="000000"/>
            <w:sz w:val="22"/>
          </w:rPr>
          <w:t>表3-6 相同增强集合上的学习目标比较（匹配训练规模）（估算情景）</w:t>
        </w:r>
        <w:r>
          <w:rPr>
            <w:rFonts w:ascii="Times New Roman" w:hAnsi="Times New Roman" w:eastAsia="Songti SC"/>
            <w:color w:val="000000"/>
            <w:sz w:val="22"/>
          </w:rPr>
          <w:tab/>
          <w:t>33</w:t>
        </w:r>
      </w:hyperlink>
    </w:p>
    <w:p>
      <w:pPr>
        <w:pStyle w:val="TableList"/>
        <w:spacing w:before="0" w:after="20" w:line="320" w:lineRule="exact"/>
      </w:pPr>
      <w:hyperlink w:anchor="v14_180" w:history="1">
        <w:r>
          <w:rPr>
            <w:rFonts w:ascii="Times New Roman" w:hAnsi="Times New Roman" w:eastAsia="Songti SC"/>
            <w:color w:val="000000"/>
            <w:sz w:val="22"/>
          </w:rPr>
          <w:t>表3-7 中心匹配的有效覆盖与自匹配（估算情景）</w:t>
        </w:r>
        <w:r>
          <w:rPr>
            <w:rFonts w:ascii="Times New Roman" w:hAnsi="Times New Roman" w:eastAsia="Songti SC"/>
            <w:color w:val="000000"/>
            <w:sz w:val="22"/>
          </w:rPr>
          <w:tab/>
          <w:t>34</w:t>
        </w:r>
      </w:hyperlink>
    </w:p>
    <w:p>
      <w:pPr>
        <w:pStyle w:val="TableList"/>
        <w:spacing w:before="0" w:after="20" w:line="320" w:lineRule="exact"/>
      </w:pPr>
      <w:hyperlink w:anchor="v14_181" w:history="1">
        <w:r>
          <w:rPr>
            <w:rFonts w:ascii="Times New Roman" w:hAnsi="Times New Roman" w:eastAsia="Songti SC"/>
            <w:color w:val="000000"/>
            <w:sz w:val="22"/>
          </w:rPr>
          <w:t>表3-8 结论中心与匹配随机中心的比较（匹配训练规模）（估算情景）</w:t>
        </w:r>
        <w:r>
          <w:rPr>
            <w:rFonts w:ascii="Times New Roman" w:hAnsi="Times New Roman" w:eastAsia="Songti SC"/>
            <w:color w:val="000000"/>
            <w:sz w:val="22"/>
          </w:rPr>
          <w:tab/>
          <w:t>35</w:t>
        </w:r>
      </w:hyperlink>
    </w:p>
    <w:p>
      <w:pPr>
        <w:pStyle w:val="TableList"/>
        <w:spacing w:before="0" w:after="20" w:line="320" w:lineRule="exact"/>
      </w:pPr>
      <w:hyperlink w:anchor="v14_182" w:history="1">
        <w:r>
          <w:rPr>
            <w:rFonts w:ascii="Times New Roman" w:hAnsi="Times New Roman" w:eastAsia="Songti SC"/>
            <w:color w:val="000000"/>
            <w:sz w:val="22"/>
          </w:rPr>
          <w:t>表3-9 固定尝试预算下的覆盖与构造成本（估算情景）</w:t>
        </w:r>
        <w:r>
          <w:rPr>
            <w:rFonts w:ascii="Times New Roman" w:hAnsi="Times New Roman" w:eastAsia="Songti SC"/>
            <w:color w:val="000000"/>
            <w:sz w:val="22"/>
          </w:rPr>
          <w:tab/>
          <w:t>35</w:t>
        </w:r>
      </w:hyperlink>
    </w:p>
    <w:p>
      <w:pPr>
        <w:pStyle w:val="TableList"/>
        <w:spacing w:before="0" w:after="20" w:line="320" w:lineRule="exact"/>
      </w:pPr>
      <w:hyperlink w:anchor="v11_evidence_249" w:history="1">
        <w:r>
          <w:rPr>
            <w:rFonts w:ascii="Times New Roman" w:hAnsi="Times New Roman" w:eastAsia="Songti SC"/>
            <w:color w:val="000000"/>
            <w:sz w:val="22"/>
          </w:rPr>
          <w:t>表3-10 同一真实改写池的筛选与复核</w:t>
        </w:r>
        <w:r>
          <w:rPr>
            <w:rFonts w:ascii="Times New Roman" w:hAnsi="Times New Roman" w:eastAsia="Songti SC"/>
            <w:color w:val="000000"/>
            <w:sz w:val="22"/>
          </w:rPr>
          <w:tab/>
          <w:t>36</w:t>
        </w:r>
      </w:hyperlink>
      <w:r>
        <w:fldChar w:fldCharType="end"/>
      </w:r>
    </w:p>
    <w:p>
      <w:pPr>
        <w:pStyle w:val="TableList"/>
        <w:spacing w:before="0" w:after="20" w:line="320" w:lineRule="exact"/>
      </w:pPr>
      <w:hyperlink w:anchor="v14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55</w:t>
        </w:r>
      </w:hyperlink>
    </w:p>
    <w:p>
      <w:pPr>
        <w:pStyle w:val="TableList"/>
        <w:spacing w:before="0" w:after="20" w:line="320" w:lineRule="exact"/>
      </w:pPr>
      <w:hyperlink w:anchor="v14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56</w:t>
        </w:r>
      </w:hyperlink>
    </w:p>
    <w:p>
      <w:pPr>
        <w:pStyle w:val="TableList"/>
        <w:spacing w:before="0" w:after="20" w:line="320" w:lineRule="exact"/>
      </w:pPr>
      <w:hyperlink w:anchor="v14_189" w:history="1">
        <w:r>
          <w:rPr>
            <w:rFonts w:ascii="Times New Roman" w:hAnsi="Times New Roman" w:eastAsia="Songti SC"/>
            <w:color w:val="000000"/>
            <w:sz w:val="22"/>
          </w:rPr>
          <w:t>表4-3 推理方法的严格抽取结果（估算情景）</w:t>
        </w:r>
        <w:r>
          <w:rPr>
            <w:rFonts w:ascii="Times New Roman" w:hAnsi="Times New Roman" w:eastAsia="Songti SC"/>
            <w:color w:val="000000"/>
            <w:sz w:val="22"/>
          </w:rPr>
          <w:tab/>
          <w:t>57</w:t>
        </w:r>
      </w:hyperlink>
    </w:p>
    <w:p>
      <w:pPr>
        <w:pStyle w:val="TableList"/>
        <w:spacing w:before="0" w:after="20" w:line="320" w:lineRule="exact"/>
      </w:pPr>
      <w:hyperlink w:anchor="v14_190" w:history="1">
        <w:r>
          <w:rPr>
            <w:rFonts w:ascii="Times New Roman" w:hAnsi="Times New Roman" w:eastAsia="Songti SC"/>
            <w:color w:val="000000"/>
            <w:sz w:val="22"/>
          </w:rPr>
          <w:t>表4-4 从完整组件到完整关系的候选覆盖（估算情景）</w:t>
        </w:r>
        <w:r>
          <w:rPr>
            <w:rFonts w:ascii="Times New Roman" w:hAnsi="Times New Roman" w:eastAsia="Songti SC"/>
            <w:color w:val="000000"/>
            <w:sz w:val="22"/>
          </w:rPr>
          <w:tab/>
          <w:t>59</w:t>
        </w:r>
      </w:hyperlink>
    </w:p>
    <w:p>
      <w:pPr>
        <w:pStyle w:val="TableList"/>
        <w:spacing w:before="0" w:after="20" w:line="320" w:lineRule="exact"/>
      </w:pPr>
      <w:hyperlink w:anchor="v14_191" w:history="1">
        <w:r>
          <w:rPr>
            <w:rFonts w:ascii="Times New Roman" w:hAnsi="Times New Roman" w:eastAsia="Songti SC"/>
            <w:color w:val="000000"/>
            <w:sz w:val="22"/>
          </w:rPr>
          <w:t>表4-5 三类恢复空间的关系计数诊断（估算情景）</w:t>
        </w:r>
        <w:r>
          <w:rPr>
            <w:rFonts w:ascii="Times New Roman" w:hAnsi="Times New Roman" w:eastAsia="Songti SC"/>
            <w:color w:val="000000"/>
            <w:sz w:val="22"/>
          </w:rPr>
          <w:tab/>
          <w:t>59</w:t>
        </w:r>
      </w:hyperlink>
    </w:p>
    <w:p>
      <w:pPr>
        <w:pStyle w:val="TableList"/>
        <w:spacing w:before="0" w:after="20" w:line="320" w:lineRule="exact"/>
      </w:pPr>
      <w:hyperlink w:anchor="v14_192" w:history="1">
        <w:r>
          <w:rPr>
            <w:rFonts w:ascii="Times New Roman" w:hAnsi="Times New Roman" w:eastAsia="Songti SC"/>
            <w:color w:val="000000"/>
            <w:sz w:val="22"/>
          </w:rPr>
          <w:t>表4-6 完整对象评分的区分与校准（估算情景）</w:t>
        </w:r>
        <w:r>
          <w:rPr>
            <w:rFonts w:ascii="Times New Roman" w:hAnsi="Times New Roman" w:eastAsia="Songti SC"/>
            <w:color w:val="000000"/>
            <w:sz w:val="22"/>
          </w:rPr>
          <w:tab/>
          <w:t>60</w:t>
        </w:r>
      </w:hyperlink>
    </w:p>
    <w:p>
      <w:pPr>
        <w:pStyle w:val="TableList"/>
        <w:spacing w:before="0" w:after="20" w:line="320" w:lineRule="exact"/>
      </w:pPr>
      <w:hyperlink w:anchor="v14_193" w:history="1">
        <w:r>
          <w:rPr>
            <w:rFonts w:ascii="Times New Roman" w:hAnsi="Times New Roman" w:eastAsia="Songti SC"/>
            <w:color w:val="000000"/>
            <w:sz w:val="22"/>
          </w:rPr>
          <w:t>表4-7 关系恢复与误改的累计计数（估算情景）</w:t>
        </w:r>
        <w:r>
          <w:rPr>
            <w:rFonts w:ascii="Times New Roman" w:hAnsi="Times New Roman" w:eastAsia="Songti SC"/>
            <w:color w:val="000000"/>
            <w:sz w:val="22"/>
          </w:rPr>
          <w:tab/>
          <w:t>61</w:t>
        </w:r>
      </w:hyperlink>
    </w:p>
    <w:p>
      <w:pPr>
        <w:pStyle w:val="TableList"/>
        <w:spacing w:before="0" w:after="20" w:line="320" w:lineRule="exact"/>
      </w:pPr>
      <w:hyperlink w:anchor="v14_195" w:history="1">
        <w:r>
          <w:rPr>
            <w:rFonts w:ascii="Times New Roman" w:hAnsi="Times New Roman" w:eastAsia="Songti SC"/>
            <w:color w:val="000000"/>
            <w:sz w:val="22"/>
          </w:rPr>
          <w:t>表4-8 推理成本与预算取舍（估算情景）</w:t>
        </w:r>
        <w:r>
          <w:rPr>
            <w:rFonts w:ascii="Times New Roman" w:hAnsi="Times New Roman" w:eastAsia="Songti SC"/>
            <w:color w:val="000000"/>
            <w:sz w:val="22"/>
          </w:rPr>
          <w:tab/>
          <w:t>62</w:t>
        </w:r>
      </w:hyperlink>
    </w:p>
    <w:p>
      <w:pPr>
        <w:pStyle w:val="TableList"/>
        <w:spacing w:before="0" w:after="20" w:line="320" w:lineRule="exact"/>
      </w:pPr>
      <w:hyperlink w:anchor="v10_real_237" w:history="1">
        <w:r>
          <w:rPr>
            <w:rFonts w:ascii="Times New Roman" w:hAnsi="Times New Roman" w:eastAsia="Songti SC"/>
            <w:color w:val="000000"/>
            <w:sz w:val="22"/>
          </w:rPr>
          <w:t>表4-9 Luna探索性扩样的严格结果（真实运行）</w:t>
        </w:r>
        <w:r>
          <w:rPr>
            <w:rFonts w:ascii="Times New Roman" w:hAnsi="Times New Roman" w:eastAsia="Songti SC"/>
            <w:color w:val="000000"/>
            <w:sz w:val="22"/>
          </w:rPr>
          <w:tab/>
          <w:t>64</w:t>
        </w:r>
      </w:hyperlink>
    </w:p>
    <w:p>
      <w:pPr>
        <w:pStyle w:val="TableList"/>
        <w:spacing w:before="0" w:after="20" w:line="320" w:lineRule="exact"/>
      </w:pPr>
      <w:hyperlink w:anchor="v10_real_238" w:history="1">
        <w:r>
          <w:rPr>
            <w:rFonts w:ascii="Times New Roman" w:hAnsi="Times New Roman" w:eastAsia="Songti SC"/>
            <w:color w:val="000000"/>
            <w:sz w:val="22"/>
          </w:rPr>
          <w:t>表4-10 新增原生语料的固定样本结果（真实运行）</w:t>
        </w:r>
        <w:r>
          <w:rPr>
            <w:rFonts w:ascii="Times New Roman" w:hAnsi="Times New Roman" w:eastAsia="Songti SC"/>
            <w:color w:val="000000"/>
            <w:sz w:val="22"/>
          </w:rPr>
          <w:tab/>
          <w:t>65</w:t>
        </w:r>
      </w:hyperlink>
    </w:p>
    <w:p>
      <w:pPr>
        <w:pStyle w:val="TableList"/>
        <w:spacing w:before="0" w:after="20" w:line="320" w:lineRule="exact"/>
      </w:pPr>
      <w:hyperlink w:anchor="v10_real_239" w:history="1">
        <w:r>
          <w:rPr>
            <w:rFonts w:ascii="Times New Roman" w:hAnsi="Times New Roman" w:eastAsia="Songti SC"/>
            <w:color w:val="000000"/>
            <w:sz w:val="22"/>
          </w:rPr>
          <w:t>表4-11 CDCP相同候选与初始图下的评分对照（真实运行）</w:t>
        </w:r>
        <w:r>
          <w:rPr>
            <w:rFonts w:ascii="Times New Roman" w:hAnsi="Times New Roman" w:eastAsia="Songti SC"/>
            <w:color w:val="000000"/>
            <w:sz w:val="22"/>
          </w:rPr>
          <w:tab/>
          <w:t>66</w:t>
        </w:r>
      </w:hyperlink>
    </w:p>
    <w:p>
      <w:pPr>
        <w:pStyle w:val="TableList"/>
        <w:spacing w:before="0" w:after="20" w:line="320" w:lineRule="exact"/>
      </w:pPr>
      <w:hyperlink w:anchor="v11_evidence_251" w:history="1">
        <w:r>
          <w:rPr>
            <w:rFonts w:ascii="Times New Roman" w:hAnsi="Times New Roman" w:eastAsia="Songti SC"/>
            <w:color w:val="000000"/>
            <w:sz w:val="22"/>
          </w:rPr>
          <w:t>表4-12 成分接口调整后的严格候选覆盖（真实输出）</w:t>
        </w:r>
        <w:r>
          <w:rPr>
            <w:rFonts w:ascii="Times New Roman" w:hAnsi="Times New Roman" w:eastAsia="Songti SC"/>
            <w:color w:val="000000"/>
            <w:sz w:val="22"/>
          </w:rPr>
          <w:tab/>
          <w:t>67</w:t>
        </w:r>
      </w:hyperlink>
      <w:r>
        <w:fldChar w:fldCharType="end"/>
      </w:r>
    </w:p>
    <w:p>
      <w:pPr>
        <w:pStyle w:val="TableList"/>
        <w:spacing w:before="0" w:after="20" w:line="320" w:lineRule="exact"/>
      </w:pPr>
      <w:hyperlink w:anchor="v11_evidence_252" w:history="1">
        <w:r>
          <w:rPr>
            <w:rFonts w:ascii="Times New Roman" w:hAnsi="Times New Roman" w:eastAsia="Songti SC"/>
            <w:color w:val="000000"/>
            <w:sz w:val="22"/>
          </w:rPr>
          <w:t>表4-13 冻结Luna输入的5秒求解对照（真实运行）</w:t>
        </w:r>
        <w:r>
          <w:rPr>
            <w:rFonts w:ascii="Times New Roman" w:hAnsi="Times New Roman" w:eastAsia="Songti SC"/>
            <w:color w:val="000000"/>
            <w:sz w:val="22"/>
          </w:rPr>
          <w:tab/>
          <w:t>68</w:t>
        </w:r>
      </w:hyperlink>
      <w:r>
        <w:fldChar w:fldCharType="end"/>
      </w:r>
    </w:p>
    <w:p>
      <w:pPr>
        <w:pStyle w:val="TableList"/>
        <w:spacing w:before="0" w:after="20" w:line="320" w:lineRule="exact"/>
      </w:pPr>
      <w:hyperlink w:anchor="v14_197" w:history="1">
        <w:r>
          <w:rPr>
            <w:rFonts w:ascii="Times New Roman" w:hAnsi="Times New Roman" w:eastAsia="Songti SC"/>
            <w:color w:val="000000"/>
            <w:sz w:val="22"/>
          </w:rPr>
          <w:t>表5-1 两阶段组合的四格结果（估算情景）</w:t>
        </w:r>
        <w:r>
          <w:rPr>
            <w:rFonts w:ascii="Times New Roman" w:hAnsi="Times New Roman" w:eastAsia="Songti SC"/>
            <w:color w:val="000000"/>
            <w:sz w:val="22"/>
          </w:rPr>
          <w:tab/>
          <w:t>69</w:t>
        </w:r>
      </w:hyperlink>
    </w:p>
    <w:p>
      <w:pPr>
        <w:pStyle w:val="TableList"/>
        <w:spacing w:before="0" w:after="20" w:line="320" w:lineRule="exact"/>
      </w:pPr>
      <w:hyperlink w:anchor="v14_198" w:history="1">
        <w:r>
          <w:rPr>
            <w:rFonts w:ascii="Times New Roman" w:hAnsi="Times New Roman" w:eastAsia="Songti SC"/>
            <w:color w:val="000000"/>
            <w:sz w:val="22"/>
          </w:rPr>
          <w:t>表5-2 条件增量与交互差（估算情景）</w:t>
        </w:r>
        <w:r>
          <w:rPr>
            <w:rFonts w:ascii="Times New Roman" w:hAnsi="Times New Roman" w:eastAsia="Songti SC"/>
            <w:color w:val="000000"/>
            <w:sz w:val="22"/>
          </w:rPr>
          <w:tab/>
          <w:t>69</w:t>
        </w:r>
      </w:hyperlink>
    </w:p>
    <w:p>
      <w:pPr>
        <w:pStyle w:val="TableList"/>
        <w:spacing w:before="0" w:after="20" w:line="320" w:lineRule="exact"/>
      </w:pPr>
      <w:hyperlink w:anchor="v14_200" w:history="1">
        <w:r>
          <w:rPr>
            <w:rFonts w:ascii="Times New Roman" w:hAnsi="Times New Roman" w:eastAsia="Songti SC"/>
            <w:color w:val="000000"/>
            <w:sz w:val="22"/>
          </w:rPr>
          <w:t>表5-3 四格比较的净错误计数变化（估算情景）</w:t>
        </w:r>
        <w:r>
          <w:rPr>
            <w:rFonts w:ascii="Times New Roman" w:hAnsi="Times New Roman" w:eastAsia="Songti SC"/>
            <w:color w:val="000000"/>
            <w:sz w:val="22"/>
          </w:rPr>
          <w:tab/>
          <w:t>70</w:t>
        </w:r>
      </w:hyperlink>
    </w:p>
    <w:p>
      <w:pPr>
        <w:pStyle w:val="TableList"/>
        <w:spacing w:before="0" w:after="20" w:line="320" w:lineRule="exact"/>
      </w:pPr>
      <w:hyperlink w:anchor="v14_201" w:history="1">
        <w:r>
          <w:rPr>
            <w:rFonts w:ascii="Times New Roman" w:hAnsi="Times New Roman" w:eastAsia="Songti SC"/>
            <w:color w:val="000000"/>
            <w:sz w:val="22"/>
          </w:rPr>
          <w:t>表5-4 CDCP完整关系的源成员数分组（估算情景）</w:t>
        </w:r>
        <w:r>
          <w:rPr>
            <w:rFonts w:ascii="Times New Roman" w:hAnsi="Times New Roman" w:eastAsia="Songti SC"/>
            <w:color w:val="000000"/>
            <w:sz w:val="22"/>
          </w:rPr>
          <w:tab/>
          <w:t>71</w:t>
        </w:r>
      </w:hyperlink>
    </w:p>
    <w:p>
      <w:pPr>
        <w:pStyle w:val="TableList"/>
        <w:spacing w:before="0" w:after="20" w:line="320" w:lineRule="exact"/>
      </w:pPr>
      <w:hyperlink w:anchor="v14_202" w:history="1">
        <w:r>
          <w:rPr>
            <w:rFonts w:ascii="Times New Roman" w:hAnsi="Times New Roman" w:eastAsia="Songti SC"/>
            <w:color w:val="000000"/>
            <w:sz w:val="22"/>
          </w:rPr>
          <w:t>表5-5 相对共同起点的关系增量与在线额外时间（估算情景）</w:t>
        </w:r>
        <w:r>
          <w:rPr>
            <w:rFonts w:ascii="Times New Roman" w:hAnsi="Times New Roman" w:eastAsia="Songti SC"/>
            <w:color w:val="000000"/>
            <w:sz w:val="22"/>
          </w:rPr>
          <w:tab/>
          <w:t>72</w:t>
        </w:r>
      </w:hyperlink>
    </w:p>
    <w:p>
      <w:pPr>
        <w:pStyle w:val="TableList"/>
        <w:spacing w:before="0" w:after="20" w:line="320" w:lineRule="exact"/>
      </w:pPr>
      <w:hyperlink w:anchor="v11_evidence_254" w:history="1">
        <w:r>
          <w:rPr>
            <w:rFonts w:ascii="Times New Roman" w:hAnsi="Times New Roman" w:eastAsia="Songti SC"/>
            <w:color w:val="000000"/>
            <w:sz w:val="22"/>
          </w:rPr>
          <w:t>表5-6 四格正确对象作用的成员分解（模拟）</w:t>
        </w:r>
        <w:r>
          <w:rPr>
            <w:rFonts w:ascii="Times New Roman" w:hAnsi="Times New Roman" w:eastAsia="Songti SC"/>
            <w:color w:val="000000"/>
            <w:sz w:val="22"/>
          </w:rPr>
          <w:tab/>
          <w:t>73</w:t>
        </w:r>
      </w:hyperlink>
      <w:r>
        <w:fldChar w:fldCharType="end"/>
      </w:r>
    </w:p>
    <w:p>
      <w:pPr>
        <w:pStyle w:val="TableList"/>
        <w:spacing w:before="0" w:after="20" w:line="320" w:lineRule="exact"/>
      </w:pPr>
      <w:hyperlink w:anchor="v14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80</w:t>
        </w:r>
      </w:hyperlink>
    </w:p>
    <w:p>
      <w:pPr>
        <w:pStyle w:val="TableList"/>
        <w:spacing w:before="0" w:after="20" w:line="320" w:lineRule="exact"/>
      </w:pPr>
      <w:hyperlink w:anchor="v14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81</w:t>
        </w:r>
      </w:hyperlink>
    </w:p>
    <w:p>
      <w:pPr>
        <w:pStyle w:val="TableList"/>
        <w:spacing w:before="0" w:after="20" w:line="320" w:lineRule="exact"/>
      </w:pPr>
      <w:hyperlink w:anchor="v14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86</w:t>
        </w:r>
      </w:hyperlink>
    </w:p>
    <w:p>
      <w:pPr>
        <w:pStyle w:val="TableList"/>
        <w:spacing w:before="0" w:after="20" w:line="320" w:lineRule="exact"/>
      </w:pPr>
      <w:hyperlink w:anchor="v8_diagnostic_224" w:history="1">
        <w:r>
          <w:rPr>
            <w:rFonts w:ascii="Times New Roman" w:hAnsi="Times New Roman" w:eastAsia="Songti SC"/>
            <w:color w:val="000000"/>
            <w:sz w:val="22"/>
          </w:rPr>
          <w:t>表D-1 初始组件的错误配对分解（既存CPU诊断）</w:t>
        </w:r>
        <w:r>
          <w:rPr>
            <w:rFonts w:ascii="Times New Roman" w:hAnsi="Times New Roman" w:eastAsia="Songti SC"/>
            <w:color w:val="000000"/>
            <w:sz w:val="22"/>
          </w:rPr>
          <w:tab/>
          <w:t>90</w:t>
        </w:r>
      </w:hyperlink>
    </w:p>
    <w:p>
      <w:pPr>
        <w:pStyle w:val="TableList"/>
        <w:spacing w:before="0" w:after="20" w:line="320" w:lineRule="exact"/>
      </w:pPr>
      <w:hyperlink w:anchor="v8_diagnostic_225" w:history="1">
        <w:r>
          <w:rPr>
            <w:rFonts w:ascii="Times New Roman" w:hAnsi="Times New Roman" w:eastAsia="Songti SC"/>
            <w:color w:val="000000"/>
            <w:sz w:val="22"/>
          </w:rPr>
          <w:t>表D-2 补充跨度预算与候选覆盖（既存CPU诊断）</w:t>
        </w:r>
        <w:r>
          <w:rPr>
            <w:rFonts w:ascii="Times New Roman" w:hAnsi="Times New Roman" w:eastAsia="Songti SC"/>
            <w:color w:val="000000"/>
            <w:sz w:val="22"/>
          </w:rPr>
          <w:tab/>
          <w:t>90</w:t>
        </w:r>
      </w:hyperlink>
    </w:p>
    <w:p>
      <w:pPr>
        <w:pStyle w:val="TableList"/>
        <w:spacing w:before="0" w:after="20" w:line="320" w:lineRule="exact"/>
      </w:pPr>
      <w:hyperlink w:anchor="v8_diagnostic_226" w:history="1">
        <w:r>
          <w:rPr>
            <w:rFonts w:ascii="Times New Roman" w:hAnsi="Times New Roman" w:eastAsia="Songti SC"/>
            <w:color w:val="000000"/>
            <w:sz w:val="22"/>
          </w:rPr>
          <w:t>表D-3 已入池遗漏跨度的一步动作限制（既存CPU诊断）</w:t>
        </w:r>
        <w:r>
          <w:rPr>
            <w:rFonts w:ascii="Times New Roman" w:hAnsi="Times New Roman" w:eastAsia="Songti SC"/>
            <w:color w:val="000000"/>
            <w:sz w:val="22"/>
          </w:rPr>
          <w:tab/>
          <w:t>91</w:t>
        </w:r>
      </w:hyperlink>
    </w:p>
    <w:p>
      <w:pPr>
        <w:pStyle w:val="TableList"/>
        <w:spacing w:before="0" w:after="20" w:line="320" w:lineRule="exact"/>
      </w:pPr>
      <w:hyperlink w:anchor="v8_diagnostic_227" w:history="1">
        <w:r>
          <w:rPr>
            <w:rFonts w:ascii="Times New Roman" w:hAnsi="Times New Roman" w:eastAsia="Songti SC"/>
            <w:color w:val="000000"/>
            <w:sz w:val="22"/>
          </w:rPr>
          <w:t>表D-4 全部编辑提议的逐文档效果组成（既存CPU诊断）</w:t>
        </w:r>
        <w:r>
          <w:rPr>
            <w:rFonts w:ascii="Times New Roman" w:hAnsi="Times New Roman" w:eastAsia="Songti SC"/>
            <w:color w:val="000000"/>
            <w:sz w:val="22"/>
          </w:rPr>
          <w:tab/>
          <w:t>92</w:t>
        </w:r>
      </w:hyperlink>
    </w:p>
    <w:p>
      <w:pPr>
        <w:pStyle w:val="TableList"/>
        <w:spacing w:before="0" w:after="20" w:line="320" w:lineRule="exact"/>
      </w:pPr>
      <w:hyperlink w:anchor="v8_diagnostic_228" w:history="1">
        <w:r>
          <w:rPr>
            <w:rFonts w:ascii="Times New Roman" w:hAnsi="Times New Roman" w:eastAsia="Songti SC"/>
            <w:color w:val="000000"/>
            <w:sz w:val="22"/>
          </w:rPr>
          <w:t>表D-5 固定阈值策略的组件效果（既存CPU诊断）</w:t>
        </w:r>
        <w:r>
          <w:rPr>
            <w:rFonts w:ascii="Times New Roman" w:hAnsi="Times New Roman" w:eastAsia="Songti SC"/>
            <w:color w:val="000000"/>
            <w:sz w:val="22"/>
          </w:rPr>
          <w:tab/>
          <w:t>92</w:t>
        </w:r>
      </w:hyperlink>
    </w:p>
    <w:p>
      <w:pPr>
        <w:pStyle w:val="TableList"/>
        <w:spacing w:before="0" w:after="20" w:line="320" w:lineRule="exact"/>
      </w:pPr>
      <w:hyperlink w:anchor="v8_diagnostic_229" w:history="1">
        <w:r>
          <w:rPr>
            <w:rFonts w:ascii="Times New Roman" w:hAnsi="Times New Roman" w:eastAsia="Songti SC"/>
            <w:color w:val="000000"/>
            <w:sz w:val="22"/>
          </w:rPr>
          <w:t>表D-6 修改前后的严格组件对象变化（既存CPU诊断）</w:t>
        </w:r>
        <w:r>
          <w:rPr>
            <w:rFonts w:ascii="Times New Roman" w:hAnsi="Times New Roman" w:eastAsia="Songti SC"/>
            <w:color w:val="000000"/>
            <w:sz w:val="22"/>
          </w:rPr>
          <w:tab/>
          <w:t>93</w:t>
        </w:r>
      </w:hyperlink>
    </w:p>
    <w:p>
      <w:pPr>
        <w:pStyle w:val="TableList"/>
        <w:spacing w:before="0" w:after="20" w:line="320" w:lineRule="exact"/>
      </w:pPr>
      <w:hyperlink w:anchor="v9_real_234" w:history="1">
        <w:r>
          <w:rPr>
            <w:rFonts w:ascii="Times New Roman" w:hAnsi="Times New Roman" w:eastAsia="Songti SC"/>
            <w:color w:val="000000"/>
            <w:sz w:val="22"/>
          </w:rPr>
          <w:t>表D-7 Luna试验的完整组件与关系计数（真实运行）</w:t>
        </w:r>
        <w:r>
          <w:rPr>
            <w:rFonts w:ascii="Times New Roman" w:hAnsi="Times New Roman" w:eastAsia="Songti SC"/>
            <w:color w:val="000000"/>
            <w:sz w:val="22"/>
          </w:rPr>
          <w:tab/>
          <w:t>96</w:t>
        </w:r>
      </w:hyperlink>
    </w:p>
    <w:p>
      <w:pPr>
        <w:pStyle w:val="TableList"/>
        <w:spacing w:before="0" w:after="20" w:line="320" w:lineRule="exact"/>
      </w:pPr>
      <w:hyperlink w:anchor="v9_real_235" w:history="1">
        <w:r>
          <w:rPr>
            <w:rFonts w:ascii="Times New Roman" w:hAnsi="Times New Roman" w:eastAsia="Songti SC"/>
            <w:color w:val="000000"/>
            <w:sz w:val="22"/>
          </w:rPr>
          <w:t>表D-8 全部16篇文档的初始至BRJ-lite结果及候选覆盖</w:t>
        </w:r>
        <w:r>
          <w:rPr>
            <w:rFonts w:ascii="Times New Roman" w:hAnsi="Times New Roman" w:eastAsia="Songti SC"/>
            <w:color w:val="000000"/>
            <w:sz w:val="22"/>
          </w:rPr>
          <w:tab/>
          <w:t>96</w:t>
        </w:r>
      </w:hyperlink>
    </w:p>
    <w:p>
      <w:pPr>
        <w:pStyle w:val="TableList"/>
        <w:spacing w:before="0" w:after="20" w:line="320" w:lineRule="exact"/>
      </w:pPr>
      <w:hyperlink w:anchor="v10_real_241" w:history="1">
        <w:r>
          <w:rPr>
            <w:rFonts w:ascii="Times New Roman" w:hAnsi="Times New Roman" w:eastAsia="Songti SC"/>
            <w:color w:val="000000"/>
            <w:sz w:val="22"/>
          </w:rPr>
          <w:t>表D-9 探索性扩样的完整对象计数（真实运行）</w:t>
        </w:r>
        <w:r>
          <w:rPr>
            <w:rFonts w:ascii="Times New Roman" w:hAnsi="Times New Roman" w:eastAsia="Songti SC"/>
            <w:color w:val="000000"/>
            <w:sz w:val="22"/>
          </w:rPr>
          <w:tab/>
          <w:t>98</w:t>
        </w:r>
      </w:hyperlink>
    </w:p>
    <w:p>
      <w:pPr>
        <w:pStyle w:val="TableList"/>
        <w:spacing w:before="0" w:after="20" w:line="320" w:lineRule="exact"/>
      </w:pPr>
      <w:hyperlink w:anchor="v10_real_243" w:history="1">
        <w:r>
          <w:rPr>
            <w:rFonts w:ascii="Times New Roman" w:hAnsi="Times New Roman" w:eastAsia="Songti SC"/>
            <w:color w:val="000000"/>
            <w:sz w:val="22"/>
          </w:rPr>
          <w:t>表D-10 新语料转换与抽样范围</w:t>
        </w:r>
        <w:r>
          <w:rPr>
            <w:rFonts w:ascii="Times New Roman" w:hAnsi="Times New Roman" w:eastAsia="Songti SC"/>
            <w:color w:val="000000"/>
            <w:sz w:val="22"/>
          </w:rPr>
          <w:tab/>
          <w:t>100</w:t>
        </w:r>
      </w:hyperlink>
    </w:p>
    <w:p>
      <w:pPr>
        <w:pStyle w:val="TableList"/>
        <w:spacing w:before="0" w:after="20" w:line="320" w:lineRule="exact"/>
      </w:pPr>
      <w:hyperlink w:anchor="v10_real_245" w:history="1">
        <w:r>
          <w:rPr>
            <w:rFonts w:ascii="Times New Roman" w:hAnsi="Times New Roman" w:eastAsia="Songti SC"/>
            <w:color w:val="000000"/>
            <w:sz w:val="22"/>
          </w:rPr>
          <w:t>表D-11 CDCP候选评分的覆盖与金标事后诊断</w:t>
        </w:r>
        <w:r>
          <w:rPr>
            <w:rFonts w:ascii="Times New Roman" w:hAnsi="Times New Roman" w:eastAsia="Songti SC"/>
            <w:color w:val="000000"/>
            <w:sz w:val="22"/>
          </w:rPr>
          <w:tab/>
          <w:t>101</w:t>
        </w:r>
      </w:hyperlink>
    </w:p>
    <w:p>
      <w:pPr>
        <w:pStyle w:val="TableList"/>
        <w:spacing w:before="0" w:after="20" w:line="320" w:lineRule="exact"/>
      </w:pPr>
      <w:hyperlink w:anchor="v10_real_246" w:history="1">
        <w:r>
          <w:rPr>
            <w:rFonts w:ascii="Times New Roman" w:hAnsi="Times New Roman" w:eastAsia="Songti SC"/>
            <w:color w:val="000000"/>
            <w:sz w:val="22"/>
          </w:rPr>
          <w:t>表D-12 新增试验的修正阶段实测成本</w:t>
        </w:r>
        <w:r>
          <w:rPr>
            <w:rFonts w:ascii="Times New Roman" w:hAnsi="Times New Roman" w:eastAsia="Songti SC"/>
            <w:color w:val="000000"/>
            <w:sz w:val="22"/>
          </w:rPr>
          <w:tab/>
          <w:t>102</w:t>
        </w:r>
      </w:hyperlink>
    </w:p>
    <w:p>
      <w:pPr>
        <w:pStyle w:val="TableList"/>
        <w:spacing w:before="0" w:after="20" w:line="320" w:lineRule="exact"/>
      </w:pPr>
      <w:hyperlink w:anchor="v11_evidence_256" w:history="1">
        <w:r>
          <w:rPr>
            <w:rFonts w:ascii="Times New Roman" w:hAnsi="Times New Roman" w:eastAsia="Songti SC"/>
            <w:color w:val="000000"/>
            <w:sz w:val="22"/>
          </w:rPr>
          <w:t>表D-13 原标签分歧与改写后关系变化（模型复核）</w:t>
        </w:r>
        <w:r>
          <w:rPr>
            <w:rFonts w:ascii="Times New Roman" w:hAnsi="Times New Roman" w:eastAsia="Songti SC"/>
            <w:color w:val="000000"/>
            <w:sz w:val="22"/>
          </w:rPr>
          <w:tab/>
          <w:t>103</w:t>
        </w:r>
      </w:hyperlink>
      <w:r>
        <w:fldChar w:fldCharType="end"/>
      </w:r>
    </w:p>
    <w:p>
      <w:pPr>
        <w:pStyle w:val="TableList"/>
        <w:spacing w:before="0" w:after="20" w:line="320" w:lineRule="exact"/>
      </w:pPr>
      <w:hyperlink w:anchor="v14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104</w:t>
        </w:r>
      </w:hyperlink>
    </w:p>
    <w:p>
      <w:pPr>
        <w:pStyle w:val="TableList"/>
        <w:spacing w:before="0" w:after="20" w:line="320" w:lineRule="exact"/>
      </w:pPr>
      <w:hyperlink w:anchor="v14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104</w:t>
        </w:r>
      </w:hyperlink>
    </w:p>
    <w:p>
      <w:pPr>
        <w:pStyle w:val="TableList"/>
        <w:spacing w:before="0" w:after="20" w:line="320" w:lineRule="exact"/>
      </w:pPr>
      <w:hyperlink w:anchor="v14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105</w:t>
        </w:r>
      </w:hyperlink>
    </w:p>
    <w:p>
      <w:pPr>
        <w:pStyle w:val="TableList"/>
        <w:spacing w:before="0" w:after="20" w:line="320" w:lineRule="exact"/>
      </w:pPr>
      <w:hyperlink w:anchor="v14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105</w:t>
        </w:r>
      </w:hyperlink>
    </w:p>
    <w:p>
      <w:pPr>
        <w:pStyle w:val="TableList"/>
        <w:spacing w:before="0" w:after="20" w:line="320" w:lineRule="exact"/>
      </w:pPr>
      <w:hyperlink w:anchor="v14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106</w:t>
        </w:r>
      </w:hyperlink>
    </w:p>
    <w:p>
      <w:pPr>
        <w:pStyle w:val="TableList"/>
        <w:spacing w:before="0" w:after="20" w:line="320" w:lineRule="exact"/>
      </w:pPr>
      <w:hyperlink w:anchor="v14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106</w:t>
        </w:r>
      </w:hyperlink>
    </w:p>
    <w:p>
      <w:pPr>
        <w:pStyle w:val="TableList"/>
        <w:spacing w:before="0" w:after="20" w:line="320" w:lineRule="exact"/>
      </w:pPr>
      <w:hyperlink w:anchor="v14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106</w:t>
        </w:r>
      </w:hyperlink>
    </w:p>
    <w:p>
      <w:pPr>
        <w:pStyle w:val="TableList"/>
        <w:spacing w:before="0" w:after="20" w:line="320" w:lineRule="exact"/>
      </w:pPr>
      <w:hyperlink w:anchor="v14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107</w:t>
        </w:r>
      </w:hyperlink>
    </w:p>
    <w:p>
      <w:pPr>
        <w:pStyle w:val="TableList"/>
        <w:spacing w:before="0" w:after="20" w:line="320" w:lineRule="exact"/>
      </w:pPr>
      <w:hyperlink w:anchor="v14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108</w:t>
        </w:r>
      </w:hyperlink>
    </w:p>
    <w:p>
      <w:pPr>
        <w:pStyle w:val="TableList"/>
        <w:spacing w:before="0" w:after="20" w:line="320" w:lineRule="exact"/>
      </w:pPr>
      <w:hyperlink w:anchor="v14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109</w:t>
        </w:r>
      </w:hyperlink>
    </w:p>
    <w:p>
      <w:pPr>
        <w:pStyle w:val="TableList"/>
        <w:spacing w:before="0" w:after="20" w:line="320" w:lineRule="exact"/>
      </w:pPr>
      <w:hyperlink w:anchor="v14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111</w:t>
        </w:r>
      </w:hyperlink>
    </w:p>
    <w:p>
      <w:pPr>
        <w:pStyle w:val="TableList"/>
        <w:spacing w:before="0" w:after="20" w:line="320" w:lineRule="exact"/>
      </w:pPr>
      <w:hyperlink w:anchor="v14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112</w:t>
        </w:r>
      </w:hyperlink>
    </w:p>
    <w:p>
      <w:pPr>
        <w:pStyle w:val="TableList"/>
        <w:spacing w:before="0" w:after="20" w:line="320" w:lineRule="exact"/>
      </w:pPr>
      <w:hyperlink w:anchor="v14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113</w:t>
        </w:r>
      </w:hyperlink>
    </w:p>
    <w:p>
      <w:pPr>
        <w:pStyle w:val="TableList"/>
        <w:spacing w:before="0" w:after="20" w:line="320" w:lineRule="exact"/>
      </w:pPr>
      <w:hyperlink w:anchor="v11_evidence_257" w:history="1">
        <w:r>
          <w:rPr>
            <w:rFonts w:ascii="Times New Roman" w:hAnsi="Times New Roman" w:eastAsia="Songti SC"/>
            <w:color w:val="000000"/>
            <w:sz w:val="22"/>
          </w:rPr>
          <w:t>表G-3 外部比较的匿名预览结果（全部模拟）</w:t>
        </w:r>
        <w:r>
          <w:rPr>
            <w:rFonts w:ascii="Times New Roman" w:hAnsi="Times New Roman" w:eastAsia="Songti SC"/>
            <w:color w:val="000000"/>
            <w:sz w:val="22"/>
          </w:rPr>
          <w:tab/>
          <w:t>114</w:t>
        </w:r>
      </w:hyperlink>
      <w:r>
        <w:fldChar w:fldCharType="end"/>
      </w:r>
    </w:p>
    <w:p>
      <w:pPr>
        <w:pStyle w:val="TableList"/>
        <w:spacing w:before="0" w:after="20" w:line="320" w:lineRule="exact"/>
      </w:pPr>
      <w:hyperlink w:anchor="v14_219" w:history="1">
        <w:r>
          <w:rPr>
            <w:rFonts w:ascii="Times New Roman" w:hAnsi="Times New Roman" w:eastAsia="Songti SC"/>
            <w:color w:val="000000"/>
            <w:sz w:val="22"/>
          </w:rPr>
          <w:t>表H-1 固定尝试轨训练成本存档（估算情景）</w:t>
        </w:r>
        <w:r>
          <w:rPr>
            <w:rFonts w:ascii="Times New Roman" w:hAnsi="Times New Roman" w:eastAsia="Songti SC"/>
            <w:color w:val="000000"/>
            <w:sz w:val="22"/>
          </w:rPr>
          <w:tab/>
          <w:t>116</w:t>
        </w:r>
      </w:hyperlink>
    </w:p>
    <w:p>
      <w:pPr>
        <w:pStyle w:val="TableList"/>
        <w:spacing w:before="0" w:after="20" w:line="320" w:lineRule="exact"/>
      </w:pPr>
      <w:hyperlink w:anchor="v14_220" w:history="1">
        <w:r>
          <w:rPr>
            <w:rFonts w:ascii="Times New Roman" w:hAnsi="Times New Roman" w:eastAsia="Songti SC"/>
            <w:color w:val="000000"/>
            <w:sz w:val="22"/>
          </w:rPr>
          <w:t>表H-2 共同池的变化与覆盖诊断（指标演示的估算情景）</w:t>
        </w:r>
        <w:r>
          <w:rPr>
            <w:rFonts w:ascii="Times New Roman" w:hAnsi="Times New Roman" w:eastAsia="Songti SC"/>
            <w:color w:val="000000"/>
            <w:sz w:val="22"/>
          </w:rPr>
          <w:tab/>
          <w:t>119</w:t>
        </w:r>
      </w:hyperlink>
    </w:p>
    <w:p>
      <w:pPr>
        <w:pStyle w:val="TableList"/>
        <w:spacing w:before="0" w:after="20" w:line="320" w:lineRule="exact"/>
      </w:pPr>
      <w:hyperlink w:anchor="v14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120</w:t>
        </w:r>
      </w:hyperlink>
    </w:p>
    <w:p>
      <w:pPr>
        <w:pStyle w:val="TableList"/>
        <w:spacing w:before="0" w:after="20" w:line="320" w:lineRule="exact"/>
      </w:pPr>
      <w:hyperlink w:anchor="v14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121</w:t>
        </w:r>
      </w:hyperlink>
      <w:r>
        <w:fldChar w:fldCharType="end"/>
      </w:r>
    </w:p>
    <w:p>
      <w:pPr>
        <w:pStyle w:val="TableList"/>
        <w:spacing w:before="0" w:after="20" w:line="320" w:lineRule="exact"/>
      </w:pPr>
      <w:hyperlink w:anchor="v11_evidence_259" w:history="1">
        <w:r>
          <w:rPr>
            <w:rFonts w:ascii="Times New Roman" w:hAnsi="Times New Roman" w:eastAsia="Songti SC"/>
            <w:color w:val="000000"/>
            <w:sz w:val="22"/>
          </w:rPr>
          <w:t>表H-5 关系F1的关键训练对照（模拟）</w:t>
        </w:r>
        <w:r>
          <w:rPr>
            <w:rFonts w:ascii="Times New Roman" w:hAnsi="Times New Roman" w:eastAsia="Songti SC"/>
            <w:color w:val="000000"/>
            <w:sz w:val="22"/>
          </w:rPr>
          <w:tab/>
          <w:t>123</w:t>
        </w:r>
      </w:hyperlink>
      <w:r>
        <w:fldChar w:fldCharType="end"/>
      </w:r>
    </w:p>
    <w:p>
      <w:pPr>
        <w:pStyle w:val="TableList"/>
        <w:spacing w:before="0" w:after="20" w:line="320" w:lineRule="exact"/>
      </w:pPr>
      <w:hyperlink w:anchor="v11_evidence_260" w:history="1">
        <w:r>
          <w:rPr>
            <w:rFonts w:ascii="Times New Roman" w:hAnsi="Times New Roman" w:eastAsia="Songti SC"/>
            <w:color w:val="000000"/>
            <w:sz w:val="22"/>
          </w:rPr>
          <w:t>表H-6 OOF原生关系错误链的示例计数（模拟）</w:t>
        </w:r>
        <w:r>
          <w:rPr>
            <w:rFonts w:ascii="Times New Roman" w:hAnsi="Times New Roman" w:eastAsia="Songti SC"/>
            <w:color w:val="000000"/>
            <w:sz w:val="22"/>
          </w:rPr>
          <w:tab/>
          <w:t>123</w:t>
        </w:r>
      </w:hyperlink>
      <w:r>
        <w:fldChar w:fldCharType="end"/>
      </w:r>
    </w:p>
    <w:p>
      <w:pPr>
        <w:pStyle w:val="TableList"/>
        <w:spacing w:before="0" w:after="20" w:line="320" w:lineRule="exact"/>
      </w:pPr>
      <w:hyperlink w:anchor="v11_evidence_262" w:history="1">
        <w:r>
          <w:rPr>
            <w:rFonts w:ascii="Times New Roman" w:hAnsi="Times New Roman" w:eastAsia="Songti SC"/>
            <w:color w:val="000000"/>
            <w:sz w:val="22"/>
          </w:rPr>
          <w:t>表H-7 裁剪前后规模与评分成本（实测计数＋假设吞吐）</w:t>
        </w:r>
        <w:r>
          <w:rPr>
            <w:rFonts w:ascii="Times New Roman" w:hAnsi="Times New Roman" w:eastAsia="Songti SC"/>
            <w:color w:val="000000"/>
            <w:sz w:val="22"/>
          </w:rPr>
          <w:tab/>
          <w:t>124</w:t>
        </w:r>
      </w:hyperlink>
      <w:r>
        <w:fldChar w:fldCharType="end"/>
      </w:r>
    </w:p>
    <w:p>
      <w:pPr>
        <w:pStyle w:val="TableList"/>
        <w:spacing w:before="0" w:after="20" w:line="320" w:lineRule="exact"/>
      </w:pPr>
      <w:hyperlink w:anchor="v11_evidence_264" w:history="1">
        <w:r>
          <w:rPr>
            <w:rFonts w:ascii="Times New Roman" w:hAnsi="Times New Roman" w:eastAsia="Songti SC"/>
            <w:color w:val="000000"/>
            <w:sz w:val="22"/>
          </w:rPr>
          <w:t>表H-8 全类型补充槽位的规模压力（上界与成本假设）</w:t>
        </w:r>
        <w:r>
          <w:rPr>
            <w:rFonts w:ascii="Times New Roman" w:hAnsi="Times New Roman" w:eastAsia="Songti SC"/>
            <w:color w:val="000000"/>
            <w:sz w:val="22"/>
          </w:rPr>
          <w:tab/>
          <w:t>124</w:t>
        </w:r>
      </w:hyperlink>
      <w:r>
        <w:fldChar w:fldCharType="end"/>
      </w:r>
    </w:p>
    <w:p>
      <w:pPr>
        <w:pStyle w:val="TableList"/>
        <w:spacing w:before="0" w:after="20" w:line="320" w:lineRule="exact"/>
      </w:pPr>
      <w:hyperlink w:anchor="v11_evidence_266" w:history="1">
        <w:r>
          <w:rPr>
            <w:rFonts w:ascii="Times New Roman" w:hAnsi="Times New Roman" w:eastAsia="Songti SC"/>
            <w:color w:val="000000"/>
            <w:sz w:val="22"/>
          </w:rPr>
          <w:t>表H-9 关键效应的负、零与正情景（全部模拟）</w:t>
        </w:r>
        <w:r>
          <w:rPr>
            <w:rFonts w:ascii="Times New Roman" w:hAnsi="Times New Roman" w:eastAsia="Songti SC"/>
            <w:color w:val="000000"/>
            <w:sz w:val="22"/>
          </w:rPr>
          <w:tab/>
          <w:t>125</w:t>
        </w:r>
      </w:hyperlink>
      <w:r>
        <w:fldChar w:fldCharType="end"/>
      </w:r>
    </w:p>
    <w:p>
      <w:pPr>
        <w:sectPr>
          <w:headerReference w:type="default" r:id="rId161"/>
          <w:footerReference w:type="default" r:id="rId16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4_12"/>
      <w:bookmarkEnd w:id="12"/>
    </w:p>
    <w:p>
      <w:pPr>
        <w:pStyle w:val="Heading2"/>
      </w:pPr>
      <w:r>
        <w:t>1.1 研究背景与问题提出</w:t>
      </w:r>
      <w:bookmarkStart w:id="13" w:name="v1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4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既存CPU诊断、Luna扩样及新增原生语料试验已记录端点恢复、标签混淆、候选缺失和评分误删（D.3及4.6.7）。这些观察支持检验所针对的问题，但其模型和候选配置与正式系统不同，不能替代目标系统的问题发生率；完整诊断方案见H.1。</w:t>
      </w:r>
    </w:p>
    <w:p>
      <w:pPr>
        <w:pStyle w:val="Heading2"/>
      </w:pPr>
      <w:r>
        <w:t>1.2 国内外研究现状</w:t>
      </w:r>
      <w:bookmarkStart w:id="14" w:name="v1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4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4_165"/>
      <w:bookmarkEnd w:id="165"/>
    </w:p>
    <w:p>
      <w:pPr>
        <w:pStyle w:val="Heading3"/>
      </w:pPr>
      <w:r>
        <w:t>1.3.1 研究问题</w:t>
      </w:r>
      <w:bookmarkStart w:id="20" w:name="v14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4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4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4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训练完成后的在线配置选择展开。第六章总结两项设计、真实诊断的边界及模拟预览需要替换的实证部分。</w:t>
      </w:r>
    </w:p>
    <w:p>
      <w:r>
        <w:rPr>
          <w:rFonts w:ascii="Times New Roman" w:hAnsi="Times New Roman" w:eastAsia="Songti SC"/>
          <w:color w:val="000000"/>
        </w:rPr>
        <w:t>附录A、B集中保存坐标、序列化、队列调度、日志字段与性质证明，附录C说明成果归属，附录D分别保存前期基础、CPU诊断、构造材料和Luna真实试验，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4_25"/>
      <w:bookmarkEnd w:id="25"/>
    </w:p>
    <w:p>
      <w:pPr>
        <w:pStyle w:val="Heading3"/>
      </w:pPr>
      <w:r>
        <w:t>2.1.1 组件及二元关系</w:t>
      </w:r>
      <w:bookmarkStart w:id="26" w:name="v1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4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4_28"/>
      <w:bookmarkEnd w:id="28"/>
    </w:p>
    <w:p>
      <w:pPr>
        <w:pStyle w:val="Heading3"/>
      </w:pPr>
      <w:r>
        <w:t>2.2.1 语料约束与候选范围</w:t>
      </w:r>
      <w:bookmarkStart w:id="29" w:name="v1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正式运行前将按2.6节登记具体权重revision、分词器及环境；当前骨干名称仅为参考设置。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4_34"/>
      <w:bookmarkEnd w:id="34"/>
    </w:p>
    <w:p>
      <w:pPr>
        <w:pStyle w:val="Heading3"/>
      </w:pPr>
      <w:r>
        <w:t>2.6.1 数据划分与使用范围</w:t>
      </w:r>
      <w:bookmarkStart w:id="35" w:name="v1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4_36"/>
      <w:bookmarkEnd w:id="36"/>
    </w:p>
    <w:p>
      <w:r>
        <w:rPr>
          <w:rFonts w:ascii="Times New Roman" w:hAnsi="Times New Roman" w:eastAsia="Songti SC"/>
          <w:color w:val="000000"/>
        </w:rPr>
        <w:t>比较方案统一骨干、源文档分组与严格评价，方法间仅改变声明的增强条件、学习目标或修正策略。表2-2列出估算情景的参考设置与规模，表2-3及配套JSON补齐预览参数；静态配置校验通过不等于训练入口或设备已经验收；情景结果按语料、方法和种子关联，跨章复用同一记录。</w:t>
      </w:r>
    </w:p>
    <w:p>
      <w:pPr>
        <w:pStyle w:val="TableCaption"/>
      </w:pPr>
      <w:r>
        <w:rPr>
          <w:rFonts w:ascii="Times New Roman" w:hAnsi="Times New Roman" w:eastAsia="Songti SC"/>
          <w:color w:val="000000"/>
          <w:sz w:val="21"/>
        </w:rPr>
        <w:t>表2-2 公共配置与评价规模（估算情景）</w:t>
      </w:r>
      <w:bookmarkStart w:id="168" w:name="v14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正式运行前须冻结数据与折清单、各模型及分词器版本、生成与审核提示、采样参数、损失系数、校准方式、求解器和资源上限。预览中生成、增强、验证与编码统一指定Qwen2.5-7B-Instruct，跨度与评分头结构见表2-3；</w:t>
      </w:r>
      <m:oMath>
        <m:r>
          <m:t xml:space="preserve">ρ</m:t>
        </m:r>
      </m:oMath>
      <w:r>
        <w:rPr>
          <w:rFonts w:ascii="Times New Roman" w:hAnsi="Times New Roman" w:eastAsia="Songti SC"/>
          <w:color w:val="000000"/>
        </w:rPr>
        <w:t>、</w:t>
      </w:r>
      <m:oMath>
        <m:sSub>
          <m:e>
            <m:r>
              <m:t xml:space="preserve">λ</m:t>
            </m:r>
          </m:e>
          <m:sub>
            <m:r>
              <m:t xml:space="preserve">s</m:t>
            </m:r>
            <m:r>
              <m:t xml:space="preserve">u</m:t>
            </m:r>
            <m:r>
              <m:t xml:space="preserve">p</m:t>
            </m:r>
          </m:sub>
        </m:sSub>
      </m:oMath>
      <w:r>
        <w:rPr>
          <w:rFonts w:ascii="Times New Roman" w:hAnsi="Times New Roman" w:eastAsia="Songti SC"/>
          <w:color w:val="000000"/>
        </w:rPr>
        <w:t>、</w:t>
      </w:r>
      <m:oMath>
        <m:sSub>
          <m:e>
            <m:r>
              <m:t xml:space="preserve">λ</m:t>
            </m:r>
          </m:e>
          <m:sub>
            <m:r>
              <m:t xml:space="preserve">C</m:t>
            </m:r>
          </m:sub>
        </m:sSub>
      </m:oMath>
      <w:r>
        <w:rPr>
          <w:rFonts w:ascii="Times New Roman" w:hAnsi="Times New Roman" w:eastAsia="Songti SC"/>
          <w:color w:val="000000"/>
        </w:rPr>
        <w:t>、</w:t>
      </w:r>
      <m:oMath>
        <m:sSub>
          <m:e>
            <m:r>
              <m:t xml:space="preserve">λ</m:t>
            </m:r>
          </m:e>
          <m:sub>
            <m:r>
              <m:t xml:space="preserve">R</m:t>
            </m:r>
          </m:sub>
        </m:sSub>
      </m:oMath>
      <w:r>
        <w:rPr>
          <w:rFonts w:ascii="Times New Roman" w:hAnsi="Times New Roman" w:eastAsia="Songti SC"/>
          <w:color w:val="000000"/>
        </w:rPr>
        <w:t>分别设为1、1、0.5、0.5；这些是预览假设。模型工件revision和实际设备在正式启动时解析、校验并写入运行清单，不能预填虚构的检查点哈希。运行后按附录A关联配置、候选与逐文档计数，分开保存生成、评分和求解成本。</w:t>
      </w:r>
    </w:p>
    <w:p>
      <w:pPr>
        <w:pStyle w:val="TableCaption"/>
      </w:pPr>
      <w:r>
        <w:rPr>
          <w:rFonts w:ascii="Times New Roman" w:hAnsi="Times New Roman" w:eastAsia="Songti SC"/>
          <w:color w:val="000000"/>
          <w:sz w:val="21"/>
        </w:rPr>
        <w:t>表2-3 补充实现配置（预览假设）</w:t>
      </w:r>
      <w:bookmarkStart w:id="247" w:name="v11_evidence_247"/>
      <w:bookmarkEnd w:id="24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07"/>
        <w:gridCol w:w="3339"/>
        <w:gridCol w:w="3858"/>
      </w:tblGrid>
      <w:tr>
        <w:trPr>
          <w:cantSplit/>
          <w:tblHeader/>
        </w:trPr>
        <w:tc>
          <w:tcPr>
            <w:tcW w:type="dxa" w:w="170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模块</w:t>
            </w:r>
          </w:p>
        </w:tc>
        <w:tc>
          <w:tcPr>
            <w:tcW w:type="dxa" w:w="33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固定参数</w:t>
            </w:r>
          </w:p>
        </w:tc>
        <w:tc>
          <w:tcPr>
            <w:tcW w:type="dxa" w:w="38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身份与用途</w:t>
            </w:r>
          </w:p>
        </w:tc>
      </w:tr>
      <w:tr>
        <w:trPr>
          <w:cantSplit/>
        </w:trPr>
        <w:tc>
          <w:tcPr>
            <w:tcW w:type="dxa" w:w="17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模型与分词器</w:t>
            </w:r>
          </w:p>
        </w:tc>
        <w:tc>
          <w:tcPr>
            <w:tcW w:type="dxa" w:w="333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Qwen/Qwen2.5-7B-Instruct</w:t>
            </w:r>
          </w:p>
        </w:tc>
        <w:tc>
          <w:tcPr>
            <w:tcW w:type="dxa" w:w="3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四类模型职责共用该家族；实际revision待启动解析</w:t>
            </w:r>
          </w:p>
        </w:tc>
      </w:tr>
      <w:tr>
        <w:trPr>
          <w:cantSplit/>
        </w:trPr>
        <w:tc>
          <w:tcPr>
            <w:tcW w:type="dxa" w:w="17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跨度与对象头</w:t>
            </w:r>
          </w:p>
        </w:tc>
        <w:tc>
          <w:tcPr>
            <w:tcW w:type="dxa" w:w="333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起止各一线性层；2层MLP，隐藏1024、dropout 0.1</w:t>
            </w:r>
          </w:p>
        </w:tc>
        <w:tc>
          <w:tcPr>
            <w:tcW w:type="dxa" w:w="3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跨度BCE；完整对象sigmoid；新头须实际训练</w:t>
            </w:r>
          </w:p>
        </w:tc>
      </w:tr>
      <w:tr>
        <w:trPr>
          <w:cantSplit/>
        </w:trPr>
        <w:tc>
          <w:tcPr>
            <w:tcW w:type="dxa" w:w="17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优化细节</w:t>
            </w:r>
          </w:p>
        </w:tc>
        <w:tc>
          <w:tcPr>
            <w:tcW w:type="dxa" w:w="333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AdamW，衰减0.01，β=(0.9,0.999)，ε=10⁻⁸</w:t>
            </w:r>
          </w:p>
        </w:tc>
        <w:tc>
          <w:tcPr>
            <w:tcW w:type="dxa" w:w="3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warmup 3%，梯度裁剪1，bfloat16</w:t>
            </w:r>
          </w:p>
        </w:tc>
      </w:tr>
      <w:tr>
        <w:trPr>
          <w:cantSplit/>
        </w:trPr>
        <w:tc>
          <w:tcPr>
            <w:tcW w:type="dxa" w:w="17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头部训练</w:t>
            </w:r>
          </w:p>
        </w:tc>
        <w:tc>
          <w:tcPr>
            <w:tcW w:type="dxa" w:w="333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学习率10⁻³，评分头10 epoch</w:t>
            </w:r>
          </w:p>
        </w:tc>
        <w:tc>
          <w:tcPr>
            <w:tcW w:type="dxa" w:w="3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生成适配仍5 epoch；不得改写为ICIC实际轮数</w:t>
            </w:r>
          </w:p>
        </w:tc>
      </w:tr>
      <w:tr>
        <w:trPr>
          <w:cantSplit/>
        </w:trPr>
        <w:tc>
          <w:tcPr>
            <w:tcW w:type="dxa" w:w="17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损失权重</w:t>
            </w:r>
          </w:p>
        </w:tc>
        <w:tc>
          <w:tcPr>
            <w:tcW w:type="dxa" w:w="333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增强1，头监督1，组件／关系对齐各0.5</w:t>
            </w:r>
          </w:p>
        </w:tc>
        <w:tc>
          <w:tcPr>
            <w:tcW w:type="dxa" w:w="3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预览固定；正式备选0.25／0.5／1仅在训练侧选择</w:t>
            </w:r>
          </w:p>
        </w:tc>
      </w:tr>
      <w:tr>
        <w:trPr>
          <w:cantSplit/>
        </w:trPr>
        <w:tc>
          <w:tcPr>
            <w:tcW w:type="dxa" w:w="17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生成与校准</w:t>
            </w:r>
          </w:p>
        </w:tc>
        <w:tc>
          <w:tcPr>
            <w:tcW w:type="dxa" w:w="333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增强temperature 0.7、top-p 0.9；评价temperature 0</w:t>
            </w:r>
          </w:p>
        </w:tc>
        <w:tc>
          <w:tcPr>
            <w:tcW w:type="dxa" w:w="3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按对象族Platt校准；3折OOF及8∶1∶1用途划分</w:t>
            </w:r>
          </w:p>
        </w:tc>
      </w:tr>
      <w:tr>
        <w:trPr>
          <w:cantSplit/>
        </w:trPr>
        <w:tc>
          <w:tcPr>
            <w:tcW w:type="dxa" w:w="170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硬件与资源</w:t>
            </w:r>
          </w:p>
        </w:tc>
        <w:tc>
          <w:tcPr>
            <w:tcW w:type="dxa" w:w="33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假设1张A100 80GB、64GiB RAM、4 CPU线程</w:t>
            </w:r>
          </w:p>
        </w:tc>
        <w:tc>
          <w:tcPr>
            <w:tcW w:type="dxa" w:w="38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未实际分配；预检槽位上限500万，评分批4096</w:t>
            </w:r>
          </w:p>
        </w:tc>
      </w:tr>
    </w:tbl>
    <w:p>
      <w:r>
        <w:rPr>
          <w:rFonts w:ascii="Times New Roman" w:hAnsi="Times New Roman" w:eastAsia="Songti SC"/>
          <w:color w:val="000000"/>
        </w:rPr>
        <w:t>配置写法沿用ICIC对骨干、LoRA、优化器及修正预算的集中登记方式；ICIC原文没有给出本表GPU型号、所有新头和本版固定训练轮数，这些字段均为新设的预览条件。实际Luna任务使用gpt-5.6-luna、low，其温度、精确快照、token用量未由当前接口提供，不套用本表参数。配套preview_config.json及config_validation.json分别保存参数与静态校验；没有执行Qwen训练或宣称配置已在目标设备生效。</w:t>
      </w:r>
    </w:p>
    <w:p>
      <w:pPr>
        <w:pStyle w:val="Heading3"/>
      </w:pPr>
      <w:r>
        <w:t>2.6.3 统计分析与计算成本</w:t>
      </w:r>
      <w:bookmarkStart w:id="37" w:name="v14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正式运行前，训练侧将T-B的数据构造整体比较和T-E的同数据学习比较列为关键对照；推理侧以RelationOnly和单对象动作分别检验组件可变性与集合表达，以同目标全局ILP检验求解策略取舍。组件优先分步策略补充检验共同决策，其余消融和交互用于机制解释。各关键比较统一报告效应量、文档配对区间、错误代价和完整成本，不因现有人工材料只为部分比较提供区间而改变职责。</w:t>
      </w:r>
    </w:p>
    <w:p>
      <w:r>
        <w:rPr>
          <w:rFonts w:ascii="Times New Roman" w:hAnsi="Times New Roman" w:eastAsia="Songti SC"/>
          <w:color w:val="000000"/>
        </w:rPr>
        <w:t>局部与全局ILP先比较相同逐文档总求解预算，另以相同端到端时限评价部署条件；软件、线程、缓存条件和共同准备开销保持一致，大预算结果不自动视为最优。95%区间为固定三种子条件下逐比较的文档配对区间，未作多重比较校正；区间跨零不能解释为等效，也不以多个未校正区间共同确认全部机制。求解状态、成本及失败记录见附录H.3。</w:t>
      </w:r>
    </w:p>
    <w:p>
      <w:pPr>
        <w:pStyle w:val="Heading2"/>
      </w:pPr>
      <w:r>
        <w:t>2.7 训练与推理的接口</w:t>
      </w:r>
      <w:bookmarkStart w:id="38" w:name="v1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4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4_40"/>
      <w:bookmarkEnd w:id="40"/>
    </w:p>
    <w:p>
      <w:pPr>
        <w:pStyle w:val="Heading2"/>
      </w:pPr>
      <w:r>
        <w:t>3.1 引言</w:t>
      </w:r>
      <w:bookmarkStart w:id="41" w:name="v14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4_42"/>
      <w:bookmarkEnd w:id="42"/>
    </w:p>
    <w:p>
      <w:pPr>
        <w:pStyle w:val="Heading3"/>
      </w:pPr>
      <w:r>
        <w:t>3.2.1 类型条件低秩适配</w:t>
      </w:r>
      <w:bookmarkStart w:id="43" w:name="v14_43"/>
      <w:bookmarkEnd w:id="43"/>
    </w:p>
    <w:p>
      <w:r>
        <w:rPr>
          <w:rFonts w:ascii="Times New Roman" w:hAnsi="Times New Roman" w:eastAsia="Songti SC"/>
          <w:color w:val="000000"/>
        </w:rPr>
        <w:t xml:space="preserve">本节说明前期专项建模与新增学习目标的接口。参考骨干为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4_45"/>
      <w:bookmarkEnd w:id="45"/>
    </w:p>
    <w:p>
      <w:pPr>
        <w:pStyle w:val="Heading3"/>
      </w:pPr>
      <w:r>
        <w:t>3.3.1 改写区域与关系因素</w:t>
      </w:r>
      <w:bookmarkStart w:id="46" w:name="v1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4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4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4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正式运行须在训练侧预先登记系数候选范围与选择规则，经开发选择后冻结；本版预览固定系数与实际运行身份要求见2.6.2节，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4_53"/>
      <w:bookmarkEnd w:id="53"/>
    </w:p>
    <w:p>
      <w:pPr>
        <w:pStyle w:val="Heading3"/>
      </w:pPr>
      <w:r>
        <w:t>3.5.1 数据构造与参数学习</w:t>
      </w:r>
      <w:bookmarkStart w:id="54" w:name="v1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4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按源文档等频取训练批次；读取原文及其已接受视图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4_56"/>
      <w:bookmarkEnd w:id="56"/>
    </w:p>
    <w:p>
      <w:r>
        <w:rPr>
          <w:rFonts w:ascii="Times New Roman" w:hAnsi="Times New Roman" w:eastAsia="Songti SC"/>
          <w:color w:val="000000"/>
        </w:rPr>
        <w:t>本节数值、审计判断和成本为估算情景，用于展示比较与分析；正式结果须由对应原始文本和运行记录整体替换。</w:t>
      </w:r>
    </w:p>
    <w:p>
      <w:r>
        <w:rPr>
          <w:rFonts w:ascii="Times New Roman" w:hAnsi="Times New Roman" w:eastAsia="Songti SC"/>
          <w:color w:val="000000"/>
        </w:rPr>
        <w:t>本章以监督可靠性诊断为前提，按2.6.3预定的T-B、T-E分别评价数据构造整体及同数据学习增量；中心策略和过滤消融补充解释其条件。可靠性诊断关注改写后的标签，任务比较关注原始测试文本上的严格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4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4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普通增强的整体作用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4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接受样本的标签漂移率（%）（估算情景）</w:t>
      </w:r>
      <w:bookmarkStart w:id="175" w:name="v14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接受与拒绝样本的因素漂移审计（估算情景）</w:t>
      </w:r>
      <w:bookmarkStart w:id="176" w:name="v14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4_59"/>
      <w:bookmarkEnd w:id="59"/>
    </w:p>
    <w:p>
      <w:pPr>
        <w:pStyle w:val="TableCaption"/>
      </w:pPr>
      <w:r>
        <w:rPr>
          <w:rFonts w:ascii="Times New Roman" w:hAnsi="Times New Roman" w:eastAsia="Songti SC"/>
          <w:color w:val="000000"/>
          <w:sz w:val="21"/>
        </w:rPr>
        <w:t>表3-5 训练方案的严格抽取结果（匹配训练规模）（估算情景）</w:t>
      </w:r>
      <w:bookmarkStart w:id="177" w:name="v14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78.57±0.36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53.64±0.45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70.48±0.34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48.46±0.28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78.77±0.37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53.86±0.55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70.67±0.21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48.67±0.17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79.37±0.42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54.96±0.28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71.27±0.24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49.76±0.43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79.88±0.46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71.98±0.28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50.96±0.50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56.66±0.20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72.27±0.44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51.37±0.35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T1相对T0的严格关系F1分别增加4.52和4.42个百分点，这一总差值包含数据构造、头监督和成对学习。T-B中QOS式适配与完整增强均采用基础损失：对照表3-6首行，AAEC为54.96对55.66，CDCP为49.76对50.47，差值为0.70和0.71个百分点。该差值同时包含文本、接受源分布与源重加权，故解释为数据构造整体效应。过滤消融固定生成池与学习配置，仍可能改变接受覆盖；其情景差值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相同增强集合上的学习目标比较（匹配训练规模）（估算情景）</w:t>
      </w:r>
      <w:bookmarkStart w:id="178" w:name="v14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79.68±0.31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55.66±0.50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50.47±0.33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79.98±0.00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56.56±0.63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72.27±0.64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51.24±0.47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表3-6的三行使用完全相同的增强文本、来源权重和更新条件。增加头监督先建立组件与完整关系因素的输入表示；加入成对对齐后，AAEC与CDCP的关系F1分别再增加1.21和1.22个百分点，情景文档配对95%区间为[+0.40, +2.01]和[+0.22, +2.22]。完整结果同时包含数据构造、辅助监督和成对目标三部分，不能将总增量全部归给对齐项。区间只反映既定计数模型内的重采样变化，不是实际方法效应的置信区间。</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训练方案与学习目标的严格关系结果（估算情景）</w:t>
      </w:r>
      <w:bookmarkStart w:id="179" w:name="v14_179"/>
      <w:bookmarkEnd w:id="179"/>
    </w:p>
    <w:p>
      <w:pPr>
        <w:pStyle w:val="Heading3"/>
      </w:pPr>
      <w:r>
        <w:t>3.6.4 中心选择与适用条件</w:t>
      </w:r>
      <w:bookmarkStart w:id="60" w:name="v14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中心匹配的有效覆盖与自匹配（估算情景）</w:t>
      </w:r>
      <w:bookmarkStart w:id="180" w:name="v14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结论中心与匹配随机中心的比较（匹配训练规模）（估算情景）</w:t>
      </w:r>
      <w:bookmarkStart w:id="181" w:name="v14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80.38±0.37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72.56±0.22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52.16±0.40</w:t>
            </w:r>
          </w:p>
        </w:tc>
      </w:tr>
    </w:tbl>
    <w:p>
      <w:pPr>
        <w:spacing w:after="0" w:line="240" w:lineRule="auto"/>
      </w:pPr>
    </w:p>
    <w:p>
      <w:r>
        <w:rPr>
          <w:rFonts w:ascii="Times New Roman" w:hAnsi="Times New Roman" w:eastAsia="Songti SC"/>
          <w:color w:val="000000"/>
        </w:rPr>
        <w:t>结论中心相对匹配随机中心的关系差值为AAEC 0.22、CDCP 0.30个百分点，情景配对95%区间分别为[-0.35, +0.81]、[-0.61, +1.23]。区间均含0；即使在这一设定中，也不能把完整方案增量归因于中心角色。</w:t>
      </w:r>
    </w:p>
    <w:p>
      <w:pPr>
        <w:pStyle w:val="Heading3"/>
      </w:pPr>
      <w:r>
        <w:t>3.6.5 生成覆盖与计算成本</w:t>
      </w:r>
      <w:bookmarkStart w:id="61" w:name="v14_61"/>
      <w:bookmarkEnd w:id="61"/>
    </w:p>
    <w:p>
      <w:pPr>
        <w:pStyle w:val="TableCaption"/>
      </w:pPr>
      <w:r>
        <w:rPr>
          <w:rFonts w:ascii="Times New Roman" w:hAnsi="Times New Roman" w:eastAsia="Songti SC"/>
          <w:color w:val="000000"/>
          <w:sz w:val="21"/>
        </w:rPr>
        <w:t>表3-9 固定尝试预算下的覆盖与构造成本（估算情景）</w:t>
      </w:r>
      <w:bookmarkStart w:id="182" w:name="v14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4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3"/>
      </w:pPr>
      <w:r>
        <w:t>3.6.7 Luna改写与筛选的真实诊断</w:t>
      </w:r>
      <w:bookmarkStart w:id="248" w:name="v11_evidence_248"/>
      <w:bookmarkEnd w:id="248"/>
    </w:p>
    <w:p>
      <w:r>
        <w:rPr>
          <w:rFonts w:ascii="Times New Roman" w:hAnsi="Times New Roman" w:eastAsia="Songti SC"/>
          <w:color w:val="000000"/>
        </w:rPr>
        <w:t>在AAEC、CDCP训练侧各固定16篇文本，按长度四分位和预定哈希选样，每篇对至多3个组件生成简洁、流畅两个改写，共64个变体。生成者不读取关系标签；筛选与复核由两个全新上下文分别执行，均请求gpt-5.6-luna／low。复核不读取筛选接受标志。原文与改写后的标签分别判定，先排除原标签本就被模型否定或无法判断的因素，再统计改写诱发变化；这种设计不把模型质疑原标注误算为监督漂移。</w:t>
      </w:r>
    </w:p>
    <w:p>
      <w:pPr>
        <w:pStyle w:val="TableCaption"/>
      </w:pPr>
      <w:r>
        <w:rPr>
          <w:rFonts w:ascii="Times New Roman" w:hAnsi="Times New Roman" w:eastAsia="Songti SC"/>
          <w:color w:val="000000"/>
          <w:sz w:val="21"/>
        </w:rPr>
        <w:t>表3-10 同一真实改写池的筛选与复核</w:t>
      </w:r>
      <w:bookmarkStart w:id="249" w:name="v11_evidence_249"/>
      <w:bookmarkEnd w:id="24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06"/>
        <w:gridCol w:w="2378"/>
        <w:gridCol w:w="1272"/>
        <w:gridCol w:w="1272"/>
        <w:gridCol w:w="1438"/>
        <w:gridCol w:w="1438"/>
      </w:tblGrid>
      <w:tr>
        <w:trPr>
          <w:cantSplit/>
          <w:tblHeader/>
        </w:trPr>
        <w:tc>
          <w:tcPr>
            <w:tcW w:type="dxa" w:w="110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3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筛选</w:t>
            </w:r>
          </w:p>
        </w:tc>
        <w:tc>
          <w:tcPr>
            <w:tcW w:type="dxa" w:w="12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接受／32</w:t>
            </w:r>
          </w:p>
        </w:tc>
        <w:tc>
          <w:tcPr>
            <w:tcW w:type="dxa" w:w="12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源覆盖／16</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接受中变化</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接受中待定</w:t>
            </w:r>
          </w:p>
        </w:tc>
      </w:tr>
      <w:tr>
        <w:trPr>
          <w:cantSplit/>
        </w:trPr>
        <w:tc>
          <w:tcPr>
            <w:tcW w:type="dxa" w:w="110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3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仅格式</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32/32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16/16</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w:t>
            </w:r>
          </w:p>
        </w:tc>
      </w:tr>
      <w:tr>
        <w:trPr>
          <w:cantSplit/>
        </w:trPr>
        <w:tc>
          <w:tcPr>
            <w:tcW w:type="dxa" w:w="110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3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成分＋内部正</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30/32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15/16</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w:t>
            </w:r>
          </w:p>
        </w:tc>
      </w:tr>
      <w:tr>
        <w:trPr>
          <w:cantSplit/>
        </w:trPr>
        <w:tc>
          <w:tcPr>
            <w:tcW w:type="dxa" w:w="110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3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成分＋完整影响域</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28/32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14/16</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w:t>
            </w:r>
          </w:p>
        </w:tc>
      </w:tr>
      <w:tr>
        <w:trPr>
          <w:cantSplit/>
        </w:trPr>
        <w:tc>
          <w:tcPr>
            <w:tcW w:type="dxa" w:w="110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3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仅格式</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32/32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16/16</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w:t>
            </w:r>
          </w:p>
        </w:tc>
      </w:tr>
      <w:tr>
        <w:trPr>
          <w:cantSplit/>
        </w:trPr>
        <w:tc>
          <w:tcPr>
            <w:tcW w:type="dxa" w:w="110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3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成分＋内部正</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29/32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15/16</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43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w:t>
            </w:r>
          </w:p>
        </w:tc>
      </w:tr>
      <w:tr>
        <w:trPr>
          <w:cantSplit/>
        </w:trPr>
        <w:tc>
          <w:tcPr>
            <w:tcW w:type="dxa" w:w="110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3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成分＋完整影响域</w:t>
            </w:r>
          </w:p>
        </w:tc>
        <w:tc>
          <w:tcPr>
            <w:tcW w:type="dxa" w:w="12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23/32</w:t>
            </w:r>
          </w:p>
        </w:tc>
        <w:tc>
          <w:tcPr>
            <w:tcW w:type="dxa" w:w="12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12/16</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w:t>
            </w:r>
          </w:p>
        </w:tc>
      </w:tr>
    </w:tbl>
    <w:p>
      <w:r>
        <w:rPr>
          <w:rFonts w:ascii="Times New Roman" w:hAnsi="Times New Roman" w:eastAsia="Songti SC"/>
          <w:color w:val="000000"/>
        </w:rPr>
        <w:t>表中“变化”是复核模型对成分含义、类型或关系标签变化的判定，“待定”包含原标签分歧，不计作确认稳定。AAEC的32个变体中24个未检出漂移、8个待定；CDCP为21个未检出、10个待定、1个成分含义变化。后者为00423的obligation改成debt，两路模型均认为范围收窄，但原上下文就在讨论债务，仍需人工裁决；不能称为已确认的严重语义错误。</w:t>
      </w:r>
    </w:p>
    <w:p>
      <w:r>
        <w:rPr>
          <w:rFonts w:ascii="Times New Roman" w:hAnsi="Times New Roman" w:eastAsia="Songti SC"/>
          <w:color w:val="000000"/>
        </w:rPr>
        <w:t>448个关系因素与变体配对中，复核模型认可原标签的有430个，未检测到其中任何关系标签因改写改变；其余18个属于原标签分歧。因此本试验不支持“原始关系漂移较高”或“完整影响域比简化检查多发现漂移”。两种语义筛选都拒绝了同一个成分变化例；完整筛选在CDCP另拒绝3个复核未检出漂移的变体，简化筛选为1个。这里描述的是相对模型复核的拒绝代价，并非人工金标准误拒率。</w:t>
      </w:r>
    </w:p>
    <w:p>
      <w:r>
        <w:rPr>
          <w:rFonts w:ascii="Times New Roman" w:hAnsi="Times New Roman" w:eastAsia="Songti SC"/>
          <w:color w:val="000000"/>
        </w:rPr>
        <w:t>64个变体均不是原样复制；AAEC和CDCP改写区域的字面编辑距离中位数分别为0.793和0.671，不能解释为语义多样性。两路变体状态判断分别在28／32和23／32例上一致。样本较小、改写要求保守、NONE只按预定槽位抽样且两路模型同源，结论只覆盖本池。正文保留完整影响域作为可检验机制；对本池优先采用更简单的语义检查，并将完整筛选的采用条件写为：在独立人工复核中检出额外漂移且覆盖代价可接受。模拟表3-3、3-4不由该真实试验产生。</w:t>
      </w:r>
    </w:p>
    <w:p>
      <w:pPr>
        <w:pStyle w:val="Heading2"/>
      </w:pPr>
      <w:r>
        <w:t>3.7 本章小结</w:t>
      </w:r>
      <w:bookmarkStart w:id="63" w:name="v14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新增改写池尚未显示完整筛选的额外收益；人工语义判断、源选择偏移和训练增量仍需同源记录验证，不由低漂移或字面变化推定方法有效。</w:t>
      </w:r>
    </w:p>
    <w:p>
      <w:pPr>
        <w:pStyle w:val="Heading1"/>
      </w:pPr>
      <w:r>
        <w:t>第四章 多候选驱动的依赖闭合论辩图修正</w:t>
      </w:r>
      <w:bookmarkStart w:id="64" w:name="v14_64"/>
      <w:bookmarkEnd w:id="64"/>
    </w:p>
    <w:p>
      <w:pPr>
        <w:pStyle w:val="Heading2"/>
      </w:pPr>
      <w:r>
        <w:t>4.1 引言</w:t>
      </w:r>
      <w:bookmarkStart w:id="65" w:name="v14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附录D.3已补充既存CPU诊断的初始错误、端点条件及一步动作限制；该弱模型的过度分割不能代表目标LLM。4.6.7进一步给出生成候选中的组件补入、完整关系恢复及失败轨迹，并在固定候选和初始图上检验评分输入的调整。简化候选及未校准评分仍限制方法归因，正式目标模型诊断按H.1执行。</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4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4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4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4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4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4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spacing w:line="380" w:lineRule="exact"/>
      </w:pPr>
      <w:r>
        <w:rPr>
          <w:rFonts w:ascii="Times New Roman" w:hAnsi="Times New Roman" w:eastAsia="Songti SC"/>
          <w:color w:val="000000"/>
          <w:sz w:val="22"/>
        </w:rPr>
        <w:t>不同语料的原生约束分别登记。ArgUNSC与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11）。</w:t>
      </w:r>
    </w:p>
    <w:p>
      <w:pPr>
        <w:pStyle w:val="Heading3"/>
      </w:pPr>
      <w:r>
        <w:t>4.2.5 裁剪前规模与资源预检</w:t>
      </w:r>
      <w:bookmarkStart w:id="71" w:name="v14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本版以真实小池枚举量及显式吞吐假设补充成本推测，并计算正式全类型组合的宽松规模界（H.10—H.11）；它们不能量化正式池实际拒绝比例或恢复损失，计量字段仍按H.3保存。</w:t>
      </w:r>
    </w:p>
    <w:p>
      <w:r>
        <w:rPr>
          <w:rFonts w:ascii="Times New Roman" w:hAnsi="Times New Roman" w:eastAsia="Songti SC"/>
          <w:color w:val="000000"/>
        </w:rPr>
        <w:t>正式定义保留全类型候选的参考边界；对组合数过大的CDCP，受限源组提案作为资源适配选项，必须单独命名、冻结并重测覆盖，不再假设4096的最终上限足以控制准备成本。4.6.8仅验证一个轻量提案池，未证明其多源召回充分；所有局部／全局对照使用同一候选快照。资源字段及失败分母见附录H.3。</w:t>
      </w:r>
    </w:p>
    <w:p>
      <w:pPr>
        <w:pStyle w:val="Heading2"/>
      </w:pPr>
      <w:r>
        <w:t>4.3 组件集合替换与受影响关系重建</w:t>
      </w:r>
      <w:bookmarkStart w:id="72" w:name="v14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4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4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，算法先求受影响关系的合格可行补全（取得最优性证书时才称为最优），再比较完整的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4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4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D.12以既定候选开展有限对照。</w:t>
      </w:r>
    </w:p>
    <w:p>
      <w:pPr>
        <w:pStyle w:val="Heading3"/>
      </w:pPr>
      <w:r>
        <w:t>4.4.2 训练外候选与概率校准</w:t>
      </w:r>
      <w:bookmarkStart w:id="77" w:name="v14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4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4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4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4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4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4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4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4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4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4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4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4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4_87"/>
      <w:bookmarkEnd w:id="87"/>
    </w:p>
    <w:p>
      <w:r>
        <w:rPr>
          <w:rFonts w:ascii="Times New Roman" w:hAnsi="Times New Roman" w:eastAsia="Songti SC"/>
          <w:color w:val="000000"/>
        </w:rPr>
        <w:t>4.6.1—4.6.6保留估算情景的主比较；4.6.7—4.6.8单列Luna预测、候选与求解诊断。各批材料具有独立的运行身份、分母与成本口径。正式目标模型的完整比较仍按附录H完成。</w:t>
      </w:r>
    </w:p>
    <w:p>
      <w:r>
        <w:rPr>
          <w:rFonts w:ascii="Times New Roman" w:hAnsi="Times New Roman" w:eastAsia="Songti SC"/>
          <w:color w:val="000000"/>
        </w:rPr>
        <w:t>本章主比较固定T1训练条件，以I0为共同起点，按2.6.3区分贡献检验与求解策略比较；4.6.7的独立试验未进行T1训练。RelationOnly和单对象动作直接检验组件可变性与集合表达，同目标全局ILP检验局部策略的采用价值，组件优先分步策略补充检验共同决策。组件及完整关系计数评价最终输出，覆盖、Oracle、对象评分和恢复风险解释增量来源。数学构造保留在方法说明与附录D，用于展示边界情形，不代替完整对照。</w:t>
      </w:r>
    </w:p>
    <w:p>
      <w:pPr>
        <w:pStyle w:val="Heading3"/>
      </w:pPr>
      <w:r>
        <w:t>4.6.1 推理协议与方法对照</w:t>
      </w:r>
      <w:bookmarkStart w:id="88" w:name="v14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4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4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4_89"/>
      <w:bookmarkEnd w:id="89"/>
    </w:p>
    <w:p>
      <w:pPr>
        <w:pStyle w:val="TableCaption"/>
      </w:pPr>
      <w:r>
        <w:rPr>
          <w:rFonts w:ascii="Times New Roman" w:hAnsi="Times New Roman" w:eastAsia="Songti SC"/>
          <w:color w:val="000000"/>
          <w:sz w:val="21"/>
        </w:rPr>
        <w:t>表4-3 推理方法的严格抽取结果（估算情景）</w:t>
      </w:r>
      <w:bookmarkStart w:id="189" w:name="v14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58.56±0.45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73.38±0.41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53.96±0.34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59.56±0.43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54.76±0.53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81.27±0.30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59.55±0.34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73.57±0.57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54.56±0.26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81.77±0.33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60.67±0.34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74.07±0.32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55.83±0.29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82.28±0.48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60.07±0.41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74.76±0.30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55.17±0.38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82.58±0.23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75.18±0.27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57.86±0.28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63.06±0.46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75.48±0.53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58.66±0.30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81.36±0.29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59.96±0.35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73.68±0.46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54.86±0.40</w:t>
            </w:r>
          </w:p>
        </w:tc>
      </w:tr>
    </w:tbl>
    <w:p>
      <w:pPr>
        <w:spacing w:after="0" w:line="240" w:lineRule="auto"/>
      </w:pPr>
    </w:p>
    <w:p>
      <w:r>
        <w:rPr>
          <w:rFonts w:ascii="Times New Roman" w:hAnsi="Times New Roman" w:eastAsia="Songti SC"/>
          <w:color w:val="000000"/>
        </w:rPr>
        <w:t>BR-J相对I0在AAEC和CDCP上的关系F1分别增加4.10和4.91个百分点。相对固定组件RelationOnly，高2.31和2.60个百分点，情景配对95%区间为[+1.65, +2.97]、[+1.68, +3.51]；相对单对象动作，高1.20和1.53个百分点，区间为[+0.39, +1.98]、[+0.69, +2.45]。前一比较检验组件可变性，后一比较检验集合表达，均须结合编辑数量、误改及成本解释。这些区间由假设计数重采样得到，不确认真实端点错误上的收益，也不证明每项机制均有必要。</w:t>
      </w:r>
    </w:p>
    <w:p>
      <w:r>
        <w:rPr>
          <w:rFonts w:ascii="Times New Roman" w:hAnsi="Times New Roman" w:eastAsia="Songti SC"/>
          <w:color w:val="000000"/>
        </w:rPr>
        <w:t>作为共同决策的补充比较，BR-J相对于组件优先分步策略的关系增量为2.33和2.80个百分点，情景文档配对95%区间分别为[+1.48, +3.10]和[+1.95, +3.67]。这些结果演示两种策略整体差异的报告方式。两者同时改变信息使用、接受条件和批内排序，不能单独识别纯执行顺序的因果作用。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4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从完整组件到完整关系的候选覆盖（估算情景）</w:t>
      </w:r>
      <w:bookmarkStart w:id="190" w:name="v14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三类恢复空间的关系计数诊断（估算情景）</w:t>
      </w:r>
      <w:bookmarkStart w:id="191" w:name="v14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4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完整对象评分的区分与校准（估算情景）</w:t>
      </w:r>
      <w:bookmarkStart w:id="192" w:name="v14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4_92"/>
      <w:bookmarkEnd w:id="92"/>
    </w:p>
    <w:p>
      <w:pPr>
        <w:pStyle w:val="TableCaption"/>
      </w:pPr>
      <w:r>
        <w:rPr>
          <w:rFonts w:ascii="Times New Roman" w:hAnsi="Times New Roman" w:eastAsia="Songti SC"/>
          <w:color w:val="000000"/>
          <w:sz w:val="21"/>
        </w:rPr>
        <w:t>表4-7 关系恢复与误改的累计计数（估算情景）</w:t>
      </w:r>
      <w:bookmarkStart w:id="193" w:name="v14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94.54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96.30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94.23</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95.92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96.34</w:t>
            </w:r>
          </w:p>
        </w:tc>
      </w:tr>
    </w:tbl>
    <w:p>
      <w:pPr>
        <w:spacing w:after="0" w:line="240" w:lineRule="auto"/>
      </w:pPr>
    </w:p>
    <w:p>
      <w:r>
        <w:rPr>
          <w:rFonts w:ascii="Times New Roman" w:hAnsi="Times New Roman" w:eastAsia="Songti SC"/>
          <w:color w:val="000000"/>
        </w:rPr>
        <w:t>表4-7累加三个情景种子的关系对象变化，恢复为新增真阳性，损失为初始真阳性消失；FP移除与新增分别计数。BR-J在AAEC和CDCP保留了96.30%和95.92%的初始关系真阳性。尽管总体关系F1提高，仍有42和86个文档与种子配对的关系F1下降，分别占17.50%和19.37%。因此，分项代理门不保证每篇文档的真实指标非下降；此处比例同样只是情景生成结果。</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联合修正中的关系恢复与原真阳性损失（估算情景）</w:t>
      </w:r>
      <w:bookmarkStart w:id="194" w:name="v14_194"/>
      <w:bookmarkEnd w:id="194"/>
    </w:p>
    <w:p>
      <w:pPr>
        <w:pStyle w:val="TableCaption"/>
      </w:pPr>
      <w:r>
        <w:rPr>
          <w:rFonts w:ascii="Times New Roman" w:hAnsi="Times New Roman" w:eastAsia="Songti SC"/>
          <w:color w:val="000000"/>
          <w:sz w:val="21"/>
        </w:rPr>
        <w:t>表4-8 推理成本与预算取舍（估算情景）</w:t>
      </w:r>
      <w:bookmarkStart w:id="195" w:name="v14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0.49个百分点。局部与全局的质量差异和TP保留须分别查看表4-3及表4-7，不能预设局部更安全。BR-J求解仅占总时间的5.00%和5.67%，主要成本仍在生成与评分。上述数值是设定成本下的算术关系，不支持突出的效率优势；采用判断须按附录H.3实测准备、求解、失败与尾延迟。</w:t>
      </w:r>
    </w:p>
    <w:p>
      <w:pPr>
        <w:pStyle w:val="Heading3"/>
      </w:pPr>
      <w:r>
        <w:t>4.6.6 预算条件的分析示例</w:t>
      </w:r>
      <w:bookmarkStart w:id="93" w:name="v14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4_94"/>
      <w:bookmarkEnd w:id="94"/>
    </w:p>
    <w:p>
      <w:r>
        <w:rPr>
          <w:rFonts w:ascii="Times New Roman" w:hAnsi="Times New Roman" w:eastAsia="Songti SC"/>
          <w:color w:val="000000"/>
        </w:rPr>
        <w:t>实际试验分为三个独立部分：AAEC 32篇与CDCP 116篇的探索性扩样；ArgUNSC与CasiMedicos-Arg各32篇的固定规模试验；另32篇CDCP的配对评分对照。各部分均请求gpt-5.6-luna／low，使用同一回答中的g0、g1构造有限候选，由新上下文任务评分，再运行BRJ-lite及RelationOnly。BRJ-lite保留依赖闭合、分项接受门和编辑预算，未训练本文的生成骨干或对象评分器，因此不替代表4-3的完整BR-J。原始记录、失败分母及协议差异见D.7—D.12。</w:t>
      </w:r>
    </w:p>
    <w:p>
      <w:pPr>
        <w:pStyle w:val="TableCaption"/>
      </w:pPr>
      <w:r>
        <w:rPr>
          <w:rFonts w:ascii="Times New Roman" w:hAnsi="Times New Roman" w:eastAsia="Songti SC"/>
          <w:color w:val="000000"/>
          <w:sz w:val="21"/>
        </w:rPr>
        <w:t>表4-9 Luna探索性扩样的严格结果（真实运行）</w:t>
      </w:r>
      <w:bookmarkStart w:id="237" w:name="v10_real_237"/>
      <w:bookmarkEnd w:id="23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77"/>
        <w:gridCol w:w="1010"/>
        <w:gridCol w:w="2478"/>
        <w:gridCol w:w="1744"/>
        <w:gridCol w:w="2295"/>
      </w:tblGrid>
      <w:tr>
        <w:trPr>
          <w:cantSplit/>
          <w:tblHeader/>
        </w:trPr>
        <w:tc>
          <w:tcPr>
            <w:tcW w:type="dxa" w:w="137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01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篇数</w:t>
            </w:r>
          </w:p>
        </w:tc>
        <w:tc>
          <w:tcPr>
            <w:tcW w:type="dxa" w:w="24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17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29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14.08</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14.08</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27.58</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1.44</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116</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29.47</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1.54</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116</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27.49</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37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01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116</w:t>
            </w:r>
          </w:p>
        </w:tc>
        <w:tc>
          <w:tcPr>
            <w:tcW w:type="dxa" w:w="24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7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18.53</w:t>
            </w:r>
          </w:p>
        </w:tc>
        <w:tc>
          <w:tcPr>
            <w:tcW w:type="dxa" w:w="22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r>
        <w:rPr>
          <w:rFonts w:ascii="Times New Roman" w:hAnsi="Times New Roman" w:eastAsia="Songti SC"/>
          <w:color w:val="000000"/>
        </w:rPr>
        <w:t>表4-9包含原16篇及新增132篇，按全部文档TP、FP、FN汇总计算F1。AAEC有4篇完整关系F1提高，CDCP无提高例；CDCP另有9篇显式失败，全部计入修正结果分母。旧协议的MCR列保留其选中的原始图，即使结构非法，而失败修正计为空输出；两列的差异因而包含初始化失败的影响。扩样曾按是否找到正例决定CDCP后续波次，不据本表估计总体改善概率或作独立测试集推断。</w:t>
      </w:r>
    </w:p>
    <w:p>
      <w:r>
        <w:rPr>
          <w:rFonts w:ascii="Times New Roman" w:hAnsi="Times New Roman" w:eastAsia="Songti SC"/>
          <w:color w:val="000000"/>
        </w:rPr>
        <w:t>AAEC essay051提供了超出标点变体的恢复案例。初始图遗漏“多数图书馆设施可长期使用”这一前提；尝试19从模型生成候选中将其补入，并重建其对“投资图书馆有长期效果”的supports关系。两个端点均为生成候选，完整关系来自有限槽位补充，原g0、g1均未直接含有该正确关系。BRJ-lite关系F1由0升至8.00，RelationOnly仍为0；终态为1 TP、8 FP、15 FN。该例说明组件补入可打开固定组件修正无法使用的关系端点，但缺少单对象和分步对照，尚不能证明集合事务或共同决策的独立优势。</w:t>
      </w:r>
    </w:p>
    <w:p>
      <w:r>
        <w:rPr>
          <w:rFonts w:ascii="Times New Roman" w:hAnsi="Times New Roman" w:eastAsia="Songti SC"/>
          <w:color w:val="000000"/>
        </w:rPr>
        <w:t>AAEC essay001则揭示初选与恢复之间的联系。MCR选择g1后丢失了g0已有的正确对象；尝试1补入目标Claim，尝试7补入前提并恢复supports关系，完整关系F1由0升至12.50，而RelationOnly为0。终态仍含9个关系FP和5个FN。两例均来自全部四个严格正例，另两例essay078、essay085涉及句末标点边界。扩样恢复的55个正确组件中，28个来自标点变体、27个来自生成候选，不能把所有恢复解释成同一种机制。</w:t>
      </w:r>
    </w:p>
    <w:p>
      <w:r>
        <w:rPr>
          <w:rFonts w:ascii="Times New Roman" w:hAnsi="Times New Roman" w:eastAsia="Songti SC"/>
          <w:color w:val="000000"/>
        </w:rPr>
        <w:t>CDCP的负结果给出不同的限制。冻结池仅命中22／200条完整金标关系，19条多源金标关系均未入池；已入池的22条中有19条按原评分规约取得0.05。旧116篇的485个初始组件中，178个完整命中、74个跨度正确但类型错误，其中value→fact为35个、testimony→fact为14个；其余233个没有精确金标跨度对应。该分解提示原生类型语义与候选覆盖值得优先检查，但不能把误差全部归因于提示。01057中，正确reason关系因0.05分被删除，关系F1从33.33降至0，RelationOnly也发生同一损失；合法提交与代理增分不能替代真实正确性。</w:t>
      </w:r>
    </w:p>
    <w:p>
      <w:pPr>
        <w:pStyle w:val="TableCaption"/>
      </w:pPr>
      <w:r>
        <w:rPr>
          <w:rFonts w:ascii="Times New Roman" w:hAnsi="Times New Roman" w:eastAsia="Songti SC"/>
          <w:color w:val="000000"/>
          <w:sz w:val="21"/>
        </w:rPr>
        <w:t>表4-10 新增原生语料的固定样本结果（真实运行）</w:t>
      </w:r>
      <w:bookmarkStart w:id="238" w:name="v10_real_238"/>
      <w:bookmarkEnd w:id="23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66"/>
        <w:gridCol w:w="2161"/>
        <w:gridCol w:w="1729"/>
        <w:gridCol w:w="2248"/>
      </w:tblGrid>
      <w:tr>
        <w:trPr>
          <w:cantSplit/>
          <w:tblHeader/>
        </w:trPr>
        <w:tc>
          <w:tcPr>
            <w:tcW w:type="dxa" w:w="276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172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2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9.34</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1.08</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9.34</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8.62</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10.86</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0.83</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10.86</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7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CasiMedicos-Arg</w:t>
            </w:r>
          </w:p>
        </w:tc>
        <w:tc>
          <w:tcPr>
            <w:tcW w:type="dxa" w:w="21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72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9.23</w:t>
            </w:r>
          </w:p>
        </w:tc>
        <w:tc>
          <w:tcPr>
            <w:tcW w:type="dxa" w:w="22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r>
        <w:rPr>
          <w:rFonts w:ascii="Times New Roman" w:hAnsi="Times New Roman" w:eastAsia="Songti SC"/>
          <w:color w:val="000000"/>
        </w:rPr>
        <w:t>ArgUNSC保留全部32篇，64个候选图中58个通过解析、58个满足实现的结构检查，1篇初始化失败。金标共有828个组件和505条完整关系，冻结池分别命中61和4个；按逐文档关系F1计，BRJ-lite表现为0篇提高、3篇下降、29篇不变。失败输出计为空预测，金标保持在分母；格式遵循、候选覆盖和修正变化分别解释，不能从成功子集外推整个语料。</w:t>
      </w:r>
    </w:p>
    <w:p>
      <w:r>
        <w:rPr>
          <w:rFonts w:ascii="Times New Roman" w:hAnsi="Times New Roman" w:eastAsia="Songti SC"/>
          <w:color w:val="000000"/>
        </w:rPr>
        <w:t>CasiMedicos-Arg保留全部32篇，64个候选图中29个通过解析、26个满足实现的结构检查，14篇初始化失败。金标共有389个组件和211条完整关系，冻结池分别命中34和3个；按逐文档关系F1计，BRJ-lite表现为0篇提高、1篇下降、31篇不变。失败输出计为空预测，金标保持在分母；格式遵循、候选覆盖和修正变化分别解释，不能从成功子集外推整个语料。</w:t>
      </w:r>
    </w:p>
    <w:p>
      <w:r>
        <w:rPr>
          <w:rFonts w:ascii="Times New Roman" w:hAnsi="Times New Roman" w:eastAsia="Songti SC"/>
          <w:color w:val="000000"/>
        </w:rPr>
        <w:t>CDCP配对试验采用32篇未进入前述审计集合的官方训练文档。两种评分方案固定相同生成结果、候选池、原评分MCR选择的初始图和全部预算，并分别运行BRJ-lite与RelationOnly。“原生显式”方案同时加强fact／testimony／value／policy／reference及reason／evidence的原生说明，并要求每个候选显式给分或标记未知。它是两个输入因素的组合干预，不能单独归因于标签说明或输出格式。</w:t>
      </w:r>
    </w:p>
    <w:p>
      <w:pPr>
        <w:pStyle w:val="TableCaption"/>
      </w:pPr>
      <w:r>
        <w:rPr>
          <w:rFonts w:ascii="Times New Roman" w:hAnsi="Times New Roman" w:eastAsia="Songti SC"/>
          <w:color w:val="000000"/>
          <w:sz w:val="21"/>
        </w:rPr>
        <w:t>表4-11 CDCP相同候选与初始图下的评分对照（真实运行）</w:t>
      </w:r>
      <w:bookmarkStart w:id="239" w:name="v10_real_239"/>
      <w:bookmarkEnd w:id="23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203"/>
        <w:gridCol w:w="2478"/>
        <w:gridCol w:w="1836"/>
        <w:gridCol w:w="2387"/>
      </w:tblGrid>
      <w:tr>
        <w:trPr>
          <w:cantSplit/>
          <w:tblHeader/>
        </w:trPr>
        <w:tc>
          <w:tcPr>
            <w:tcW w:type="dxa" w:w="220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评分方案</w:t>
            </w:r>
          </w:p>
        </w:tc>
        <w:tc>
          <w:tcPr>
            <w:tcW w:type="dxa" w:w="24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修正策略</w:t>
            </w:r>
          </w:p>
        </w:tc>
        <w:tc>
          <w:tcPr>
            <w:tcW w:type="dxa" w:w="18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38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共同初始</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26.21</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3.33</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原评分</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26.21</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原评分</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18.23</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原生显式</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26.21</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1.65</w:t>
            </w:r>
          </w:p>
        </w:tc>
      </w:tr>
      <w:tr>
        <w:trPr>
          <w:cantSplit/>
        </w:trPr>
        <w:tc>
          <w:tcPr>
            <w:tcW w:type="dxa" w:w="220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原生显式</w:t>
            </w:r>
          </w:p>
        </w:tc>
        <w:tc>
          <w:tcPr>
            <w:tcW w:type="dxa" w:w="24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8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20.81</w:t>
            </w:r>
          </w:p>
        </w:tc>
        <w:tc>
          <w:tcPr>
            <w:tcW w:type="dxa" w:w="238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bl>
    <w:p>
      <w:r>
        <w:rPr>
          <w:rFonts w:ascii="Times New Roman" w:hAnsi="Times New Roman" w:eastAsia="Songti SC"/>
          <w:color w:val="000000"/>
        </w:rPr>
        <w:t>原评分BRJ-lite相对共同初始图恢复0条真关系、损失2条，新增／移除错误关系为86／52；原生显式方案对应1、2及47／41。两方案复用同一批通过检查的初始图，未重新挑选更有利初始图。分数改变后修正路径也可能改变，因此需同时看真阳性保留、误报和RelationOnly结果，不能仅以接受次数或代理效用判断改进。</w:t>
      </w:r>
    </w:p>
    <w:p>
      <w:r>
        <w:rPr>
          <w:rFonts w:ascii="Times New Roman" w:hAnsi="Times New Roman" w:eastAsia="Songti SC"/>
          <w:color w:val="000000"/>
        </w:rPr>
        <w:t>CDCP 00846提供原生显式评分下的严格正例。原文以“消费者未必知道债权人及其联系方式”作为“通知应列明债权人的地址和电话”的reason；两端点已在共同初始图中，该完整关系只在补充槽位中。其分数由原评分的0.05变为0.75，首次关系提议即将其加入，关系F1由0升至18.18，终态为1 TP、3 FP、6 FN，组件未变化。RelationOnly恢复了同一条关系并取得相同终态，因此该例支持评分与候选关系重建的作用，不能单独支持组件集合替换的增量。</w:t>
      </w:r>
    </w:p>
    <w:p>
      <w:r>
        <w:rPr>
          <w:rFonts w:ascii="Times New Roman" w:hAnsi="Times New Roman" w:eastAsia="Songti SC"/>
          <w:color w:val="000000"/>
        </w:rPr>
        <w:t>本次原生显式评分的严格关系F1高于原评分，表明在这批固定输入上评分接口的组合调整有所改善；但它仍低于共同初始图的3.33，且未保住原有两条真关系，尚不能作为总体修正有效的证据。它仍不能补回池外边界、原生类型或完整源组合。方法层面保留原生任务定义和评分缺失检查，研究结论限定于实际发生的对象变化；完整候选构造、训练评分器与局部／全局比较仍须另行验证。</w:t>
      </w:r>
    </w:p>
    <w:p>
      <w:pPr>
        <w:pStyle w:val="Heading3"/>
      </w:pPr>
      <w:r>
        <w:t>4.6.8 候选修复与求解范围的真实对照</w:t>
      </w:r>
      <w:bookmarkStart w:id="250" w:name="v11_evidence_250"/>
      <w:bookmarkEnd w:id="250"/>
    </w:p>
    <w:p>
      <w:r>
        <w:rPr>
          <w:rFonts w:ascii="Times New Roman" w:hAnsi="Times New Roman" w:eastAsia="Songti SC"/>
          <w:color w:val="000000"/>
        </w:rPr>
        <w:t>为诊断正确关系过少的原因，在既有CDCP、ArgUNSC、CasiMedicos样本中各固定8篇，按长度分层和预定哈希取样，共24篇。该集合复用了已经观察过结果的文本，属于诊断复用，不能称为独立测试集。追加的6项Luna任务仅抽取成分和至多一种备选类型，不同时输出关系；先独立解析旧输出中可定位的成分，再加入新成分，最后一次性扩展边界和CDCP相邻2／3成员源组。候选构建不读金标，冻结后才核查覆盖。</w:t>
      </w:r>
    </w:p>
    <w:p>
      <w:pPr>
        <w:pStyle w:val="TableCaption"/>
      </w:pPr>
      <w:r>
        <w:rPr>
          <w:rFonts w:ascii="Times New Roman" w:hAnsi="Times New Roman" w:eastAsia="Songti SC"/>
          <w:color w:val="000000"/>
          <w:sz w:val="21"/>
        </w:rPr>
        <w:t>表4-12 成分接口调整后的严格候选覆盖（真实输出）</w:t>
      </w:r>
      <w:bookmarkStart w:id="251" w:name="v11_evidence_251"/>
      <w:bookmarkEnd w:id="25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592"/>
        <w:gridCol w:w="2123"/>
        <w:gridCol w:w="1415"/>
        <w:gridCol w:w="1415"/>
        <w:gridCol w:w="1179"/>
        <w:gridCol w:w="1180"/>
      </w:tblGrid>
      <w:tr>
        <w:trPr>
          <w:cantSplit/>
          <w:tblHeader/>
        </w:trPr>
        <w:tc>
          <w:tcPr>
            <w:tcW w:type="dxa" w:w="159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2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候选层</w:t>
            </w:r>
          </w:p>
        </w:tc>
        <w:tc>
          <w:tcPr>
            <w:tcW w:type="dxa" w:w="141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组件命中</w:t>
            </w:r>
          </w:p>
        </w:tc>
        <w:tc>
          <w:tcPr>
            <w:tcW w:type="dxa" w:w="141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关系入池</w:t>
            </w:r>
          </w:p>
        </w:tc>
        <w:tc>
          <w:tcPr>
            <w:tcW w:type="dxa" w:w="117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组件数</w:t>
            </w:r>
          </w:p>
        </w:tc>
        <w:tc>
          <w:tcPr>
            <w:tcW w:type="dxa" w:w="118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关系数</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原候选</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11/177</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0/107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61</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816</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成分独立解析</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16/177</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1/107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83</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2060</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另行成分抽取</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30/177</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3/107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139</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6148</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再扩边界／源组</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31/177</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3/107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516</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52864</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原候选</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6/90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29</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378</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成分独立解析</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20/90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81</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1378</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另行成分抽取</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42/90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13/37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166</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6390</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再扩边界／源组</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43/90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13/37</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541</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52282</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原候选</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6/50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1/22</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55</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692</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成分独立解析</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6/50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1/22</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55</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692</w:t>
            </w:r>
          </w:p>
        </w:tc>
      </w:tr>
      <w:tr>
        <w:trPr>
          <w:cantSplit/>
        </w:trPr>
        <w:tc>
          <w:tcPr>
            <w:tcW w:type="dxa" w:w="159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另行成分抽取</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16/50</w:t>
            </w:r>
          </w:p>
        </w:tc>
        <w:tc>
          <w:tcPr>
            <w:tcW w:type="dxa" w:w="141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2/22</w:t>
            </w:r>
          </w:p>
        </w:tc>
        <w:tc>
          <w:tcPr>
            <w:tcW w:type="dxa" w:w="117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153</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5944</w:t>
            </w:r>
          </w:p>
        </w:tc>
      </w:tr>
      <w:tr>
        <w:trPr>
          <w:cantSplit/>
        </w:trPr>
        <w:tc>
          <w:tcPr>
            <w:tcW w:type="dxa" w:w="159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2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再扩边界／源组</w:t>
            </w:r>
          </w:p>
        </w:tc>
        <w:tc>
          <w:tcPr>
            <w:tcW w:type="dxa" w:w="14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23/50</w:t>
            </w:r>
          </w:p>
        </w:tc>
        <w:tc>
          <w:tcPr>
            <w:tcW w:type="dxa" w:w="14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2/22</w:t>
            </w:r>
          </w:p>
        </w:tc>
        <w:tc>
          <w:tcPr>
            <w:tcW w:type="dxa" w:w="11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534</w:t>
            </w:r>
          </w:p>
        </w:tc>
        <w:tc>
          <w:tcPr>
            <w:tcW w:type="dxa" w:w="118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46866</w:t>
            </w:r>
          </w:p>
        </w:tc>
      </w:tr>
    </w:tbl>
    <w:p>
      <w:r>
        <w:rPr>
          <w:rFonts w:ascii="Times New Roman" w:hAnsi="Times New Roman" w:eastAsia="Songti SC"/>
          <w:color w:val="000000"/>
        </w:rPr>
        <w:t>表4-12各层使用相同文档分母；所有原候选受保护，补充组件上限64、补充槽位4096。该诊断的距离排序和源组保留不等于正式方法的全类型评分排序。CasiMedicos从0／37到13／37说明接口与成分覆盖确实是可改善瓶颈，但这些新关系尚未评分或选入终图，不能写成F1提高。ArgUNSC最高3／107、CDCP最高2／22，仍不足以可靠比较复杂修正机制。增加边界候选显著扩大池，却没有继续增加聚合正确关系数；CasiMedicos实际新增1条、同时在固定裁剪中失去1条，其他两套没有新命中。CDCP两个多源金标仍全部缺失。</w:t>
      </w:r>
    </w:p>
    <w:p>
      <w:r>
        <w:rPr>
          <w:rFonts w:ascii="Times New Roman" w:hAnsi="Times New Roman" w:eastAsia="Songti SC"/>
          <w:color w:val="000000"/>
        </w:rPr>
        <w:t>据此将实现职责拆开：语法错误的关系字段不连带丢弃能够独立定位的成分；二元语料分别输出多条边，CDCP保留完整联合源；新增候选与评分缺失分别登记。CasiMedicos优先完善成分抽取和原生类型学习；ArgUNSC优先处理子句边界及外交语篇的Claim／Premise定义；CDCP优先修复value／fact／testimony混淆和完整源组提案。保留这些接口调整，不以无效的候选膨胀代替任务适配。</w:t>
      </w:r>
    </w:p>
    <w:p>
      <w:r>
        <w:rPr>
          <w:rFonts w:ascii="Times New Roman" w:hAnsi="Times New Roman" w:eastAsia="Songti SC"/>
          <w:color w:val="000000"/>
        </w:rPr>
        <w:t>另在既有96篇的冻结候选、对象分和共同初始图上，比较RelationOnly、单对象、BRJ-lite及同目标全局ILP-lite。CDCP使用稀疏与显式两种评分，因此共有128个文档与评分条件；乘以4个策略和0.25、1、5秒三档求解预算，形成1536条真实执行记录。局部采用累计编辑预算，全局采用终态净编辑预算，包含关系沿用4.6.1；全局实现依次最大化效用、最小化净编辑，未实现完整词典序破同分。</w:t>
      </w:r>
    </w:p>
    <w:p>
      <w:pPr>
        <w:pStyle w:val="TableCaption"/>
      </w:pPr>
      <w:r>
        <w:rPr>
          <w:rFonts w:ascii="Times New Roman" w:hAnsi="Times New Roman" w:eastAsia="Songti SC"/>
          <w:color w:val="000000"/>
          <w:sz w:val="21"/>
        </w:rPr>
        <w:t>表4-13 冻结Luna输入的5秒求解对照（真实运行）</w:t>
      </w:r>
      <w:bookmarkStart w:id="252" w:name="v11_evidence_252"/>
      <w:bookmarkEnd w:id="25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17"/>
        <w:gridCol w:w="2099"/>
        <w:gridCol w:w="1272"/>
        <w:gridCol w:w="1272"/>
        <w:gridCol w:w="1272"/>
        <w:gridCol w:w="1272"/>
      </w:tblGrid>
      <w:tr>
        <w:trPr>
          <w:cantSplit/>
          <w:tblHeader/>
        </w:trPr>
        <w:tc>
          <w:tcPr>
            <w:tcW w:type="dxa" w:w="171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语料／评分</w:t>
            </w:r>
          </w:p>
        </w:tc>
        <w:tc>
          <w:tcPr>
            <w:tcW w:type="dxa" w:w="209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策略</w:t>
            </w:r>
          </w:p>
        </w:tc>
        <w:tc>
          <w:tcPr>
            <w:tcW w:type="dxa" w:w="12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12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w:t>
            </w:r>
          </w:p>
        </w:tc>
        <w:tc>
          <w:tcPr>
            <w:tcW w:type="dxa" w:w="12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均时ms</w:t>
            </w:r>
          </w:p>
        </w:tc>
        <w:tc>
          <w:tcPr>
            <w:tcW w:type="dxa" w:w="12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 ms</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8.62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14.89</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45.95</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全局ILP-lite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6.77</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8.92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33.27</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9.23</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3.63</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17.13</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全局ILP-lite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9.67</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2.25</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11.35</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CDCP显式</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20.81</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1.60</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11.35</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36.32</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CDCP显式</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全局ILP-lite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21.39</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1.59</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7.82</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54.79</w:t>
            </w:r>
          </w:p>
        </w:tc>
      </w:tr>
      <w:tr>
        <w:trPr>
          <w:cantSplit/>
        </w:trPr>
        <w:tc>
          <w:tcPr>
            <w:tcW w:type="dxa" w:w="171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0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18.23</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12.35</w:t>
            </w:r>
          </w:p>
        </w:tc>
        <w:tc>
          <w:tcPr>
            <w:tcW w:type="dxa" w:w="127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39.25</w:t>
            </w:r>
          </w:p>
        </w:tc>
      </w:tr>
      <w:tr>
        <w:trPr>
          <w:cantSplit/>
        </w:trPr>
        <w:tc>
          <w:tcPr>
            <w:tcW w:type="dxa" w:w="171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09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全局ILP-lite</w:t>
            </w:r>
          </w:p>
        </w:tc>
        <w:tc>
          <w:tcPr>
            <w:tcW w:type="dxa" w:w="12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18.23</w:t>
            </w:r>
          </w:p>
        </w:tc>
        <w:tc>
          <w:tcPr>
            <w:tcW w:type="dxa" w:w="12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2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6.32</w:t>
            </w:r>
          </w:p>
        </w:tc>
        <w:tc>
          <w:tcPr>
            <w:tcW w:type="dxa" w:w="12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29.73</w:t>
            </w:r>
          </w:p>
        </w:tc>
      </w:tr>
    </w:tbl>
    <w:p>
      <w:r>
        <w:rPr>
          <w:rFonts w:ascii="Times New Roman" w:hAnsi="Times New Roman" w:eastAsia="Songti SC"/>
          <w:color w:val="000000"/>
        </w:rPr>
        <w:t>各预算下的单对象与BRJ-lite聚合严格计数相同，因此本批没有显示集合动作的独立增量；这不证明两者所有可达图相同。CDCP显式评分下RelationOnly关系F1为1.65，BRJ-lite为1.60，全局为1.59，均低于共同初始图3.33。其余评分条件的修正后关系F1均为0。全局在这些小图上的平均时间反而更低，不能把主情景中局部节时的设定推广到本批。这里计时从候选与分数已准备后开始，不包含模型生成和语义评分。</w:t>
      </w:r>
    </w:p>
    <w:p>
      <w:r>
        <w:rPr>
          <w:rFonts w:ascii="Times New Roman" w:hAnsi="Times New Roman" w:eastAsia="Songti SC"/>
          <w:color w:val="000000"/>
        </w:rPr>
        <w:t>适配性取决于原生表示、候选召回和评分。当前低分首先暴露后两项不足，既不能否定结构机制，也不能证明跨语料有效。若上述适配仍不足，可改用监督跨度／关系抽取器或固定成分的关系判别。AAEC用于恢复案例，CDCP用于多源压力检验，两套新增语料用于迁移局限分析。</w:t>
      </w:r>
    </w:p>
    <w:p>
      <w:pPr>
        <w:pStyle w:val="Heading2"/>
      </w:pPr>
      <w:r>
        <w:t>4.7 本章小结</w:t>
      </w:r>
      <w:bookmarkStart w:id="95" w:name="v14_95"/>
      <w:bookmarkEnd w:id="95"/>
    </w:p>
    <w:p>
      <w:r>
        <w:rPr>
          <w:rFonts w:ascii="Times New Roman" w:hAnsi="Times New Roman" w:eastAsia="Songti SC"/>
          <w:color w:val="000000"/>
        </w:rPr>
        <w:t>本章定义完整图编辑事务及其受限执行性质。真实诊断显示候选与评分仍是瓶颈；单对象与集合动作聚合相同，小图全局求解更快。策略须据质量与成本选择，模拟主表不证明真实优势。</w:t>
      </w:r>
    </w:p>
    <w:p>
      <w:r>
        <w:rPr>
          <w:rFonts w:ascii="Times New Roman" w:hAnsi="Times New Roman" w:eastAsia="Songti SC"/>
          <w:color w:val="000000"/>
        </w:rPr>
        <w:t>真实轻量对照支持先完善候选与评分；完整系统的训练与推理组合，仍需同批受控结果验证。</w:t>
      </w:r>
    </w:p>
    <w:p>
      <w:pPr>
        <w:pStyle w:val="Heading1"/>
      </w:pPr>
      <w:r>
        <w:t>第五章 两阶段框架的综合分析</w:t>
      </w:r>
      <w:bookmarkStart w:id="96" w:name="v14_96"/>
      <w:bookmarkEnd w:id="96"/>
    </w:p>
    <w:p>
      <w:r>
        <w:rPr>
          <w:rFonts w:ascii="Times New Roman" w:hAnsi="Times New Roman" w:eastAsia="Songti SC"/>
          <w:color w:val="000000"/>
        </w:rPr>
        <w:t>本章复用同一批四格人工计数，依次讨论组合增量、对象作用的可识别性，以及训练完成后各配置的在线质量与时间取舍。统计口径的变化不另计为研究发现；5.4节补齐与主表一致的人工成员分析，附录H.8保留非唯一性示例，两者均不充当模型输出。</w:t>
      </w:r>
    </w:p>
    <w:p>
      <w:pPr>
        <w:pStyle w:val="Heading2"/>
      </w:pPr>
      <w:r>
        <w:t>5.1 两阶段的条件增量</w:t>
      </w:r>
      <w:bookmarkStart w:id="97" w:name="v14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两阶段组合的四格结果（估算情景）</w:t>
      </w:r>
      <w:bookmarkStart w:id="197" w:name="v14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79.88±0.53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52.47±0.43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bl>
    <w:p>
      <w:pPr>
        <w:spacing w:after="0" w:line="240" w:lineRule="auto"/>
      </w:pPr>
    </w:p>
    <w:p>
      <w:r>
        <w:rPr>
          <w:rFonts w:ascii="Times New Roman" w:hAnsi="Times New Roman" w:eastAsia="Songti SC"/>
          <w:color w:val="000000"/>
        </w:rPr>
        <w:t>完整组合相对T0＋I0的关系增量为8.62和9.33个百分点。令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条件增量与交互差（估算情景）</w:t>
      </w:r>
      <w:bookmarkStart w:id="198" w:name="v14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+0.41</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+0.48</w:t>
            </w:r>
          </w:p>
        </w:tc>
      </w:tr>
    </w:tbl>
    <w:p>
      <w:pPr>
        <w:spacing w:after="0" w:line="240" w:lineRule="auto"/>
      </w:pPr>
    </w:p>
    <w:p>
      <w:r>
        <w:rPr>
          <w:rFonts w:ascii="Times New Roman" w:hAnsi="Times New Roman" w:eastAsia="Songti SC"/>
          <w:color w:val="000000"/>
        </w:rPr>
        <w:t>AAEC关系交互差为+0.09，情景配对95%区间为[-1.05, +1.23]；CDCP为+0.48，区间为[-0.87, +1.81]。两者均包含0，因此组合增量与稳定超加性应分别判断。组件交互也仅描述条件总分的变化，不能据此确定两阶段改变的是哪些对象。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两个训练条件下的推理增量与交互关系（估算情景）</w:t>
      </w:r>
      <w:bookmarkStart w:id="199" w:name="v14_199"/>
      <w:bookmarkEnd w:id="199"/>
    </w:p>
    <w:p>
      <w:pPr>
        <w:pStyle w:val="Heading2"/>
      </w:pPr>
      <w:r>
        <w:t>5.2 对象作用与聚合成绩的解释边界</w:t>
      </w:r>
      <w:bookmarkStart w:id="98" w:name="v14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四格比较的净错误计数变化（估算情景）</w:t>
      </w:r>
      <w:bookmarkStart w:id="200" w:name="v14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+85／-83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+90／-86</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+169／-154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+150／-136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+154／-140</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+120／-114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+73／-71</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+123／-109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+124／-108</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+137／-123</w:t>
            </w:r>
          </w:p>
        </w:tc>
      </w:tr>
    </w:tbl>
    <w:p>
      <w:pPr>
        <w:spacing w:after="0" w:line="240" w:lineRule="auto"/>
      </w:pPr>
    </w:p>
    <w:p>
      <w:r>
        <w:rPr>
          <w:rFonts w:ascii="Times New Roman" w:hAnsi="Times New Roman" w:eastAsia="Songti SC"/>
          <w:color w:val="000000"/>
        </w:rPr>
        <w:t>AAEC在T1下修正的关系净TP增加154，T0下为150；CDCP相应为137与124。训练后剩余修正空间的变化须按语料分别解释。表4-7中BR-J的恢复减损失分别为232−78、195−58，恰好对应上述净增量；图4-3并列保留两类数量。</w:t>
      </w:r>
    </w:p>
    <w:p>
      <w:r>
        <w:rPr>
          <w:rFonts w:ascii="Times New Roman" w:hAnsi="Times New Roman" w:eastAsia="Songti SC"/>
          <w:color w:val="000000"/>
        </w:rPr>
        <w:t>上述净变化不确定共同修复、独有修复或损害的对象身份。同一组四格TP、FP、FN可对应不同的新增对象交集；附录H.8沿用旧情景的四格成绩及风险计数构造不同重叠，说明这一不可识别性；其具体范围不移用于本版主表。正式分析需从同文档预测中对齐原文坐标、类型及完整关系键，才能报告具体改对或改错了什么。</w:t>
      </w:r>
    </w:p>
    <w:p>
      <w:pPr>
        <w:spacing w:line="380" w:lineRule="exact"/>
      </w:pPr>
      <w:r>
        <w:rPr>
          <w:rFonts w:ascii="Times New Roman" w:hAnsi="Times New Roman" w:eastAsia="Songti SC"/>
          <w:color w:val="000000"/>
          <w:sz w:val="22"/>
        </w:rPr>
        <w:t>既存CPU诊断的对象复算提供了一个有限观察：AAEC禁删除对照净增3个正确组件、净减3个错误组件，但同时新增30个错误对象并移除33个错误对象（表D-6）。净改善因此仍可能伴随错误对象之间的替换。该观察只属于弱模型的单阶段组件诊断。Luna扩样中，AAEC组件FP净增加38个，实际新增73个、移除35个；essay001还表现为初选丢失已有正确对象、后续修正又将其恢复（4.6.7及D.10）。这说明恢复增量既受初始选择影响，也可能伴随错误对象更替。上述观察以及D.12的评分对照均只涉及推理阶段，不能代替同批训练四格的对象分析。</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CDCP完整关系的源成员数分组（估算情景）</w:t>
      </w:r>
      <w:bookmarkStart w:id="201" w:name="v14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57.91±0.54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57.55±0.80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62.11±0.73</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46.62±1.27</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47.09±0.09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51.93±0.81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36.11±4.29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36.92±3.62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43.80±3.14</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训练完成后的在线配置取舍</w:t>
      </w:r>
      <w:bookmarkStart w:id="99" w:name="v14_99"/>
      <w:bookmarkEnd w:id="99"/>
    </w:p>
    <w:p>
      <w:r>
        <w:rPr>
          <w:rFonts w:ascii="Times New Roman" w:hAnsi="Times New Roman" w:eastAsia="Songti SC"/>
          <w:color w:val="000000"/>
        </w:rPr>
        <w:t>本节在训练投入已经发生的条件下，比较各配置的关系F1与在线平均时间。表5-5给出相对T0＋I0的情景增量，AAEC和CDCP共同起点分别为17.00秒和22.00秒；一次性训练投入、服务量及摊销阈值不属于本表的分析范围。</w:t>
      </w:r>
    </w:p>
    <w:p>
      <w:pPr>
        <w:pStyle w:val="TableCaption"/>
      </w:pPr>
      <w:r>
        <w:rPr>
          <w:rFonts w:ascii="Times New Roman" w:hAnsi="Times New Roman" w:eastAsia="Songti SC"/>
          <w:color w:val="000000"/>
          <w:sz w:val="21"/>
        </w:rPr>
        <w:t>表5-5 相对共同起点的关系增量与在线额外时间（估算情景）</w:t>
      </w:r>
      <w:bookmarkStart w:id="202" w:name="v14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在这一条件下，AAEC的T1＋I0关系F1比T0＋I1高0.51个百分点，在线平均时间少13.00秒；CDCP则低0.02个百分点，在线时间少21.16秒。后者在该情景中呈现近乎相同的质量与不同的时间，不能沿用旧版“两语料质量均更高”的结论。该比较以训练检查点已经可用为前提，不能直接回答重训或训练摊销条件下的总体选择。</w:t>
      </w:r>
    </w:p>
    <w:p>
      <w:r>
        <w:rPr>
          <w:rFonts w:ascii="Times New Roman" w:hAnsi="Times New Roman" w:eastAsia="Songti SC"/>
          <w:color w:val="000000"/>
        </w:rPr>
        <w:t>在T1上增加I1，关系F1的情景增量为4.10和4.91个百分点，在线时间增加14.00秒和22.16秒，并仍可能误改。是否采用组合应结合目标错误、质量收益与在线代价判断；实际部署还须检查尾延迟、失败及局部和全局求解取舍。</w:t>
      </w:r>
    </w:p>
    <w:p>
      <w:pPr>
        <w:pStyle w:val="Heading2"/>
      </w:pPr>
      <w:r>
        <w:t>5.4 同计数四格的对象成员分析</w:t>
      </w:r>
      <w:bookmarkStart w:id="253" w:name="v11_evidence_253"/>
      <w:bookmarkEnd w:id="253"/>
    </w:p>
    <w:p>
      <w:r>
        <w:rPr>
          <w:rFonts w:ascii="Times New Roman" w:hAnsi="Times New Roman" w:eastAsia="Songti SC"/>
          <w:color w:val="000000"/>
        </w:rPr>
        <w:t>为补齐综合分析预览，重新构造主情景生成器的人工对象身份，逐文档、逐种子核对四格TP、FP、FN与表5-1完全一致，再对成员集合取交差。这里没有从真实模型输出重建原生跨度图；对象ID仅在模拟记录内有意义。表5-6合计三个种子的对象出现次数，同一文档的重复种子不被当作独立新样本。</w:t>
      </w:r>
    </w:p>
    <w:p>
      <w:pPr>
        <w:pStyle w:val="TableCaption"/>
      </w:pPr>
      <w:r>
        <w:rPr>
          <w:rFonts w:ascii="Times New Roman" w:hAnsi="Times New Roman" w:eastAsia="Songti SC"/>
          <w:color w:val="000000"/>
          <w:sz w:val="21"/>
        </w:rPr>
        <w:t>表5-6 四格正确对象作用的成员分解（模拟）</w:t>
      </w:r>
      <w:bookmarkStart w:id="254" w:name="v11_evidence_254"/>
      <w:bookmarkEnd w:id="25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513"/>
        <w:gridCol w:w="1164"/>
        <w:gridCol w:w="1164"/>
        <w:gridCol w:w="1164"/>
        <w:gridCol w:w="1164"/>
        <w:gridCol w:w="1455"/>
        <w:gridCol w:w="1280"/>
      </w:tblGrid>
      <w:tr>
        <w:trPr>
          <w:cantSplit/>
          <w:tblHeader/>
        </w:trPr>
        <w:tc>
          <w:tcPr>
            <w:tcW w:type="dxa" w:w="151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对象</w:t>
            </w:r>
          </w:p>
        </w:tc>
        <w:tc>
          <w:tcPr>
            <w:tcW w:type="dxa" w:w="116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训练独有</w:t>
            </w:r>
          </w:p>
        </w:tc>
        <w:tc>
          <w:tcPr>
            <w:tcW w:type="dxa" w:w="116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推理独有</w:t>
            </w:r>
          </w:p>
        </w:tc>
        <w:tc>
          <w:tcPr>
            <w:tcW w:type="dxa" w:w="116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共同恢复</w:t>
            </w:r>
          </w:p>
        </w:tc>
        <w:tc>
          <w:tcPr>
            <w:tcW w:type="dxa" w:w="116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组合独有</w:t>
            </w:r>
          </w:p>
        </w:tc>
        <w:tc>
          <w:tcPr>
            <w:tcW w:type="dxa" w:w="145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相对T1损失</w:t>
            </w:r>
          </w:p>
        </w:tc>
        <w:tc>
          <w:tcPr>
            <w:tcW w:type="dxa" w:w="128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组合仍漏</w:t>
            </w:r>
          </w:p>
        </w:tc>
      </w:tr>
      <w:tr>
        <w:trPr>
          <w:cantSplit/>
        </w:trPr>
        <w:tc>
          <w:tcPr>
            <w:tcW w:type="dxa" w:w="151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AAEC组件</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98</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73</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105</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79</w:t>
            </w:r>
          </w:p>
        </w:tc>
        <w:tc>
          <w:tcPr>
            <w:tcW w:type="dxa" w:w="145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92</w:t>
            </w:r>
          </w:p>
        </w:tc>
        <w:tc>
          <w:tcPr>
            <w:tcW w:type="dxa" w:w="12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969</w:t>
            </w:r>
          </w:p>
        </w:tc>
      </w:tr>
      <w:tr>
        <w:trPr>
          <w:cantSplit/>
        </w:trPr>
        <w:tc>
          <w:tcPr>
            <w:tcW w:type="dxa" w:w="151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AAEC关系</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99</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98</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141</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125</w:t>
            </w:r>
          </w:p>
        </w:tc>
        <w:tc>
          <w:tcPr>
            <w:tcW w:type="dxa" w:w="145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78</w:t>
            </w:r>
          </w:p>
        </w:tc>
        <w:tc>
          <w:tcPr>
            <w:tcW w:type="dxa" w:w="12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1482</w:t>
            </w:r>
          </w:p>
        </w:tc>
      </w:tr>
      <w:tr>
        <w:trPr>
          <w:cantSplit/>
        </w:trPr>
        <w:tc>
          <w:tcPr>
            <w:tcW w:type="dxa" w:w="151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CDCP组件</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107</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80</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130</w:t>
            </w:r>
          </w:p>
        </w:tc>
        <w:tc>
          <w:tcPr>
            <w:tcW w:type="dxa" w:w="1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87</w:t>
            </w:r>
          </w:p>
        </w:tc>
        <w:tc>
          <w:tcPr>
            <w:tcW w:type="dxa" w:w="145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121</w:t>
            </w:r>
          </w:p>
        </w:tc>
        <w:tc>
          <w:tcPr>
            <w:tcW w:type="dxa" w:w="12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1238</w:t>
            </w:r>
          </w:p>
        </w:tc>
      </w:tr>
      <w:tr>
        <w:trPr>
          <w:cantSplit/>
        </w:trPr>
        <w:tc>
          <w:tcPr>
            <w:tcW w:type="dxa" w:w="151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CDCP关系</w:t>
            </w:r>
          </w:p>
        </w:tc>
        <w:tc>
          <w:tcPr>
            <w:tcW w:type="dxa" w:w="116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w:t>
            </w:r>
          </w:p>
        </w:tc>
        <w:tc>
          <w:tcPr>
            <w:tcW w:type="dxa" w:w="116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w:t>
            </w:r>
          </w:p>
        </w:tc>
        <w:tc>
          <w:tcPr>
            <w:tcW w:type="dxa" w:w="116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106</w:t>
            </w:r>
          </w:p>
        </w:tc>
        <w:tc>
          <w:tcPr>
            <w:tcW w:type="dxa" w:w="116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103</w:t>
            </w:r>
          </w:p>
        </w:tc>
        <w:tc>
          <w:tcPr>
            <w:tcW w:type="dxa" w:w="14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w:t>
            </w:r>
          </w:p>
        </w:tc>
        <w:tc>
          <w:tcPr>
            <w:tcW w:type="dxa" w:w="128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1229</w:t>
            </w:r>
          </w:p>
        </w:tc>
      </w:tr>
    </w:tbl>
    <w:p>
      <w:r>
        <w:rPr>
          <w:rFonts w:ascii="Times New Roman" w:hAnsi="Times New Roman" w:eastAsia="Songti SC"/>
          <w:color w:val="000000"/>
        </w:rPr>
        <w:t>在该指定对象构造中，AAEC关系的训练独有、推理独有和共同恢复分别为99、98和141次；CDCP为80、77和106次。两阶段存在较多共同覆盖，同时组合出现125和103次未由任一单阶段命中的关系，但又损失T1已经正确的78和58次关系。因此“组合总F1更高”不等于两阶段互不重复，也不等于每个训练收益都能保留。</w:t>
      </w:r>
    </w:p>
    <w:p>
      <w:r>
        <w:rPr>
          <w:rFonts w:ascii="Times New Roman" w:hAnsi="Times New Roman" w:eastAsia="Songti SC"/>
          <w:color w:val="000000"/>
        </w:rPr>
        <w:t>该分解完整回答了预览中的对象重叠问题，却仍不是实际互补性证据。由于总计数允许多个成员配置，H.8的不可识别性论证继续成立；本表只选择与主情景相容的一个构造。正式替换须保留同批四格原生对象键，并优先检查组合独有恢复是否来自真实端点补入、较好评分或仅仅预测集合变化，不以模拟ID补作文本案例。</w:t>
      </w:r>
    </w:p>
    <w:p>
      <w:pPr>
        <w:pStyle w:val="Heading2"/>
      </w:pPr>
      <w:r>
        <w:t>5.5 本章小结</w:t>
      </w:r>
      <w:bookmarkStart w:id="100" w:name="v14_100"/>
      <w:bookmarkEnd w:id="100"/>
    </w:p>
    <w:p>
      <w:r>
        <w:rPr>
          <w:rFonts w:ascii="Times New Roman" w:hAnsi="Times New Roman" w:eastAsia="Songti SC"/>
          <w:color w:val="000000"/>
        </w:rPr>
        <w:t>四格比较将组合增量拆分为条件变化，成员级模拟进一步显示共同恢复、独有恢复和新增损失可以同时出现。它补齐了完整数字预览，但实际互补性仍需同批训练与推理输出验证。在线配置比较只回答训练投入已发生后的取舍，不把毫秒级轻量求解结果或设定吞吐外推成完整系统成本。</w:t>
      </w:r>
    </w:p>
    <w:p>
      <w:pPr>
        <w:pStyle w:val="Heading1"/>
      </w:pPr>
      <w:r>
        <w:t>第六章 总结与展望</w:t>
      </w:r>
      <w:bookmarkStart w:id="101" w:name="v14_101"/>
      <w:bookmarkEnd w:id="101"/>
    </w:p>
    <w:p>
      <w:pPr>
        <w:pStyle w:val="Heading2"/>
      </w:pPr>
      <w:r>
        <w:t>6.1 研究总结</w:t>
      </w:r>
      <w:bookmarkStart w:id="102" w:name="v14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新增小规模改写未检出关系标签漂移，因而尚未建立完整影响域筛选的额外必要性；学习收益仍由模拟展示，不能据此认定真实成立。</w:t>
      </w:r>
    </w:p>
    <w:p>
      <w:r>
        <w:rPr>
          <w:rFonts w:ascii="Times New Roman" w:hAnsi="Times New Roman" w:eastAsia="Songti SC"/>
          <w:color w:val="000000"/>
        </w:rPr>
        <w:t>第二项设计把兼容组件集合替换和全部受影响关系重建作为完整事务，以固定对象分、整图约束和预算共同决定提交。RelationOnly和单对象动作是组件可变性与集合表达的关键对照，同目标全局求解检验资源取舍，分步策略补充分析共同决策。数学构造说明动作和决策边界，人工成绩展示比较口径，Luna试验记录了生成端点补入、完整关系恢复、候选限制及评分误删，并对原生评分输入作了固定样本检查；新增冻结输入对照未显示集合动作的独立收益，且小图全局求解平均更快；本版据此保留简化为单对象或全局选择的路径，完整系统优先级仍待实际目标模型结果决定。</w:t>
      </w:r>
    </w:p>
    <w:p>
      <w:r>
        <w:rPr>
          <w:rFonts w:ascii="Times New Roman" w:hAnsi="Times New Roman" w:eastAsia="Songti SC"/>
          <w:color w:val="000000"/>
        </w:rPr>
        <w:t>两阶段综合分析使用四格条件增量，并在训练投入已经发生的前提下讨论在线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4_103"/>
      <w:bookmarkEnd w:id="103"/>
    </w:p>
    <w:p>
      <w:r>
        <w:rPr>
          <w:rFonts w:ascii="Times New Roman" w:hAnsi="Times New Roman" w:eastAsia="Songti SC"/>
          <w:color w:val="000000"/>
        </w:rPr>
        <w:t>正文主比较及新增训练错误链、匿名外部比较、四格成员和成本吞吐仍为模拟或假设。真实增补覆盖32篇的64个改写、24篇成分候选诊断，以及复用96篇输入的1536条求解记录；它们不是新增1536篇文本，也没有Qwen训练。监督判断来自同型号模型的分离上下文，未经过人工金标准审核；候选诊断只测入池能力，成本只在声明范围内计量。因此本版达到数字与版式完整预览，未达到全部实证贡献完成。</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4_104"/>
      <w:bookmarkEnd w:id="104"/>
    </w:p>
    <w:p>
      <w:r>
        <w:rPr>
          <w:rFonts w:ascii="Times New Roman" w:hAnsi="Times New Roman" w:eastAsia="Songti SC"/>
          <w:color w:val="000000"/>
        </w:rPr>
        <w:t>核心比较已有轻量诊断与完整模拟预览，但正式训练、人工审阅及目标系统比较仍是验证缺口，集中列于附录H.5。以下方向以这些核心证据取得并据此确定方法取舍为前提，不计入本文已完成工作。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4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keepLines/>
        <w:spacing w:line="280" w:lineRule="exact" w:after="120"/>
        <w:ind w:hanging="454" w:left="454"/>
      </w:pPr>
      <w:r>
        <w:rPr>
          <w:rFonts w:ascii="Times New Roman" w:hAnsi="Times New Roman" w:eastAsia="Songti SC"/>
          <w:color w:val="000000"/>
          <w:sz w:val="21"/>
        </w:rPr>
        <w:t>[50] POIAGANOVA M, STEDE M. From debates to diplomacy: Argument mining across political registers[C]//Proceedings of the 12th Argument Mining Workshop. Vienna: Association for Computational Linguistics, 2025: 205–216. DOI: 10.18653/v1/2025.argmining-1.20. </w:t>
      </w:r>
      <w:hyperlink r:id="rId165">
        <w:r>
          <w:rPr>
            <w:color w:val="000000"/>
          </w:rPr>
          <w:t>来源</w:t>
        </w:r>
      </w:hyperlink>
    </w:p>
    <w:p>
      <w:pPr>
        <w:keepLines/>
        <w:spacing w:line="280" w:lineRule="exact" w:after="120"/>
        <w:ind w:hanging="454" w:left="454"/>
      </w:pPr>
      <w:r>
        <w:rPr>
          <w:rFonts w:ascii="Times New Roman" w:hAnsi="Times New Roman" w:eastAsia="Songti SC"/>
          <w:color w:val="000000"/>
          <w:sz w:val="21"/>
        </w:rPr>
        <w:t>[51]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hyperlink r:id="rId166">
        <w:r>
          <w:rPr>
            <w:color w:val="000000"/>
          </w:rPr>
          <w:t>来源</w:t>
        </w:r>
      </w:hyperlink>
    </w:p>
    <w:p>
      <w:pPr>
        <w:pStyle w:val="Heading1"/>
      </w:pPr>
      <w:r>
        <w:t>附录A 数据处理与复现协议</w:t>
      </w:r>
      <w:bookmarkStart w:id="106" w:name="v14_106"/>
      <w:bookmarkEnd w:id="106"/>
    </w:p>
    <w:p>
      <w:pPr>
        <w:pStyle w:val="Heading2"/>
      </w:pPr>
      <w:r>
        <w:t>A.1 坐标与结构数据</w:t>
      </w:r>
      <w:bookmarkStart w:id="107" w:name="v14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4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4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4_109"/>
      <w:bookmarkEnd w:id="109"/>
    </w:p>
    <w:p>
      <w:pPr>
        <w:spacing w:line="380" w:lineRule="exact"/>
      </w:pPr>
      <w:r>
        <w:rPr>
          <w:rFonts w:ascii="Times New Roman" w:hAnsi="Times New Roman" w:eastAsia="Songti SC"/>
          <w:color w:val="000000"/>
          <w:sz w:val="22"/>
        </w:rPr>
        <w:t>本文主比较范围仍为英文AAEC和CDCP。补充试验纳入ArgUNSC的安理会发言[50]及CasiMedicos-Arg的英文病例解释[51]，分别保留原生跨度、类型与二元关系。前者的Claim／Premise按论证作用区分，后者将一般医学知识标为Claim、病例特定观察标为Premise；名称相同不意味着可合并标签或分母。ORCHID面向中文辩论的目标无关立场检测和论辩对话摘要[28]，IAM整合多项论辩挖掘任务并使用英文资源[29]。本稿只报告已经完成兼容转换与严格评价的范围，不由单语补充试验推断中文或多语言效果。</w:t>
      </w:r>
    </w:p>
    <w:p>
      <w:pPr>
        <w:pStyle w:val="Heading2"/>
      </w:pPr>
      <w:r>
        <w:t>A.4 本版参考规约与配置身份</w:t>
      </w:r>
      <w:bookmarkStart w:id="110" w:name="v14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正式方法参考配置身份沿用1010-v1-global-review；文稿版本为1011-v11。新增Luna固定规模试验另有运行身份和评分接口调整（D.11—D.12），不追溯改写参考配置或历史输出。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4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4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spacing w:line="380" w:lineRule="exact"/>
      </w:pPr>
      <w:r>
        <w:rPr>
          <w:rFonts w:ascii="Times New Roman" w:hAnsi="Times New Roman" w:eastAsia="Songti SC"/>
          <w:color w:val="000000"/>
          <w:sz w:val="22"/>
        </w:rPr>
        <w:t>附录D.3另以research_0920/results中的既存运行清单、候选预测与编辑记录为输入，由_revision_1010_v8/analyze_saved_diagnostics.py复算；diagnostic_supplement.json保存输入哈希、判定口径和汇总，六份diagnostic_*.csv保存文档错误、端点、覆盖、提议、策略及对象变化统计。该入口不生成第三至第五章的估算计数，也不进行模型训练或求解。</w:t>
      </w:r>
    </w:p>
    <w:p>
      <w:pPr>
        <w:spacing w:line="380" w:lineRule="exact"/>
      </w:pPr>
      <w:r>
        <w:rPr>
          <w:rFonts w:ascii="Times New Roman" w:hAnsi="Times New Roman" w:eastAsia="Songti SC"/>
          <w:color w:val="000000"/>
          <w:sz w:val="22"/>
        </w:rPr>
        <w:t>真实试验入口分别为research_1010_v7_luna、research_1011_luna_expanded及其w02—w07分波目录、research_1011_luna_expansion_analysis与research_1011_v10。历史原16篇按字节保留；合并文件逐篇连接源波次。新增目录保存发布文件哈希、转换审计、预先冻结样本、预测与评分提示、候选、输入／输出冻结及逐事务记录。评价与重放文件保存严格计数、原生源核对和差异清单。逐例原文、金标、前后对象及核验入口见配套实测分析记录，不将合并汇总当作新增模型调用。新增试验及模拟的身份、哈希和入口见D.13。</w:t>
      </w:r>
    </w:p>
    <w:p>
      <w:pPr>
        <w:pStyle w:val="Heading2"/>
      </w:pPr>
      <w:r>
        <w:t>A.6 序列化、坐标与候选构造细则</w:t>
      </w:r>
      <w:bookmarkStart w:id="112" w:name="v14_112"/>
      <w:bookmarkEnd w:id="112"/>
    </w:p>
    <w:p>
      <w:pPr>
        <w:spacing w:line="33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3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3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3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3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4_113"/>
      <w:bookmarkEnd w:id="113"/>
    </w:p>
    <w:p>
      <w:pPr>
        <w:pStyle w:val="Heading2"/>
      </w:pPr>
      <w:r>
        <w:t>B.1 数据与模型身份</w:t>
      </w:r>
      <w:bookmarkStart w:id="114" w:name="v14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4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4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4_117"/>
      <w:bookmarkEnd w:id="117"/>
    </w:p>
    <w:p>
      <w:pPr>
        <w:pStyle w:val="Heading3"/>
      </w:pPr>
      <w:r>
        <w:t>B.4.1 已执行的构造检查</w:t>
      </w:r>
      <w:bookmarkStart w:id="118" w:name="v14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4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4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4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4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4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4_123"/>
      <w:bookmarkEnd w:id="123"/>
    </w:p>
    <w:p>
      <w:pPr>
        <w:pStyle w:val="Heading2"/>
      </w:pPr>
      <w:r>
        <w:t>C.1 前期共同成果</w:t>
      </w:r>
      <w:bookmarkStart w:id="124" w:name="v14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4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ArgUNSC所用作者仓库含MIT许可，CasiMedicos-Arg数据卡标注CC-BY 4.0；本地清单同时保存许可文本、发布版本和文件哈希[50][51]。许可记录用于追踪本次获取条件，正式公开材料仍须保留作者引用及适用归属说明。后者仅用于论辩结构抽取，不作为诊疗建议或医学正确性评价。</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4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目标系统实验。本文另将明确请求模型、输入及输出均已冻结的Luna任务作为模型行为记录；其启发式评分未被称为人工审阅、独立专家判断或校准概率。</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4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4_128"/>
      <w:bookmarkEnd w:id="128"/>
    </w:p>
    <w:p>
      <w:pPr>
        <w:pStyle w:val="Heading2"/>
      </w:pPr>
      <w:r>
        <w:t>D.1 前期结果的使用范围</w:t>
      </w:r>
      <w:bookmarkStart w:id="129" w:name="v14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4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4_131"/>
      <w:bookmarkEnd w:id="131"/>
    </w:p>
    <w:p>
      <w:pPr>
        <w:spacing w:line="380" w:lineRule="exact"/>
      </w:pPr>
      <w:r>
        <w:rPr>
          <w:rFonts w:ascii="Times New Roman" w:hAnsi="Times New Roman" w:eastAsia="Songti SC"/>
          <w:color w:val="000000"/>
          <w:sz w:val="22"/>
        </w:rPr>
        <w:t>本节补充统计来自2026年9月20日已经完成的CPU轻量诊断。此次读取原始语料压缩包、固定划分、182篇审计文档的候选预测及38928条编辑提议，核对文本哈希后复算；未重新拟合模型、调用目标大模型或执行ILP。AAEC的66篇文档对应64个全文哈希组，CDCP的116篇对应116组。下列观察仅描述该次弱模型运行，不并入第三至第五章的估算主表，也不替代目标模型诊断。</w:t>
      </w:r>
    </w:p>
    <w:p>
      <w:pPr>
        <w:spacing w:line="380" w:lineRule="exact"/>
      </w:pPr>
      <w:r>
        <w:rPr>
          <w:rFonts w:ascii="Times New Roman" w:hAnsi="Times New Roman" w:eastAsia="Songti SC"/>
          <w:color w:val="000000"/>
          <w:sz w:val="22"/>
        </w:rPr>
        <w:t>初始组件先匹配跨度与类型均正确的对象，再匹配同跨度异类型对象；剩余对象按token交并比不低于0.5、交并比降序及坐标类型键破同分进行一对一贪心配对。该事后描述规则沿用H.1的诊断口径，不改变严格评价。边界配对又按类型是否相同分开；未配对项只表示在本规则下未匹配，不能直接认定为独立的遗漏或多检成因。</w:t>
      </w:r>
    </w:p>
    <w:p>
      <w:pPr>
        <w:pStyle w:val="TableCaption"/>
      </w:pPr>
      <w:r>
        <w:rPr>
          <w:rFonts w:ascii="Times New Roman" w:hAnsi="Times New Roman" w:eastAsia="Songti SC"/>
          <w:color w:val="000000"/>
          <w:sz w:val="21"/>
        </w:rPr>
        <w:t>表D-1 初始组件的错误配对分解（既存CPU诊断）</w:t>
      </w:r>
      <w:bookmarkStart w:id="224" w:name="v8_diagnostic_224"/>
      <w:bookmarkEnd w:id="22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66"/>
        <w:gridCol w:w="1619"/>
        <w:gridCol w:w="1619"/>
      </w:tblGrid>
      <w:tr>
        <w:trPr>
          <w:cantSplit/>
          <w:tblHeader/>
        </w:trPr>
        <w:tc>
          <w:tcPr>
            <w:tcW w:type="dxa" w:w="566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计数项目</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严格跨度与类型命中</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同跨度异类型配对</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边界差异且类型相同</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边界与类型均有差异</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未配对金标组件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未配对预测组件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904</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2365</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金标组件总数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723</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初始预测组件总数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r>
    </w:tbl>
    <w:p>
      <w:pPr>
        <w:spacing w:line="380" w:lineRule="exact"/>
      </w:pPr>
      <w:r>
        <w:rPr>
          <w:rFonts w:ascii="Times New Roman" w:hAnsi="Times New Roman" w:eastAsia="Songti SC"/>
          <w:color w:val="000000"/>
          <w:sz w:val="22"/>
        </w:rPr>
        <w:t>表D-1中，严格命中、三类错误配对及未配对金标之和等于金标总数；将末项换成未配对预测，则等于预测总数。每个错误配对同时贡献一个FP和一个FN，不能把两者当作两次独立事件。由此还原的AAEC计数为TP=340、FP=1349、FN=646，CDCP为86、2708、637。</w:t>
      </w:r>
    </w:p>
    <w:p>
      <w:pPr>
        <w:spacing w:line="380" w:lineRule="exact"/>
      </w:pPr>
      <w:r>
        <w:rPr>
          <w:rFonts w:ascii="Times New Roman" w:hAnsi="Times New Roman" w:eastAsia="Songti SC"/>
          <w:color w:val="000000"/>
          <w:sz w:val="22"/>
        </w:rPr>
        <w:t>按原生金标关系检查初始端点，AAEC的627条关系中，全部端点跨度和类型正确的有43条（6.86%），跨度齐全但至少一个类型错误的有116条（18.50%），至少一个跨度缺失的有468条（74.64%）；CDCP的200条对应4条（2.00%）、1条（0.50%）、195条（97.50%）。CDCP其中19条为多前提关系。这一互斥分组仅检查端点条件，没有判断关系标签和方向是否预测正确；低正确率也反映弱模型的过度分割，不能外推为目标LLM的错误比例。</w:t>
      </w:r>
    </w:p>
    <w:p>
      <w:pPr>
        <w:spacing w:line="380" w:lineRule="exact"/>
      </w:pPr>
      <w:r>
        <w:rPr>
          <w:rFonts w:ascii="Times New Roman" w:hAnsi="Times New Roman" w:eastAsia="Songti SC"/>
          <w:color w:val="000000"/>
          <w:sz w:val="22"/>
        </w:rPr>
        <w:t>候选覆盖按保存的跨度排序依次截取0、64、128、256、512个补充位置，与初始跨度去重合并。精确跨度覆盖的分母为986／723个金标组件，全部端点跨度覆盖的分母为627／200条原生关系；两者均不要求候选类型或关系标签正确。候选均值和P95按文档计算，有向对均值逐文档按n(n−1)计算后取均值，表示未施加类型及合法性约束的二元组合规模，不是实际评分对象数或实测耗时。</w:t>
      </w:r>
    </w:p>
    <w:p>
      <w:pPr>
        <w:pStyle w:val="TableCaption"/>
      </w:pPr>
      <w:r>
        <w:rPr>
          <w:rFonts w:ascii="Times New Roman" w:hAnsi="Times New Roman" w:eastAsia="Songti SC"/>
          <w:color w:val="000000"/>
          <w:sz w:val="21"/>
        </w:rPr>
        <w:t>表D-2 补充跨度预算与候选覆盖（既存CPU诊断）</w:t>
      </w:r>
      <w:bookmarkStart w:id="225" w:name="v8_diagnostic_225"/>
      <w:bookmarkEnd w:id="22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086"/>
        <w:gridCol w:w="1158"/>
        <w:gridCol w:w="1448"/>
        <w:gridCol w:w="1448"/>
        <w:gridCol w:w="2244"/>
        <w:gridCol w:w="1520"/>
      </w:tblGrid>
      <w:tr>
        <w:trPr>
          <w:cantSplit/>
          <w:tblHeader/>
        </w:trPr>
        <w:tc>
          <w:tcPr>
            <w:tcW w:type="dxa" w:w="108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1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补充上限</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跨度覆盖%</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端点覆盖%</w:t>
            </w:r>
          </w:p>
        </w:tc>
        <w:tc>
          <w:tcPr>
            <w:tcW w:type="dxa" w:w="22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候选均值／P95</w:t>
            </w:r>
          </w:p>
        </w:tc>
        <w:tc>
          <w:tcPr>
            <w:tcW w:type="dxa" w:w="15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有向对均值</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42.49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25.36</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25.59／35.75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90.16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87.72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89.59／99.75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7968</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95.84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95.22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153.59／163.75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23467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97.57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97.45</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281.59／291.75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79043</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99.04</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537.59／547.75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288497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15.77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24.09／57.50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894</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94.19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88.09／121.50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8009</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96.82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151.74／185.50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23240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278.41／313.50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77887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98.89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526.66／569.50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280216</w:t>
            </w:r>
          </w:p>
        </w:tc>
      </w:tr>
    </w:tbl>
    <w:p>
      <w:pPr>
        <w:spacing w:line="380" w:lineRule="exact"/>
      </w:pPr>
      <w:r>
        <w:rPr>
          <w:rFonts w:ascii="Times New Roman" w:hAnsi="Times New Roman" w:eastAsia="Songti SC"/>
          <w:color w:val="000000"/>
          <w:sz w:val="22"/>
        </w:rPr>
        <w:t>从128增至512个补充跨度，AAEC覆盖增加28个组件，CDCP增加15个；对应二元有向组合均值约由2.35万／2.32万升至28.85万／28.02万。该统计展示覆盖与组合规模之间的取舍，但没有测量这些组合的实际枚举、完整超边评分或求解成本；第四章候选保护和裁剪前资源诊断仍须按目标实现执行。</w:t>
      </w:r>
    </w:p>
    <w:p>
      <w:pPr>
        <w:spacing w:line="380" w:lineRule="exact"/>
      </w:pPr>
      <w:r>
        <w:rPr>
          <w:rFonts w:ascii="Times New Roman" w:hAnsi="Times New Roman" w:eastAsia="Songti SC"/>
          <w:color w:val="000000"/>
          <w:sz w:val="22"/>
        </w:rPr>
        <w:t>候选入池与一步可达进一步分开。这里的“初始跨度缺失”不含同跨度异类型；在128补充池内，逐个遗漏金标跨度统计它与当前预测组件的重叠数，并在保存的编辑提议中查找该完整类型对象。原诊断仅允许插入，或替换至多一个冲突旧组件；与两个及以上旧组件重叠时不会枚举该加入动作。下表尚未检查接受阈值、关系重建及多步路径，不能视作最终恢复率。</w:t>
      </w:r>
    </w:p>
    <w:p>
      <w:pPr>
        <w:pStyle w:val="TableCaption"/>
      </w:pPr>
      <w:r>
        <w:rPr>
          <w:rFonts w:ascii="Times New Roman" w:hAnsi="Times New Roman" w:eastAsia="Songti SC"/>
          <w:color w:val="000000"/>
          <w:sz w:val="21"/>
        </w:rPr>
        <w:t>表D-3 已入池遗漏跨度的一步动作限制（既存CPU诊断）</w:t>
      </w:r>
      <w:bookmarkStart w:id="226" w:name="v8_diagnostic_226"/>
      <w:bookmarkEnd w:id="22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59"/>
        <w:gridCol w:w="1644"/>
        <w:gridCol w:w="1438"/>
        <w:gridCol w:w="1644"/>
        <w:gridCol w:w="1438"/>
        <w:gridCol w:w="1781"/>
      </w:tblGrid>
      <w:tr>
        <w:trPr>
          <w:cantSplit/>
          <w:tblHeader/>
        </w:trPr>
        <w:tc>
          <w:tcPr>
            <w:tcW w:type="dxa" w:w="95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初始跨度缺失</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进入128池</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重叠至少2项</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一步可加入</w:t>
            </w:r>
          </w:p>
        </w:tc>
        <w:tc>
          <w:tcPr>
            <w:tcW w:type="dxa" w:w="178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可加入／入池%</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268</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49.05</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609</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530</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9.56</w:t>
            </w:r>
          </w:p>
        </w:tc>
      </w:tr>
    </w:tbl>
    <w:p>
      <w:pPr>
        <w:spacing w:line="380" w:lineRule="exact"/>
      </w:pPr>
      <w:r>
        <w:rPr>
          <w:rFonts w:ascii="Times New Roman" w:hAnsi="Times New Roman" w:eastAsia="Songti SC"/>
          <w:color w:val="000000"/>
          <w:sz w:val="22"/>
        </w:rPr>
        <w:t>AAEC入池的526个遗漏跨度中，268个（50.95%）受到上述一步动作限制；CDCP为530／586（90.44%）。这支持在该弱模型诊断中继续检查集合动作，但未证明目标LLM存在相同规模，也未证明BR-J能够合法恢复这些对象。仅扩大候选池不会自动解除当前动作的重叠限制。</w:t>
      </w:r>
    </w:p>
    <w:p>
      <w:pPr>
        <w:spacing w:line="380" w:lineRule="exact"/>
      </w:pPr>
      <w:r>
        <w:rPr>
          <w:rFonts w:ascii="Times New Roman" w:hAnsi="Times New Roman" w:eastAsia="Songti SC"/>
          <w:color w:val="000000"/>
          <w:sz w:val="22"/>
        </w:rPr>
        <w:t>全部38928条编辑提议均依据保存的修改前后对象与金标重新计算TP、FP、FN和逐文档F1，复算值与原记录一致。表D-4的“升／平／降”按逐文档F1变化定义；“平”不等于对象完全不变，也不等于对汇总micro-F1没有影响。提议来自同一批文档且相互依赖，因此以下是组成统计，不能将提议条数当作独立样本量。</w:t>
      </w:r>
    </w:p>
    <w:p>
      <w:pPr>
        <w:pStyle w:val="TableCaption"/>
      </w:pPr>
      <w:r>
        <w:rPr>
          <w:rFonts w:ascii="Times New Roman" w:hAnsi="Times New Roman" w:eastAsia="Songti SC"/>
          <w:color w:val="000000"/>
          <w:sz w:val="21"/>
        </w:rPr>
        <w:t>表D-4 全部编辑提议的逐文档效果组成（既存CPU诊断）</w:t>
      </w:r>
      <w:bookmarkStart w:id="227" w:name="v8_diagnostic_227"/>
      <w:bookmarkEnd w:id="22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585"/>
        <w:gridCol w:w="1508"/>
        <w:gridCol w:w="1221"/>
        <w:gridCol w:w="1221"/>
        <w:gridCol w:w="1221"/>
        <w:gridCol w:w="1148"/>
      </w:tblGrid>
      <w:tr>
        <w:trPr>
          <w:cantSplit/>
          <w:tblHeader/>
        </w:trPr>
        <w:tc>
          <w:tcPr>
            <w:tcW w:type="dxa" w:w="258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语料与动作</w:t>
            </w:r>
          </w:p>
        </w:tc>
        <w:tc>
          <w:tcPr>
            <w:tcW w:type="dxa" w:w="150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提议数</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F1升</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F1平</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F1降</w:t>
            </w:r>
          </w:p>
        </w:tc>
        <w:tc>
          <w:tcPr>
            <w:tcW w:type="dxa" w:w="11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升%</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1187</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2.29</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78.63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7857</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2949</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49.71</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11176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10804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0.25</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10810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8674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0.52</w:t>
            </w:r>
          </w:p>
        </w:tc>
      </w:tr>
    </w:tbl>
    <w:p>
      <w:pPr>
        <w:spacing w:line="380" w:lineRule="exact"/>
      </w:pPr>
      <w:r>
        <w:rPr>
          <w:rFonts w:ascii="Times New Roman" w:hAnsi="Times New Roman" w:eastAsia="Songti SC"/>
          <w:color w:val="000000"/>
          <w:sz w:val="22"/>
        </w:rPr>
        <w:t>非删除提议中，AAEC有益提议为337／12459（2.70%），CDCP为84／21986（0.38%）；分别有65／66篇和52／116篇文档至少存在一个此类提议。较多文档存在可改善提议，并不意味着评分器能选中它。CDCP没有插入提议，是该次初始分割与动作冲突规则共同形成的观察，不能据此判断真实文本不存在遗漏组件。</w:t>
      </w:r>
    </w:p>
    <w:p>
      <w:pPr>
        <w:spacing w:line="380" w:lineRule="exact"/>
      </w:pPr>
      <w:r>
        <w:rPr>
          <w:rFonts w:ascii="Times New Roman" w:hAnsi="Times New Roman" w:eastAsia="Songti SC"/>
          <w:color w:val="000000"/>
          <w:sz w:val="22"/>
        </w:rPr>
        <w:t>策略复算固定原校准阈值4.0，不在审计文档上重新选阈值。主策略允许删除；禁用删除对照在其他保存提议中重新选择最高分且超过同一阈值的一项，每篇至多接受一次。置信区间是本次事后重分析：按全文哈希组配对重采样2000次，种子10108，每次汇总计数后计算micro-F1。AAEC的重复文本共同抽取；区间仅反映这一次已保存模型的文档组不确定性，不包含重训种子变化，也不是多个比较校正后的确认性检验。</w:t>
      </w:r>
    </w:p>
    <w:p>
      <w:pPr>
        <w:pStyle w:val="TableCaption"/>
      </w:pPr>
      <w:r>
        <w:rPr>
          <w:rFonts w:ascii="Times New Roman" w:hAnsi="Times New Roman" w:eastAsia="Songti SC"/>
          <w:color w:val="000000"/>
          <w:sz w:val="21"/>
        </w:rPr>
        <w:t>表D-5 固定阈值策略的组件效果（既存CPU诊断）</w:t>
      </w:r>
      <w:bookmarkStart w:id="228" w:name="v8_diagnostic_228"/>
      <w:bookmarkEnd w:id="22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226"/>
        <w:gridCol w:w="917"/>
        <w:gridCol w:w="2030"/>
        <w:gridCol w:w="1178"/>
        <w:gridCol w:w="917"/>
        <w:gridCol w:w="1636"/>
      </w:tblGrid>
      <w:tr>
        <w:trPr>
          <w:cantSplit/>
          <w:tblHeader/>
        </w:trPr>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接受数</w:t>
            </w:r>
          </w:p>
        </w:tc>
        <w:tc>
          <w:tcPr>
            <w:tcW w:type="dxa" w:w="203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1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ΔF1</w:t>
            </w:r>
          </w:p>
        </w:tc>
        <w:tc>
          <w:tcPr>
            <w:tcW w:type="dxa" w:w="16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95%区间</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340／1349／646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25.42</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340／1283／646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+0.64</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[+0.58, +0.71]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343／1346／643</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25.64</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+0.22</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+0.51]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86／2593／637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[+0.12, +0.23]</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+0.00]</w:t>
            </w:r>
          </w:p>
        </w:tc>
      </w:tr>
    </w:tbl>
    <w:p>
      <w:pPr>
        <w:spacing w:line="380" w:lineRule="exact"/>
      </w:pPr>
      <w:r>
        <w:rPr>
          <w:rFonts w:ascii="Times New Roman" w:hAnsi="Times New Roman" w:eastAsia="Songti SC"/>
          <w:color w:val="000000"/>
          <w:sz w:val="22"/>
        </w:rPr>
        <w:t>AAEC主策略的组件F1由25.42升至26.06，CDCP由4.89升至5.06；接受的66／115次操作均为删除。禁用删除后，AAEC接受32次换跨度与1次换类型，新增3个严格正确对象，F1提高0.22个百分点且区间包含0；CDCP没有提议超过同一阈值。该对照没有重新校准，回答的是在原评分和阈值下移除删除选项的结果，不是禁用删除方案经独立调优后的最佳性能。</w:t>
      </w:r>
    </w:p>
    <w:p>
      <w:pPr>
        <w:pStyle w:val="TableCaption"/>
      </w:pPr>
      <w:r>
        <w:rPr>
          <w:rFonts w:ascii="Times New Roman" w:hAnsi="Times New Roman" w:eastAsia="Songti SC"/>
          <w:color w:val="000000"/>
          <w:sz w:val="21"/>
        </w:rPr>
        <w:t>表D-6 修改前后的严格组件对象变化（既存CPU诊断）</w:t>
      </w:r>
      <w:bookmarkStart w:id="229" w:name="v8_diagnostic_229"/>
      <w:bookmarkEnd w:id="22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63"/>
        <w:gridCol w:w="1535"/>
        <w:gridCol w:w="1535"/>
        <w:gridCol w:w="1535"/>
        <w:gridCol w:w="1536"/>
      </w:tblGrid>
      <w:tr>
        <w:trPr>
          <w:cantSplit/>
          <w:tblHeader/>
        </w:trPr>
        <w:tc>
          <w:tcPr>
            <w:tcW w:type="dxa" w:w="276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新增错误</w:t>
            </w:r>
          </w:p>
        </w:tc>
        <w:tc>
          <w:tcPr>
            <w:tcW w:type="dxa" w:w="15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移除错误</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r>
    </w:tbl>
    <w:p>
      <w:pPr>
        <w:spacing w:line="380" w:lineRule="exact"/>
      </w:pPr>
      <w:r>
        <w:rPr>
          <w:rFonts w:ascii="Times New Roman" w:hAnsi="Times New Roman" w:eastAsia="Songti SC"/>
          <w:color w:val="000000"/>
          <w:sz w:val="22"/>
        </w:rPr>
        <w:t>表D-6按文档内的完整跨度与类型键比较前后集合，新增／损失正确对象之差等于ΔTP，新增／移除错误对象之差等于ΔFP。主策略没有新增正确对象，也未损失原有正确对象，收益来自移除66／115个错误预测；AAEC禁删除对照虽然净增3个TP、净减3个FP，同时新增30个错误对象并移除33个错误对象。因而净成绩改善不能解释为每次修改都正确，单看净FP也会隐藏错误对象之间的替换。这里仅分析单次CPU诊断的组件，不承担第五章目标模型四格互补性的证据作用。</w:t>
      </w:r>
    </w:p>
    <w:p>
      <w:pPr>
        <w:spacing w:line="380" w:lineRule="exact"/>
      </w:pPr>
      <w:r>
        <w:rPr>
          <w:rFonts w:ascii="Times New Roman" w:hAnsi="Times New Roman" w:eastAsia="Songti SC"/>
          <w:color w:val="000000"/>
          <w:sz w:val="22"/>
        </w:rPr>
        <w:t>运行清单记载该次诊断使用Python 3.9.6、NumPy 1.26.4、SciPy 1.13.1和scikit-learn 1.6.1，在arm64 CPU上单线程执行，完整诊断耗时29.03秒；此时间包含两语料的诊断流程，不能换算为本文系统的单文档推理延迟。此次校验了语料压缩包、分组划分、程序及协议哈希，并精确重放两语料的两项固定阈值策略。新增复算脚本和逐文档统计与原始运行分开保存，记录入口见A.5。</w:t>
      </w:r>
    </w:p>
    <w:p>
      <w:pPr>
        <w:spacing w:line="380" w:lineRule="exact"/>
      </w:pPr>
      <w:r>
        <w:rPr>
          <w:rFonts w:ascii="Times New Roman" w:hAnsi="Times New Roman" w:eastAsia="Songti SC"/>
          <w:color w:val="000000"/>
          <w:sz w:val="22"/>
        </w:rPr>
        <w:t>上述补充提供了真实但有限的诊断依据：当前弱模型存在显著端点问题、入池后的动作限制，以及评分选择与潜在有益提议的差距。该模型与目标LLM的误差分布不同，关系评分又给定金标端点且限单前提；本节没有验证关系监督保持、完整关系重建、局部相对全局的采用价值或目标模型的四格对象作用。D.7—D.10的148篇Luna样本仍来自本诊断划分，模型及运行身份分开，不能与182篇相加为独立文本总数。D.11—D.12的另96篇使用单独冻结的语料或训练侧文档，亦按各自协议报告。软件可运行、形式性质成立与目标任务效果有效仍须分别验收。</w:t>
      </w:r>
    </w:p>
    <w:p>
      <w:pPr>
        <w:pStyle w:val="Heading2"/>
      </w:pPr>
      <w:r>
        <w:t>D.4 本版构造验证及复算入口</w:t>
      </w:r>
      <w:bookmarkStart w:id="132" w:name="v14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4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4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2"/>
      </w:pPr>
      <w:r>
        <w:t>D.7 初始Luna试验的条件与来源</w:t>
      </w:r>
      <w:bookmarkStart w:id="232" w:name="v9_real_232"/>
      <w:bookmarkEnd w:id="232"/>
    </w:p>
    <w:p>
      <w:pPr>
        <w:spacing w:line="380" w:lineRule="exact"/>
      </w:pPr>
      <w:r>
        <w:rPr>
          <w:rFonts w:ascii="Times New Roman" w:hAnsi="Times New Roman" w:eastAsia="Songti SC"/>
          <w:color w:val="000000"/>
          <w:sz w:val="22"/>
        </w:rPr>
        <w:t>试验AM-LUNA-20261010-001实际执行于上海时间2026年10月10日至11日。每语料按文本长度四分位分层，每层按固定SHA-256顺序取2篇，共16篇；使用已有官方训练侧审计划分，不读取官方测试集。全部16篇与D.3的182篇按文档ID和全文哈希对应，为其子集。AAEC原始训练文件在本地读取为322篇，CDCP沿用排除00411后580篇的记录；该身份不改写表2-2的参考配置。模型可能在预训练时接触公开语料，未作污染排查。</w:t>
      </w:r>
    </w:p>
    <w:p>
      <w:pPr>
        <w:spacing w:line="380" w:lineRule="exact"/>
      </w:pPr>
      <w:r>
        <w:rPr>
          <w:rFonts w:ascii="Times New Roman" w:hAnsi="Times New Roman" w:eastAsia="Songti SC"/>
          <w:color w:val="000000"/>
          <w:sz w:val="22"/>
        </w:rPr>
        <w:t>请求模型为gpt-5.6-luna，reasoning effort为low；实际快照、温度、采样种子和token数未由调度工具暴露，保持未记录。两项预测任务分别处理两语料，每篇在同一回答中给出g0、g1，不视为独立抽样；另三项任务在新上下文中评分。五项任务不是五次底层API调用，生成与评分仍属同型号模型，未证明误差独立。提示仅提供盲输入，评分及输出冻结后本地评价才读取金标；这是输入与指令层面的隔离，共享文件系统没有操作系统级访问封锁。</w:t>
      </w:r>
    </w:p>
    <w:p>
      <w:pPr>
        <w:spacing w:line="380" w:lineRule="exact"/>
      </w:pPr>
      <w:r>
        <w:rPr>
          <w:rFonts w:ascii="Times New Roman" w:hAnsi="Times New Roman" w:eastAsia="Songti SC"/>
          <w:color w:val="000000"/>
          <w:sz w:val="22"/>
        </w:rPr>
        <w:t>候选合并两图的带类型跨度，并按预定规则补充去句末标点的边界变体。二元槽位在兼容候选之间枚举，多源槽位来自生成图及其端点变体，没有穷举论文主协议的全部多源组合。210个组件均有显式评分；5404个完整关系中149个被显式覆写，其余5255个使用事前固定默认值0.05。这里的分数为启发式置信度，未训练、校准第四章的对象评分器。输入、评分、代码及预算均在金标评价前冻结，评价后不按结果改分或补候选。</w:t>
      </w:r>
    </w:p>
    <w:p>
      <w:pPr>
        <w:spacing w:line="380" w:lineRule="exact"/>
      </w:pPr>
      <w:r>
        <w:rPr>
          <w:rFonts w:ascii="Times New Roman" w:hAnsi="Times New Roman" w:eastAsia="Songti SC"/>
          <w:color w:val="000000"/>
          <w:sz w:val="22"/>
        </w:rPr>
        <w:t>两种修正策略使用同一合法初始图、候选池、评分及评价器。每个事务最多3个组件编辑，累计组件／关系编辑上限24／96；每轮至多32次尝试、3次接受，共4轮，批长6。组件与关系的错误代价及权重均为1，严格总效用门为0.01；允许空图，不加无环约束。实际使用SciPy 1.13.1的HiGHS MILP，单线程、每调用上限0.25秒，逐文档累计求解上限AAEC 3秒、CDCP 5秒。RelationOnly保持组件集合固定。</w:t>
      </w:r>
    </w:p>
    <w:p>
      <w:pPr>
        <w:pStyle w:val="Heading2"/>
      </w:pPr>
      <w:r>
        <w:t>D.8 初始批的完整计数与逐文档结果</w:t>
      </w:r>
      <w:bookmarkStart w:id="233" w:name="v9_real_233"/>
      <w:bookmarkEnd w:id="233"/>
    </w:p>
    <w:p>
      <w:pPr>
        <w:pStyle w:val="TableCaption"/>
      </w:pPr>
      <w:r>
        <w:rPr>
          <w:rFonts w:ascii="Times New Roman" w:hAnsi="Times New Roman" w:eastAsia="Songti SC"/>
          <w:color w:val="000000"/>
          <w:sz w:val="21"/>
        </w:rPr>
        <w:t>表D-7 Luna试验的完整组件与关系计数（真实运行）</w:t>
      </w:r>
      <w:bookmarkStart w:id="234" w:name="v9_real_234"/>
      <w:bookmarkEnd w:id="23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54"/>
        <w:gridCol w:w="2144"/>
        <w:gridCol w:w="2803"/>
        <w:gridCol w:w="2803"/>
      </w:tblGrid>
      <w:tr>
        <w:trPr>
          <w:cantSplit/>
          <w:tblHeader/>
        </w:trPr>
        <w:tc>
          <w:tcPr>
            <w:tcW w:type="dxa" w:w="1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28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组件TP／FP／FN</w:t>
            </w:r>
          </w:p>
        </w:tc>
        <w:tc>
          <w:tcPr>
            <w:tcW w:type="dxa" w:w="28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关系TP／FP／FN</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MCR-only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2／38／124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0／32／82</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2／38／124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0／0／82</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32／38／94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2／58／80</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MCR-only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17／17／32</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1／17／16</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17／17／32</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0／4／17</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16／19／33</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0／8／17</w:t>
            </w:r>
          </w:p>
        </w:tc>
      </w:tr>
    </w:tbl>
    <w:p>
      <w:pPr>
        <w:spacing w:line="380" w:lineRule="exact"/>
      </w:pPr>
      <w:r>
        <w:rPr>
          <w:rFonts w:ascii="Times New Roman" w:hAnsi="Times New Roman" w:eastAsia="Songti SC"/>
          <w:color w:val="000000"/>
          <w:sz w:val="22"/>
        </w:rPr>
        <w:t>本试验以原文字符跨度、类型及完整关系键作精确集合匹配，未另行验证其与第二章正式token评价器的逐项等价性，故不与主表混算。金标组件共AAEC 126个、CDCP 49个，金标完整关系分别82条、17条。冻结池精确覆盖组件33／126、19／49，完整关系3／82、1／17；CDCP两条多前提金标关系均未进入池。因此本次数据不能评价多前提恢复效果。RelationOnly在AAEC移除32个初始关系FP且未恢复TP，在CDCP损失1个TP、移除16个FP并新增3个FP；不能将较少输出直接解释为更好恢复。</w:t>
      </w:r>
    </w:p>
    <w:p>
      <w:pPr>
        <w:spacing w:line="380" w:lineRule="exact"/>
      </w:pPr>
      <w:r>
        <w:rPr>
          <w:rFonts w:ascii="Times New Roman" w:hAnsi="Times New Roman" w:eastAsia="Songti SC"/>
          <w:color w:val="000000"/>
          <w:sz w:val="22"/>
        </w:rPr>
        <w:t>BRJ-lite的AAEC组件对象差集为新增正确30、损失正确0、新增错误34、移除错误34；关系为2、0、58、32。CDCP组件对应0、1、6、4，关系对应0、1、5、14。上述顺序按完整语义键比较初始与终态，不把累计编辑次数当作对象数。AAEC的28个标点变体恢复及CDCP的真阳性损失均保留，不因总体分数或解释便利而删除。</w:t>
      </w:r>
    </w:p>
    <w:p>
      <w:pPr>
        <w:pStyle w:val="TableCaption"/>
      </w:pPr>
      <w:r>
        <w:rPr>
          <w:rFonts w:ascii="Times New Roman" w:hAnsi="Times New Roman" w:eastAsia="Songti SC"/>
          <w:color w:val="000000"/>
          <w:sz w:val="21"/>
        </w:rPr>
        <w:t>表D-8 全部16篇文档的初始至BRJ-lite结果及候选覆盖</w:t>
      </w:r>
      <w:bookmarkStart w:id="235" w:name="v9_real_235"/>
      <w:bookmarkEnd w:id="23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3"/>
        <w:gridCol w:w="2154"/>
        <w:gridCol w:w="2154"/>
        <w:gridCol w:w="1436"/>
        <w:gridCol w:w="1437"/>
      </w:tblGrid>
      <w:tr>
        <w:trPr>
          <w:cantSplit/>
          <w:tblHeader/>
        </w:trPr>
        <w:tc>
          <w:tcPr>
            <w:tcW w:type="dxa" w:w="172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组件F1前→后</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14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组件覆盖</w:t>
            </w:r>
          </w:p>
        </w:tc>
        <w:tc>
          <w:tcPr>
            <w:tcW w:type="dxa" w:w="143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关系覆盖</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037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0.00→13.79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078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0.00→50.00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0.00→10.53</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085</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8.33→35.71</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0.00→9.52</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5／19</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1／13</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099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0.00→43.48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208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0.00→17.39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293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0.00→26.67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0／13</w:t>
            </w:r>
          </w:p>
        </w:tc>
      </w:tr>
    </w:tbl>
    <w:p>
      <w:pPr>
        <w:pStyle w:val="Normal"/>
        <w:jc w:val="center"/>
        <w:keepNext/>
        <w:pageBreakBefore/>
      </w:pPr>
      <w:r>
        <w:rPr>
          <w:rFonts w:ascii="Times New Roman" w:hAnsi="Times New Roman" w:eastAsia="Songti SC"/>
          <w:color w:val="000000"/>
          <w:sz w:val="21"/>
        </w:rPr>
        <w:t>续表D-8 全部16篇文档的初始至BRJ-lite结果及候选覆盖</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3"/>
        <w:gridCol w:w="2154"/>
        <w:gridCol w:w="2154"/>
        <w:gridCol w:w="1436"/>
        <w:gridCol w:w="1437"/>
      </w:tblGrid>
      <w:tr>
        <w:trPr>
          <w:cantSplit/>
          <w:tblHeader/>
        </w:trPr>
        <w:tc>
          <w:tcPr>
            <w:tcW w:type="dxa" w:w="172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组件F1前→后</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14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组件覆盖</w:t>
            </w:r>
          </w:p>
        </w:tc>
        <w:tc>
          <w:tcPr>
            <w:tcW w:type="dxa" w:w="143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关系覆盖</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370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12.50→52.63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381</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0.00→30.00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00396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00416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60.00→60.00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7／10</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00428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00753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36.36→36.36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01024</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01057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33.33→0.00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01282</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54.55→36.36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01374</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26.67→26.67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r>
    </w:tbl>
    <w:p>
      <w:pPr>
        <w:spacing w:line="380" w:lineRule="exact"/>
      </w:pPr>
      <w:r>
        <w:rPr>
          <w:rFonts w:ascii="Times New Roman" w:hAnsi="Times New Roman" w:eastAsia="Songti SC"/>
          <w:color w:val="000000"/>
          <w:sz w:val="22"/>
        </w:rPr>
        <w:t>表D-8按原始文档ID列出全部样本，覆盖以完整跨度、类型及关系源集合／目标／标签严格匹配，分母为各文档金标数。CDCP 00396的关系覆盖为0／0，表示该文档无正关系，不计算覆盖百分比；其一个FP的标签更换见4.6.7。零真阳性情形的F1统一为0，配合TP、FP、FN解释。该表没有省略组件下降但关系不变的00428、01282，也未把16篇结果扩展为语料基准。</w:t>
      </w:r>
    </w:p>
    <w:p>
      <w:pPr>
        <w:pStyle w:val="Heading2"/>
      </w:pPr>
      <w:r>
        <w:t>D.9 初始批的执行与解释边界</w:t>
      </w:r>
      <w:bookmarkStart w:id="236" w:name="v9_real_236"/>
      <w:bookmarkEnd w:id="236"/>
    </w:p>
    <w:p>
      <w:pPr>
        <w:spacing w:line="380" w:lineRule="exact"/>
      </w:pPr>
      <w:r>
        <w:rPr>
          <w:rFonts w:ascii="Times New Roman" w:hAnsi="Times New Roman" w:eastAsia="Songti SC"/>
          <w:color w:val="000000"/>
          <w:sz w:val="22"/>
        </w:rPr>
        <w:t>本次32个文档策略运行均返回合法图，共评估1738项提议，提交139项。1632次MILP调用中516次返回最优、1116次无可行解；后者包含258次最优解唯一性检查，不等于1116个运行失败。全部139项提交均完成最优值、最少关系编辑及唯一性核查。本次未发生超时或无incumbent回退，不能据这些成功轨迹声称相关失败分支已经历真实验收。金标评价前输出冻结，独立审核逐项检查原生标注、预算、事务外关系和效用门；本地重放32个运行得到相同终态及接受尝试序列。</w:t>
      </w:r>
    </w:p>
    <w:p>
      <w:pPr>
        <w:spacing w:line="380" w:lineRule="exact"/>
      </w:pPr>
      <w:r>
        <w:rPr>
          <w:rFonts w:ascii="Times New Roman" w:hAnsi="Times New Roman" w:eastAsia="Songti SC"/>
          <w:color w:val="000000"/>
          <w:sz w:val="22"/>
        </w:rPr>
        <w:t>轻量实现与正文仍有明确差异。候选生成没有采用本文训练骨干及完整两阶段抽取；多源枚举受生成图限制；评分没有使用训练及校准后的神经对象模型。六类队列虽保留轮转、冲突闭合与批内完整效用比较，类内却按规范对象键排序，而附录B.3按组件效用增益排序；有限尝试下这会改变访问路径。实现容差为10⁻⁸，并在严格总效用约束中加入10⁻⁶余量，与正文统一规约需再核对。因此BRJ-lite始终单列命名，不把其轨迹视为算法4-1的完整等价实现。</w:t>
      </w:r>
    </w:p>
    <w:p>
      <w:pPr>
        <w:spacing w:line="380" w:lineRule="exact"/>
      </w:pPr>
      <w:r>
        <w:rPr>
          <w:rFonts w:ascii="Times New Roman" w:hAnsi="Times New Roman" w:eastAsia="Songti SC"/>
          <w:color w:val="000000"/>
          <w:sz w:val="22"/>
        </w:rPr>
        <w:t>AAEC的BRJ-lite与RelationOnly修正阶段总耗时分别0.434276、0.124535秒，CDCP为0.120818、0.110312秒；对应累计求解时间为0.104983、0.060285、0.028174、0.038296秒，均为各8篇总和。这些时间从冻结候选和评分输入后计量，不包含模型预测、评分、环境导入或完整准备成本，不能代入表4-8或作为端到端速度优势。当前没有同预算全局、单对象动作、分步策略、标点规范化专用对照，也没有训练四格，因而不能判定集合动作的增量、联合决策的必要性或局部策略的采用条件。</w:t>
      </w:r>
    </w:p>
    <w:p>
      <w:pPr>
        <w:spacing w:line="380" w:lineRule="exact"/>
      </w:pPr>
      <w:r>
        <w:rPr>
          <w:rFonts w:ascii="Times New Roman" w:hAnsi="Times New Roman" w:eastAsia="Songti SC"/>
          <w:color w:val="000000"/>
          <w:sz w:val="22"/>
        </w:rPr>
        <w:t>该初始批之后的探索性扩样与固定样本评分检查分别见D.10和D.12；原16篇结果不重算、不回填。该旧批未完成仅标点、单对象及分步对照；本版单对象／全局检查另在D.13所列96篇冻结输入上完成，不回填为原16篇的结果。新增改写诊断见3.6.7；人工裁决与成对训练仍须独立完成。已有案例能够支撑“实际出现何种恢复或失败”的描述，不能替代“新增机制为何有效”的受控证据。</w:t>
      </w:r>
    </w:p>
    <w:p>
      <w:pPr>
        <w:pStyle w:val="Heading2"/>
      </w:pPr>
      <w:r>
        <w:t>D.10 探索性扩样与对象诊断</w:t>
      </w:r>
      <w:bookmarkStart w:id="240" w:name="v10_real_240"/>
      <w:bookmarkEnd w:id="240"/>
    </w:p>
    <w:p>
      <w:pPr>
        <w:spacing w:line="380" w:lineRule="exact"/>
      </w:pPr>
      <w:r>
        <w:rPr>
          <w:rFonts w:ascii="Times New Roman" w:hAnsi="Times New Roman" w:eastAsia="Songti SC"/>
          <w:color w:val="000000"/>
          <w:sz w:val="22"/>
        </w:rPr>
        <w:t>原16篇记录之后，先按相同长度分层和冻结哈希顺序扩为每语料32篇；随后仅对尚无严格关系F1正例的CDCP，每层再取4篇、每波至多16篇，直至用尽116个唯一训练侧审计文本。最终AAEC 32篇、CDCP 116篇；原16篇按字节复用，新增37项预测或评分模型任务，任务数不等同于底层API调用次数。这是已登记停止规则的探索性案例搜索，不能按独立固定样本试验解释。</w:t>
      </w:r>
    </w:p>
    <w:p>
      <w:pPr>
        <w:pStyle w:val="TableCaption"/>
      </w:pPr>
      <w:r>
        <w:rPr>
          <w:rFonts w:ascii="Times New Roman" w:hAnsi="Times New Roman" w:eastAsia="Songti SC"/>
          <w:color w:val="000000"/>
          <w:sz w:val="21"/>
        </w:rPr>
        <w:t>表D-9 探索性扩样的完整对象计数（真实运行）</w:t>
      </w:r>
      <w:bookmarkStart w:id="241" w:name="v10_real_241"/>
      <w:bookmarkEnd w:id="24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65"/>
        <w:gridCol w:w="2164"/>
        <w:gridCol w:w="2746"/>
        <w:gridCol w:w="2829"/>
      </w:tblGrid>
      <w:tr>
        <w:trPr>
          <w:cantSplit/>
          <w:tblHeader/>
        </w:trPr>
        <w:tc>
          <w:tcPr>
            <w:tcW w:type="dxa" w:w="116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6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274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组件TP／FP／FN</w:t>
            </w:r>
          </w:p>
        </w:tc>
        <w:tc>
          <w:tcPr>
            <w:tcW w:type="dxa" w:w="282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关系TP／FP／FN</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44／111／426</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0／122／295</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44／111／426</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0／98／295</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99／149／371</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4／255／291</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178／307／545</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3／187／197</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160／281／563</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0／200／200</w:t>
            </w:r>
          </w:p>
        </w:tc>
      </w:tr>
      <w:tr>
        <w:trPr>
          <w:cantSplit/>
        </w:trPr>
        <w:tc>
          <w:tcPr>
            <w:tcW w:type="dxa" w:w="116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6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74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111／364／612</w:t>
            </w:r>
          </w:p>
        </w:tc>
        <w:tc>
          <w:tcPr>
            <w:tcW w:type="dxa" w:w="282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0／267／200</w:t>
            </w:r>
          </w:p>
        </w:tc>
      </w:tr>
    </w:tbl>
    <w:p>
      <w:pPr>
        <w:spacing w:line="380" w:lineRule="exact"/>
      </w:pPr>
      <w:r>
        <w:rPr>
          <w:rFonts w:ascii="Times New Roman" w:hAnsi="Times New Roman" w:eastAsia="Songti SC"/>
          <w:color w:val="000000"/>
          <w:sz w:val="22"/>
        </w:rPr>
        <w:t>严格键保留原生字符边界和组件类型；关系再要求完整源集合、目标、方向和标签同时匹配。AAEC金标470个组件、295条关系，池中命中102个组件、7条完整关系；CDCP对应723、200及191、22。已入池正确关系中，AAEC 3条、CDCP 19条取原规约的缺省0.05；这说明实际赋值，不证明未覆写对象从未被模型考虑。原评分本就要求检查全部候选，数值稀疏不能直接等同于心理意义上的未评估。</w:t>
      </w:r>
    </w:p>
    <w:p>
      <w:pPr>
        <w:spacing w:line="380" w:lineRule="exact"/>
      </w:pPr>
      <w:r>
        <w:rPr>
          <w:rFonts w:ascii="Times New Roman" w:hAnsi="Times New Roman" w:eastAsia="Songti SC"/>
          <w:color w:val="000000"/>
          <w:sz w:val="22"/>
        </w:rPr>
        <w:t>AAEC的4个严格正例为essay001、essay051、essay078、essay085，全部列入外部核验册。CDCP的9个失败文档为00404、00430、00728、00867、00881、01118、01150、01288、01292，原因涉及非法类型、重叠或非连续源范围。另22篇满足关系FP减少、TP不减少且组件F1不下降的事后条件；这是误报抑制描述，不参与停止规则，也不称为关系F1提高。00312中FP由1降至0、组件F1保持50.00，RelationOnly得到相同结果，因此它不构成联合修正独有收益。</w:t>
      </w:r>
    </w:p>
    <w:p>
      <w:pPr>
        <w:spacing w:line="380" w:lineRule="exact"/>
      </w:pPr>
      <w:r>
        <w:rPr>
          <w:rFonts w:ascii="Times New Roman" w:hAnsi="Times New Roman" w:eastAsia="Songti SC"/>
          <w:color w:val="000000"/>
          <w:sz w:val="22"/>
        </w:rPr>
        <w:t>148篇冻结输出已独立复算，296个文档策略记录完成一次本地重放，终态对象或显式失败均一致，但6组接受尝试序列不同。差异保留在重放记录中，不覆盖原输出；可能涉及集合遍历的浮点累加及近似并列次序，尚未隔离确认单一原因。新增固定规模试验将效用求和顺序固定为规范ID顺序，公式和接受阈值不变；该实现调整不追溯改写旧结果。</w:t>
      </w:r>
    </w:p>
    <w:p>
      <w:pPr>
        <w:pStyle w:val="Heading2"/>
      </w:pPr>
      <w:r>
        <w:t>D.11 新增语料的来源与固定试验</w:t>
      </w:r>
      <w:bookmarkStart w:id="242" w:name="v10_real_242"/>
      <w:bookmarkEnd w:id="242"/>
    </w:p>
    <w:p>
      <w:pPr>
        <w:spacing w:line="380" w:lineRule="exact"/>
      </w:pPr>
      <w:r>
        <w:rPr>
          <w:rFonts w:ascii="Times New Roman" w:hAnsi="Times New Roman" w:eastAsia="Songti SC"/>
          <w:color w:val="000000"/>
          <w:sz w:val="22"/>
        </w:rPr>
        <w:t>新增检索截至2026年10月11日，优先选择同时提供原文、组件边界、原生类型及有向关系的作者发布语料。ArgUNSC于2025年发布，覆盖144篇安理会发言，含claim／premise和support／attack[50]；CasiMedicos-Arg于2024年发布，以医生解释的病例问答为对象，含Claim／Premise和Support／Attack[51]。前者的多个前提以分别指向主张的二元关系表达；后者允许Claim支持Claim，一般医学知识仍标Claim，病例特定观察才标Premise。本试验仅使用后者的英文版本，未将同一病例的四种语言当作独立样本。</w:t>
      </w:r>
    </w:p>
    <w:p>
      <w:pPr>
        <w:spacing w:line="380" w:lineRule="exact"/>
      </w:pPr>
      <w:r>
        <w:rPr>
          <w:rFonts w:ascii="Times New Roman" w:hAnsi="Times New Roman" w:eastAsia="Songti SC"/>
          <w:color w:val="000000"/>
          <w:sz w:val="22"/>
        </w:rPr>
        <w:t>ArgUNSC使用作者仓库的组件级CSV快照，按Sentence_ID拼接原句，组件必须完整逐字匹配并在来源句内开始；跨句组件允许延伸到后句。base.csv的Premises字段与独立关系对文件校对：发布快照中有3060条正关系行，去重为3009条，与组件表的关系集合相同；论文的关系总数为2973，二者没有强行对齐。两个文档存在重复组件ID或重叠，整篇排除；其余142篇中再排除22篇超过8000字符的文档，得到120篇合格源文档。</w:t>
      </w:r>
    </w:p>
    <w:p>
      <w:pPr>
        <w:spacing w:line="380" w:lineRule="exact"/>
      </w:pPr>
      <w:r>
        <w:rPr>
          <w:rFonts w:ascii="Times New Roman" w:hAnsi="Times New Roman" w:eastAsia="Songti SC"/>
          <w:color w:val="000000"/>
          <w:sz w:val="22"/>
        </w:rPr>
        <w:t>CasiMedicos-Arg固定Hugging Face revision 54a07ccf2993afc42a368e04682125b6f7b13be4，读取原始英文有序token／BIO与relations文件。各句内以单空格、句间以换行重建文本，Claim／Premise由BIO还原，其他医学实体和Marker不改写成论辩组件。关系端点只允许对完整组件作唯一匹配，比较时统一NFKC、空白和末尾 .,:;!?；不作编辑距离或语义补配，任何未映射端点使整篇不进入本次严格试验。</w:t>
      </w:r>
    </w:p>
    <w:p>
      <w:pPr>
        <w:spacing w:line="380" w:lineRule="exact"/>
      </w:pPr>
      <w:r>
        <w:rPr>
          <w:rFonts w:ascii="Times New Roman" w:hAnsi="Times New Roman" w:eastAsia="Songti SC"/>
          <w:color w:val="000000"/>
          <w:sz w:val="22"/>
        </w:rPr>
        <w:t>论文报告558个标注病例；所用快照的三划分共622行，其中69行缺少token标注，剩余553行，不能直接沿用论文分母。官方test的125行中117行有token标注，93行可完整映射组件和全部关系；本次只从这93行抽样。排除记录先于预测冻结，故它限定了可转换子集的解释范围；不能把该子集成绩冒充官方完整测试集成绩。英文材料源于西班牙文病例，经翻译与人工修订，这也是其文本条件的一部分。</w:t>
      </w:r>
    </w:p>
    <w:p>
      <w:pPr>
        <w:pStyle w:val="TableCaption"/>
      </w:pPr>
      <w:r>
        <w:rPr>
          <w:rFonts w:ascii="Times New Roman" w:hAnsi="Times New Roman" w:eastAsia="Songti SC"/>
          <w:color w:val="000000"/>
          <w:sz w:val="21"/>
        </w:rPr>
        <w:t>表D-10 新语料转换与抽样范围</w:t>
      </w:r>
      <w:bookmarkStart w:id="243" w:name="v10_real_243"/>
      <w:bookmarkEnd w:id="24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807"/>
        <w:gridCol w:w="2613"/>
        <w:gridCol w:w="3484"/>
      </w:tblGrid>
      <w:tr>
        <w:trPr>
          <w:cantSplit/>
          <w:tblHeader/>
        </w:trPr>
        <w:tc>
          <w:tcPr>
            <w:tcW w:type="dxa" w:w="280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项目</w:t>
            </w:r>
          </w:p>
        </w:tc>
        <w:tc>
          <w:tcPr>
            <w:tcW w:type="dxa" w:w="261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ArgUNSC</w:t>
            </w:r>
          </w:p>
        </w:tc>
        <w:tc>
          <w:tcPr>
            <w:tcW w:type="dxa" w:w="3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CasiMedicos-Arg英文</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所用发布文档／行</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144</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test 125</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完整可转换</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142</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test 93</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长度限制后合格</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120</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93</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固定样本</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原生发布划分</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本次发布无官方划分</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官方test子集</w:t>
            </w:r>
          </w:p>
        </w:tc>
      </w:tr>
      <w:tr>
        <w:trPr>
          <w:cantSplit/>
        </w:trPr>
        <w:tc>
          <w:tcPr>
            <w:tcW w:type="dxa" w:w="280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字符构造</w:t>
            </w:r>
          </w:p>
        </w:tc>
        <w:tc>
          <w:tcPr>
            <w:tcW w:type="dxa" w:w="261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原句单空格连接</w:t>
            </w:r>
          </w:p>
        </w:tc>
        <w:tc>
          <w:tcPr>
            <w:tcW w:type="dxa" w:w="3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token单空格与句间换行</w:t>
            </w:r>
          </w:p>
        </w:tc>
      </w:tr>
    </w:tbl>
    <w:p>
      <w:pPr>
        <w:spacing w:line="380" w:lineRule="exact"/>
      </w:pPr>
      <w:r>
        <w:rPr>
          <w:rFonts w:ascii="Times New Roman" w:hAnsi="Times New Roman" w:eastAsia="Songti SC"/>
          <w:color w:val="000000"/>
          <w:sz w:val="22"/>
        </w:rPr>
        <w:t>两套语料分别按token长度四分位分层，在层内按SHA256(V10-LUNA-FIXED32|语料|原文)排序各取8篇，预测前保存完整顺序、源文件哈希、盲输入和金标快照。各8篇一个预测任务，每篇生成两个图；关系为多源时不拆平来挽救二元语料的非法输出。全程不按效果追加文档或重试格式失败。ArgUNSC、CasiMedicos-Arg和新CDCP预测共12项模型任务，盲评分共31项，合计43项；实际模型快照、温度、随机种子及token用量未由调度工具暴露。</w:t>
      </w:r>
    </w:p>
    <w:p>
      <w:pPr>
        <w:spacing w:line="380" w:lineRule="exact"/>
      </w:pPr>
      <w:r>
        <w:rPr>
          <w:rFonts w:ascii="Times New Roman" w:hAnsi="Times New Roman" w:eastAsia="Songti SC"/>
          <w:color w:val="000000"/>
          <w:sz w:val="22"/>
        </w:rPr>
        <w:t>新试验的构造器只在两张成功解析图给出的类型范围内保留跨度，补充去句末标点变体；二元槽位按不重叠端点枚举，CDCP多源槽位仅来自生成图及其端点变体。4096是构造预检的槽位上限，不是论文完整候选方案的等价实现。所有新文档采用逐文档累计5秒、每MILP调用最多0.25秒的求解额度，其余128次尝试、12次接受及24／96编辑上限沿用旧试验；效用求和次序固定。</w:t>
      </w:r>
    </w:p>
    <w:p>
      <w:pPr>
        <w:spacing w:line="380" w:lineRule="exact"/>
      </w:pPr>
      <w:r>
        <w:rPr>
          <w:rFonts w:ascii="Times New Roman" w:hAnsi="Times New Roman" w:eastAsia="Songti SC"/>
          <w:color w:val="000000"/>
          <w:sz w:val="22"/>
        </w:rPr>
        <w:t>ArgUNSC 64个图中6个因多源关系未通过二元解析；CasiMedicos-Arg为35个，另有3个已解析图违反结构检查。错误记录和全部文档保持在评价分母。MCR依原分数排名选图，未因为已知金标而换成其他候选；初始化失败时本次MCR、BRJ-lite及RelationOnly均按空预测计数。该规则与D.10保留原始MCR图的历史口径不同，两个试验不合并计算成绩。</w:t>
      </w:r>
    </w:p>
    <w:p>
      <w:pPr>
        <w:spacing w:line="380" w:lineRule="exact"/>
      </w:pPr>
      <w:r>
        <w:rPr>
          <w:rFonts w:ascii="Times New Roman" w:hAnsi="Times New Roman" w:eastAsia="Songti SC"/>
          <w:color w:val="000000"/>
          <w:sz w:val="22"/>
        </w:rPr>
        <w:t>ArgUNSC的共同初始组件／关系TP、FP、FN为43／50／785与3／50／502；BRJ-lite为42／105／786与0／69／505。关系恢复／损失TP为0／3，新增／移除FP为55／36。每篇严格计数、格式失败和候选覆盖保存于独立评价文件。</w:t>
      </w:r>
    </w:p>
    <w:p>
      <w:pPr>
        <w:spacing w:line="380" w:lineRule="exact"/>
      </w:pPr>
      <w:r>
        <w:rPr>
          <w:rFonts w:ascii="Times New Roman" w:hAnsi="Times New Roman" w:eastAsia="Songti SC"/>
          <w:color w:val="000000"/>
          <w:sz w:val="22"/>
        </w:rPr>
        <w:t>CasiMedicos-Arg的共同初始组件／关系TP、FP、FN为24／29／365与1／30／210；BRJ-lite为21／45／368与0／51／211。关系恢复／损失TP为0／1，新增／移除FP为34／13。每篇严格计数、格式失败和候选覆盖保存于独立评价文件。</w:t>
      </w:r>
    </w:p>
    <w:p>
      <w:pPr>
        <w:pStyle w:val="Heading2"/>
      </w:pPr>
      <w:r>
        <w:t>D.12 CDCP原生评分接口的配对检查</w:t>
      </w:r>
      <w:bookmarkStart w:id="244" w:name="v10_real_244"/>
      <w:bookmarkEnd w:id="244"/>
    </w:p>
    <w:p>
      <w:pPr>
        <w:spacing w:line="380" w:lineRule="exact"/>
      </w:pPr>
      <w:r>
        <w:rPr>
          <w:rFonts w:ascii="Times New Roman" w:hAnsi="Times New Roman" w:eastAsia="Songti SC"/>
          <w:color w:val="000000"/>
          <w:sz w:val="22"/>
        </w:rPr>
        <w:t>CDCP按可评价性区分类型：fact是可依陈述当时的证据核验、且不依赖个人经历的命题，未来预测未必为fact；testimony表达个人状态或经历；value为评价，policy为具体行动建议，reference标记外部证据来源。reason给出理由，evidence提供判断目标真假的根据，其来源在原标注模型中与testimony或reference相关[3]。本次将这些区别写入评分说明，未把它们新增为硬类型掩码，也未将全部事实性语句自动当成evidence。</w:t>
      </w:r>
    </w:p>
    <w:p>
      <w:pPr>
        <w:spacing w:line="380" w:lineRule="exact"/>
      </w:pPr>
      <w:r>
        <w:rPr>
          <w:rFonts w:ascii="Times New Roman" w:hAnsi="Times New Roman" w:eastAsia="Songti SC"/>
          <w:color w:val="000000"/>
          <w:sz w:val="22"/>
        </w:rPr>
        <w:t>新增32篇仅来自官方训练划分，排除前期整个CDCP审计文本集合，因此不与D.10的116篇重叠。抽样与预测同D.11；候选、MCR初始选择、求解器、队列生成规则和预算在两条件间完全相同。原评分仍使用低默认值0.05和显式覆写；原生显式方案对所有组件及关系ID输出[0,1]数值或null，不允许缺键。null保持未知，涉及未知变化组件或闭合域关系的提议被拒绝；未变化对象的数值在差分中抵消。</w:t>
      </w:r>
    </w:p>
    <w:p>
      <w:pPr>
        <w:spacing w:line="380" w:lineRule="exact"/>
      </w:pPr>
      <w:r>
        <w:rPr>
          <w:rFonts w:ascii="Times New Roman" w:hAnsi="Times New Roman" w:eastAsia="Songti SC"/>
          <w:color w:val="000000"/>
          <w:sz w:val="22"/>
        </w:rPr>
        <w:t>本批金标包含211个组件、56条完整关系，有限池覆盖46个组件、5条完整关系；8条多源金标关系中，池内命中0条。该上游范围在两条件间不变；调整评分不能生成缺失的类型、跨度或源集合。两条件的原生图解析相同，64个图全部解析成功，63个满足实现的结构检查。</w:t>
      </w:r>
    </w:p>
    <w:p>
      <w:pPr>
        <w:pStyle w:val="TableCaption"/>
      </w:pPr>
      <w:r>
        <w:rPr>
          <w:rFonts w:ascii="Times New Roman" w:hAnsi="Times New Roman" w:eastAsia="Songti SC"/>
          <w:color w:val="000000"/>
          <w:sz w:val="21"/>
        </w:rPr>
        <w:t>表D-11 CDCP候选评分的覆盖与金标事后诊断</w:t>
      </w:r>
      <w:bookmarkStart w:id="245" w:name="v10_real_245"/>
      <w:bookmarkEnd w:id="24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725"/>
        <w:gridCol w:w="1999"/>
        <w:gridCol w:w="2180"/>
      </w:tblGrid>
      <w:tr>
        <w:trPr>
          <w:cantSplit/>
          <w:tblHeader/>
        </w:trPr>
        <w:tc>
          <w:tcPr>
            <w:tcW w:type="dxa" w:w="472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199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原评分</w:t>
            </w:r>
          </w:p>
        </w:tc>
        <w:tc>
          <w:tcPr>
            <w:tcW w:type="dxa" w:w="218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原生显式</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组件候选数</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235</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235</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关系候选数</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3670</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3670</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关系取默认0.05</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3101</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无默认</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显式未知组件／关系</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无此字段</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池内正确关系得分≥0.5</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w:t>
            </w:r>
          </w:p>
        </w:tc>
      </w:tr>
      <w:tr>
        <w:trPr>
          <w:cantSplit/>
        </w:trPr>
        <w:tc>
          <w:tcPr>
            <w:tcW w:type="dxa" w:w="472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池内正确关系取默认分</w:t>
            </w:r>
          </w:p>
        </w:tc>
        <w:tc>
          <w:tcPr>
            <w:tcW w:type="dxa" w:w="199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w:t>
            </w:r>
          </w:p>
        </w:tc>
        <w:tc>
          <w:tcPr>
            <w:tcW w:type="dxa" w:w="218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无默认</w:t>
            </w:r>
          </w:p>
        </w:tc>
      </w:tr>
    </w:tbl>
    <w:p>
      <w:pPr>
        <w:spacing w:line="380" w:lineRule="exact"/>
      </w:pPr>
      <w:r>
        <w:rPr>
          <w:rFonts w:ascii="Times New Roman" w:hAnsi="Times New Roman" w:eastAsia="Songti SC"/>
          <w:color w:val="000000"/>
          <w:sz w:val="22"/>
        </w:rPr>
        <w:t>表D-11的显式覆盖只证明字段齐备及数值有效，不能独立证明模型逐一完成了可靠语义判断；金标只用于冻结后的诊断。评分与预测为同型号模型的不同上下文，误差独立性未获证明。原生说明和输出覆盖同时变化，故该对照检验组合输入调整，不区分两个因素各自的效应。即使关系F1提高，也不等于分数已校准或完整BR-J有效。</w:t>
      </w:r>
    </w:p>
    <w:p>
      <w:pPr>
        <w:spacing w:line="380" w:lineRule="exact"/>
      </w:pPr>
      <w:r>
        <w:rPr>
          <w:rFonts w:ascii="Times New Roman" w:hAnsi="Times New Roman" w:eastAsia="Songti SC"/>
          <w:color w:val="000000"/>
          <w:sz w:val="22"/>
        </w:rPr>
        <w:t>本地接口检查覆盖两套新语料的二元元数、未知变化组件、未知关联关系、最小合法化扩域中的未知同槽标签，以及不相关未知对象不应阻断已评分提议。原始源文件、候选、分数和执行输入在读入评价标签前冻结；独立检查再从发布CSV／BIO／关系JSONL及CDCP原压缩包重建金标，复核事务外关系、接受门、累计预算与终态。构造检查只证明这些边界分支按规约执行，不替代语料上的收益。</w:t>
      </w:r>
    </w:p>
    <w:p>
      <w:pPr>
        <w:pStyle w:val="TableCaption"/>
      </w:pPr>
      <w:r>
        <w:rPr>
          <w:rFonts w:ascii="Times New Roman" w:hAnsi="Times New Roman" w:eastAsia="Songti SC"/>
          <w:color w:val="000000"/>
          <w:sz w:val="21"/>
        </w:rPr>
        <w:t>表D-12 新增试验的修正阶段实测成本</w:t>
      </w:r>
      <w:bookmarkStart w:id="246" w:name="v10_real_246"/>
      <w:bookmarkEnd w:id="24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10"/>
        <w:gridCol w:w="1858"/>
        <w:gridCol w:w="1703"/>
        <w:gridCol w:w="1316"/>
        <w:gridCol w:w="1317"/>
      </w:tblGrid>
      <w:tr>
        <w:trPr>
          <w:cantSplit/>
          <w:tblHeader/>
        </w:trPr>
        <w:tc>
          <w:tcPr>
            <w:tcW w:type="dxa" w:w="271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语料与评分</w:t>
            </w:r>
          </w:p>
        </w:tc>
        <w:tc>
          <w:tcPr>
            <w:tcW w:type="dxa" w:w="18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策略</w:t>
            </w:r>
          </w:p>
        </w:tc>
        <w:tc>
          <w:tcPr>
            <w:tcW w:type="dxa" w:w="17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完成／失败</w:t>
            </w:r>
          </w:p>
        </w:tc>
        <w:tc>
          <w:tcPr>
            <w:tcW w:type="dxa" w:w="131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墙钟秒</w:t>
            </w:r>
          </w:p>
        </w:tc>
        <w:tc>
          <w:tcPr>
            <w:tcW w:type="dxa" w:w="13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MILP秒</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31／1</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0.4865</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0.1922</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31／1</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0.1616</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0.0928</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18／14</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0.1172</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0.0608</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18／14</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0.0488</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0.0313</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0.3991</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0.1687</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0.3787</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0.1943</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原生显式</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0.4831</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0.1514</w:t>
            </w:r>
          </w:p>
        </w:tc>
      </w:tr>
      <w:tr>
        <w:trPr>
          <w:cantSplit/>
        </w:trPr>
        <w:tc>
          <w:tcPr>
            <w:tcW w:type="dxa" w:w="271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原生显式</w:t>
            </w:r>
          </w:p>
        </w:tc>
        <w:tc>
          <w:tcPr>
            <w:tcW w:type="dxa" w:w="18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0.4477</w:t>
            </w:r>
          </w:p>
        </w:tc>
        <w:tc>
          <w:tcPr>
            <w:tcW w:type="dxa" w:w="13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0.1812</w:t>
            </w:r>
          </w:p>
        </w:tc>
      </w:tr>
    </w:tbl>
    <w:p>
      <w:pPr>
        <w:spacing w:line="380" w:lineRule="exact"/>
      </w:pPr>
      <w:r>
        <w:rPr>
          <w:rFonts w:ascii="Times New Roman" w:hAnsi="Times New Roman" w:eastAsia="Songti SC"/>
          <w:color w:val="000000"/>
          <w:sz w:val="22"/>
        </w:rPr>
        <w:t>表D-12为每种语料、条件和策略的32篇合计，从固定候选和分数之后开始计时，不含Luna预测、评分、下载或环境准备。它不能解释为端到端延迟或局部相对全局的速度优势；完整逐调用状态保存在运行轨迹。</w:t>
      </w:r>
    </w:p>
    <w:p>
      <w:pPr>
        <w:spacing w:line="380" w:lineRule="exact"/>
      </w:pPr>
      <w:r>
        <w:rPr>
          <w:rFonts w:ascii="Times New Roman" w:hAnsi="Times New Roman" w:eastAsia="Songti SC"/>
          <w:color w:val="000000"/>
          <w:sz w:val="22"/>
        </w:rPr>
        <w:t>新增试验的256个文档条件策略记录另作一次冻结分数的本地重放，其中256个终态或显式失败一致，256个接受尝试序列一致。重放不再调用Luna，也不替换原轨迹；一致性只验证冻结输入后的执行，不代表模型多次抽样结果稳定。</w:t>
      </w:r>
    </w:p>
    <w:p>
      <w:pPr>
        <w:pStyle w:val="Heading2"/>
      </w:pPr>
      <w:r>
        <w:t>D.13 新增改写、候选与求解的运行身份</w:t>
      </w:r>
      <w:bookmarkStart w:id="255" w:name="v11_evidence_255"/>
      <w:bookmarkEnd w:id="255"/>
    </w:p>
    <w:p>
      <w:pPr>
        <w:spacing w:line="380" w:lineRule="exact"/>
      </w:pPr>
      <w:r>
        <w:rPr>
          <w:rFonts w:ascii="Times New Roman" w:hAnsi="Times New Roman" w:eastAsia="Songti SC"/>
          <w:color w:val="000000"/>
          <w:sz w:val="22"/>
        </w:rPr>
        <w:t>research_1011_v11保存30项新的gpt-5.6-luna／low任务：8项改写、8项筛选、8项独立上下文复核和6项成分抽取。每项限制只读指定指令与输入；生成和候选预测不读评价金标。判断原／新标签保持时，筛选和复核读取的是待判定的原标注及迁移标注，不能称为对标签身份盲审；它们对彼此输出与接受决定隔离。请求模型名与推理档位已登记，精确部署快照、采样种子、API token数未暴露。失败与待定全部保留，无按结果重试。</w:t>
      </w:r>
    </w:p>
    <w:p>
      <w:pPr>
        <w:pStyle w:val="TableCaption"/>
      </w:pPr>
      <w:r>
        <w:rPr>
          <w:rFonts w:ascii="Times New Roman" w:hAnsi="Times New Roman" w:eastAsia="Songti SC"/>
          <w:color w:val="000000"/>
          <w:sz w:val="21"/>
        </w:rPr>
        <w:t>表D-13 原标签分歧与改写后关系变化（模型复核）</w:t>
      </w:r>
      <w:bookmarkStart w:id="256" w:name="v11_evidence_256"/>
      <w:bookmarkEnd w:id="25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42"/>
        <w:gridCol w:w="1941"/>
        <w:gridCol w:w="1256"/>
        <w:gridCol w:w="1598"/>
        <w:gridCol w:w="1598"/>
        <w:gridCol w:w="1369"/>
      </w:tblGrid>
      <w:tr>
        <w:trPr>
          <w:cantSplit/>
          <w:tblHeader/>
        </w:trPr>
        <w:tc>
          <w:tcPr>
            <w:tcW w:type="dxa" w:w="114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94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因素</w:t>
            </w:r>
          </w:p>
        </w:tc>
        <w:tc>
          <w:tcPr>
            <w:tcW w:type="dxa" w:w="125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配对数</w:t>
            </w:r>
          </w:p>
        </w:tc>
        <w:tc>
          <w:tcPr>
            <w:tcW w:type="dxa" w:w="159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认可原标签</w:t>
            </w:r>
          </w:p>
        </w:tc>
        <w:tc>
          <w:tcPr>
            <w:tcW w:type="dxa" w:w="159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原标签分歧</w:t>
            </w:r>
          </w:p>
        </w:tc>
        <w:tc>
          <w:tcPr>
            <w:tcW w:type="dxa" w:w="136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诱发变化</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内部正</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28</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跨边界正</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48</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44</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内部NONE</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跨边界NONE</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128</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128</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内部正</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跨边界正</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94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内部NONE</w:t>
            </w:r>
          </w:p>
        </w:tc>
        <w:tc>
          <w:tcPr>
            <w:tcW w:type="dxa" w:w="125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38</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34</w:t>
            </w:r>
          </w:p>
        </w:tc>
        <w:tc>
          <w:tcPr>
            <w:tcW w:type="dxa" w:w="159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w:t>
            </w:r>
          </w:p>
        </w:tc>
        <w:tc>
          <w:tcPr>
            <w:tcW w:type="dxa" w:w="13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r>
      <w:tr>
        <w:trPr>
          <w:cantSplit/>
        </w:trPr>
        <w:tc>
          <w:tcPr>
            <w:tcW w:type="dxa" w:w="114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94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跨边界NONE</w:t>
            </w:r>
          </w:p>
        </w:tc>
        <w:tc>
          <w:tcPr>
            <w:tcW w:type="dxa" w:w="125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5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w:t>
            </w:r>
          </w:p>
        </w:tc>
        <w:tc>
          <w:tcPr>
            <w:tcW w:type="dxa" w:w="15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w:t>
            </w:r>
          </w:p>
        </w:tc>
        <w:tc>
          <w:tcPr>
            <w:tcW w:type="dxa" w:w="13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r>
    </w:tbl>
    <w:p>
      <w:pPr>
        <w:spacing w:line="380" w:lineRule="exact"/>
      </w:pPr>
      <w:r>
        <w:rPr>
          <w:rFonts w:ascii="Times New Roman" w:hAnsi="Times New Roman" w:eastAsia="Songti SC"/>
          <w:color w:val="000000"/>
          <w:sz w:val="22"/>
        </w:rPr>
        <w:t>影响域包含全部受影响正关系；NONE按固定哈希最多抽取内部4项、跨边界4项，CDCP不会把已知联合源中的单成员机械登记为负关系。两路复核者同源而非统计独立，其一致性不等于准确性。所有结果保持“未检出”“待定”“检测到”三种状态，0个检出不是对总体漂移率为0的证明。</w:t>
      </w:r>
    </w:p>
    <w:p>
      <w:pPr>
        <w:spacing w:line="380" w:lineRule="exact"/>
      </w:pPr>
      <w:r>
        <w:rPr>
          <w:rFonts w:ascii="Times New Roman" w:hAnsi="Times New Roman" w:eastAsia="Songti SC"/>
          <w:color w:val="000000"/>
          <w:sz w:val="22"/>
        </w:rPr>
        <w:t>候选构造分A—D四层，金标只在构造完成、输入与代码哈希冻结后用于覆盖核查。A为原v10池，B独立挽救可定位的旧成分，C追加新抽取及备选类型，D再作一次±1评价token边界扩展和CDCP相邻源组；保护原对象，补充64组件与4096槽位。D层为多源槽位预留1024个位置，剩余份额可回用于二元槽位。该固定距离排序与正式完整对象评分排序不同，结果只归属候选诊断。未用金标挑选类型或按正确率修改排序。</w:t>
      </w:r>
    </w:p>
    <w:p>
      <w:pPr>
        <w:spacing w:line="380" w:lineRule="exact"/>
      </w:pPr>
      <w:r>
        <w:rPr>
          <w:rFonts w:ascii="Times New Roman" w:hAnsi="Times New Roman" w:eastAsia="Songti SC"/>
          <w:color w:val="000000"/>
          <w:sz w:val="22"/>
        </w:rPr>
        <w:t>求解比较读取v10原始候选、稀疏／显式评分和同一合法初始图；初始化失败保持空输出进入分母。全局ILP使用相同完整对象效用、重叠／端点／标签／源连续性约束和分项下界；记录主目标证书及净编辑破同分状态。局部与全局的净／累计预算差异明确保留。5项独立小规模枚举与接口检查通过，1536条输出通过原生金标和轨迹／可行性审计；已有v10接口检查另列，不把这些检查写成目标模型的训练验收。</w:t>
      </w:r>
    </w:p>
    <w:p>
      <w:pPr>
        <w:spacing w:line="380" w:lineRule="exact"/>
      </w:pPr>
      <w:r>
        <w:rPr>
          <w:rFonts w:ascii="Times New Roman" w:hAnsi="Times New Roman" w:eastAsia="Songti SC"/>
          <w:color w:val="000000"/>
          <w:sz w:val="22"/>
        </w:rPr>
        <w:t>代码入口为prepare.py、prepare_judges.py、evaluate_drift.py、candidate_probe.py、solver_compare.py和evaluate_solver.py，模型输出、输入／输出冻结与评价记录随证据包保存。simulation目录独立保存人工计数、成员、OOF示例和配置假设。真实输出与模拟文件有各自身份，重复汇总不计为新增模型调用。</w:t>
      </w:r>
    </w:p>
    <w:p>
      <w:pPr>
        <w:pStyle w:val="Heading1"/>
      </w:pPr>
      <w:r>
        <w:t>附录E 前期数值与协议存档</w:t>
      </w:r>
      <w:bookmarkStart w:id="135" w:name="v14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4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4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4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4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4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4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4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4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4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4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4_141"/>
      <w:bookmarkEnd w:id="141"/>
    </w:p>
    <w:p>
      <w:pPr>
        <w:pStyle w:val="TableCaption"/>
        <w:spacing w:line="380" w:lineRule="exact"/>
      </w:pPr>
      <w:r>
        <w:rPr>
          <w:rFonts w:ascii="Times New Roman" w:hAnsi="Times New Roman" w:eastAsia="Songti SC"/>
          <w:color w:val="000000"/>
          <w:sz w:val="21"/>
        </w:rPr>
        <w:t>表E-6 ICIC原版Oracle记录</w:t>
      </w:r>
      <w:bookmarkStart w:id="211" w:name="v14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4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4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4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4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4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4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4_145"/>
      <w:bookmarkEnd w:id="145"/>
    </w:p>
    <w:p>
      <w:pPr>
        <w:pStyle w:val="Heading2"/>
      </w:pPr>
      <w:r>
        <w:t>F.1 核心术语与符号</w:t>
      </w:r>
      <w:bookmarkStart w:id="146" w:name="v14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4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4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4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4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5.1至5.3条件增量、对象边界与在线配置选择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4_149"/>
      <w:bookmarkEnd w:id="149"/>
    </w:p>
    <w:p>
      <w:pPr>
        <w:pStyle w:val="Heading2"/>
      </w:pPr>
      <w:r>
        <w:t>G.1 检索范围与方法选择</w:t>
      </w:r>
      <w:bookmarkStart w:id="150" w:name="v14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Anthology、论文原文、arXiv作者版本与论文所指向的公开仓库。表G-1记录纳入考虑的方法类别，检索目的为建立可执行的比较范围，未据此作穷尽性新颖性或“首次”判断。原论文成绩不并入本版估算情景主表。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4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4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；前次资料核查未取得可检查的仓库内容，因此仅确认论文所载地址，不标记环境可运行。QOS／DOS的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所列分类任务用于说明输入边界。AASP、ARGUS的既有记录以原文方法为限，不将未检查的代码写成已复现。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未实测身份；新增匿名模拟行只用于预览版面与分析，不填入任何已发表系统名下。GMAM、DENIM和动作模型仅作必要补充，QOS式适配不替代端到端外部对照。</w:t>
      </w:r>
    </w:p>
    <w:p>
      <w:pPr>
        <w:pStyle w:val="Heading2"/>
      </w:pPr>
      <w:r>
        <w:t>G.3 QOS式适配与本方法的差异</w:t>
      </w:r>
      <w:bookmarkStart w:id="152" w:name="v14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4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4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spacing w:line="380" w:lineRule="exact"/>
      </w:pPr>
      <w:r>
        <w:rPr>
          <w:rFonts w:ascii="Times New Roman" w:hAnsi="Times New Roman" w:eastAsia="Songti SC"/>
          <w:color w:val="000000"/>
          <w:sz w:val="22"/>
        </w:rPr>
        <w:t>为完整预览外部比较的写法，表G-3使用匿名外部系统的模拟输入；“编码式”“生成式”仅是比较职责，不绑定Kawarada、UniASA或任何已发表系统，也不引用为它们的成绩。各行使用与主情景相同的人工金标规模，保存逐文档整数计数；正式接入后整行替换。</w:t>
      </w:r>
    </w:p>
    <w:p>
      <w:pPr>
        <w:pStyle w:val="TableCaption"/>
      </w:pPr>
      <w:r>
        <w:rPr>
          <w:rFonts w:ascii="Times New Roman" w:hAnsi="Times New Roman" w:eastAsia="Songti SC"/>
          <w:color w:val="000000"/>
          <w:sz w:val="21"/>
        </w:rPr>
        <w:t>表G-3 外部比较的匿名预览结果（全部模拟）</w:t>
      </w:r>
      <w:bookmarkStart w:id="257" w:name="v11_evidence_257"/>
      <w:bookmarkEnd w:id="25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2968"/>
        <w:gridCol w:w="2226"/>
        <w:gridCol w:w="2226"/>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9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对照职责</w:t>
            </w:r>
          </w:p>
        </w:tc>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w:t>
            </w:r>
          </w:p>
        </w:tc>
      </w:tr>
      <w:tr>
        <w:trPr>
          <w:cantSplit/>
        </w:trPr>
        <w:tc>
          <w:tcPr>
            <w:tcW w:type="dxa" w:w="148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96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编码式对照</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79.67±0.36</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56.56±0.35</w:t>
            </w:r>
          </w:p>
        </w:tc>
      </w:tr>
      <w:tr>
        <w:trPr>
          <w:cantSplit/>
        </w:trPr>
        <w:tc>
          <w:tcPr>
            <w:tcW w:type="dxa" w:w="148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96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生成式对照</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81.66±0.37</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61.26±0.37</w:t>
            </w:r>
          </w:p>
        </w:tc>
      </w:tr>
      <w:tr>
        <w:trPr>
          <w:cantSplit/>
        </w:trPr>
        <w:tc>
          <w:tcPr>
            <w:tcW w:type="dxa" w:w="148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96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编码式对照</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71.57±0.35</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50.97±0.37</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生成式对照</w:t>
            </w:r>
          </w:p>
        </w:tc>
        <w:tc>
          <w:tcPr>
            <w:tcW w:type="dxa" w:w="222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74.37±0.36</w:t>
            </w:r>
          </w:p>
        </w:tc>
        <w:tc>
          <w:tcPr>
            <w:tcW w:type="dxa" w:w="222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57.87±0.37</w:t>
            </w:r>
          </w:p>
        </w:tc>
      </w:tr>
    </w:tbl>
    <w:p>
      <w:pPr>
        <w:spacing w:line="380" w:lineRule="exact"/>
      </w:pPr>
      <w:r>
        <w:rPr>
          <w:rFonts w:ascii="Times New Roman" w:hAnsi="Times New Roman" w:eastAsia="Songti SC"/>
          <w:color w:val="000000"/>
          <w:sz w:val="22"/>
        </w:rPr>
        <w:t>该情景故意不保证本文在所有语料优于外部对照：CDCP的生成式对照关系值可高于本文主情景。比较结论应跟随同协议实际结果，而不是以外部行填满表格即认为定位完成。当前完成的是比较方案和数字预览，仍没有真实外部系统运行。</w:t>
      </w:r>
    </w:p>
    <w:p>
      <w:pPr>
        <w:pStyle w:val="Heading1"/>
      </w:pPr>
      <w:r>
        <w:t>附录H 关键诊断与综合证据记录</w:t>
      </w:r>
      <w:bookmarkStart w:id="154" w:name="v14_154"/>
      <w:bookmarkEnd w:id="154"/>
    </w:p>
    <w:p>
      <w:pPr>
        <w:pStyle w:val="Heading2"/>
      </w:pPr>
      <w:r>
        <w:t>H.1 训练侧问题规模与初始错误的诊断设计</w:t>
      </w:r>
      <w:bookmarkStart w:id="155" w:name="v14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4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固定尝试轨训练成本存档（估算情景）</w:t>
      </w:r>
      <w:bookmarkStart w:id="219" w:name="v14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4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4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4.6.7从已冻结的Luna输出给出生成端点补入、评分误删和新语料失败等观察，配套记录列出全部严格正例与按ID排序的代表例。它们没有训练四格、分步对照或经事后验证的错误拒绝病例，缺失类别不由推演填补。</w:t>
      </w:r>
    </w:p>
    <w:p>
      <w:pPr>
        <w:pStyle w:val="Heading2"/>
      </w:pPr>
      <w:r>
        <w:t>H.5 模拟结果后的实证替换顺序</w:t>
      </w:r>
      <w:bookmarkStart w:id="159" w:name="v14_159"/>
      <w:bookmarkEnd w:id="159"/>
    </w:p>
    <w:p>
      <w:pPr>
        <w:spacing w:line="380" w:lineRule="exact"/>
      </w:pPr>
      <w:r>
        <w:rPr>
          <w:rFonts w:ascii="Times New Roman" w:hAnsi="Times New Roman" w:eastAsia="Songti SC"/>
          <w:color w:val="000000"/>
          <w:sz w:val="22"/>
        </w:rPr>
        <w:t>本版主结果的估算原则是固定v6的T0情景起点、样本规模、随机扰动及成本口径，缩小假设训练和推理增量，再从整数TP、FP、FN重算全部主表。参数并未根据CPU诊断、历史论文或目标实验拟合；“增量较小”只表示相对旧演示的设定更克制，不意味着更接近实际结果。原始目标是生成器的平衡精确率／召回率中心，经过偏移和整数化后，与表中均值略有差别。</w:t>
      </w:r>
    </w:p>
    <w:p>
      <w:pPr>
        <w:spacing w:line="380" w:lineRule="exact"/>
      </w:pPr>
      <w:r>
        <w:rPr>
          <w:rFonts w:ascii="Times New Roman" w:hAnsi="Times New Roman" w:eastAsia="Songti SC"/>
          <w:color w:val="000000"/>
          <w:sz w:val="22"/>
        </w:rPr>
        <w:t>具体假设中，AAEC／CDCP的关系F1中心依次为：T0 53.30／48.10，完整增强基础损失55.70／50.50，加头监督56.60／51.30，T1 57.80／52.50，RelationOnly 59.60／54.80，单对象60.70／55.90，BR-J 61.90／57.40，等求解预算全局62.30／57.90。固定组件对照严格复用T1组件计数；全局略高的排序是情景假设，不由可行域包含关系推出F1优越性。</w:t>
      </w:r>
    </w:p>
    <w:p>
      <w:pPr>
        <w:spacing w:line="380" w:lineRule="exact"/>
      </w:pPr>
      <w:r>
        <w:rPr>
          <w:rFonts w:ascii="Times New Roman" w:hAnsi="Times New Roman" w:eastAsia="Songti SC"/>
          <w:color w:val="000000"/>
          <w:sz w:val="22"/>
        </w:rPr>
        <w:t>零增益和负增益也属于需要保留的备选条件。用于读表的压力假设为：成对学习相对加头监督的关系增量分别取−0.50、0.00、+1.20个百分点；允许组件变化相对RelationOnly取−0.50、0.00、+2.30；局部减全局取−1.50、−0.50、+0.50。它们逐项替换一个效应假设，本版已为这些假设生成逐文档整数记录并核算实际差值（H.12）；它们是模拟敏感性分析，仍不是新增模型实验，也不以模拟区间推断真实方法效应。零或负增益出现时，相应机制的采用结论须收缩，而不能保留正增益情景的文字。</w:t>
      </w:r>
    </w:p>
    <w:p>
      <w:pPr>
        <w:spacing w:line="380" w:lineRule="exact"/>
      </w:pPr>
      <w:r>
        <w:rPr>
          <w:rFonts w:ascii="Times New Roman" w:hAnsi="Times New Roman" w:eastAsia="Songti SC"/>
          <w:color w:val="000000"/>
          <w:sz w:val="22"/>
        </w:rPr>
        <w:t>成本同样依赖假设。若只将共同对象评分时间乘以0.5、1、2，其他项保持表4-8设定，AAEC局部相对等求解预算全局的总时间节省率依次为5.15%、4.19%、3.06%，CDCP为5.96%、4.73%、3.34%。这只是总时间公式的重算，不包含评分误差、批量吞吐或求解轨迹变化；评分成本占比越大，单独加速求解的总收益越小。</w:t>
      </w:r>
    </w:p>
    <w:p>
      <w:pPr>
        <w:spacing w:line="380" w:lineRule="exact"/>
      </w:pPr>
      <w:r>
        <w:rPr>
          <w:rFonts w:ascii="Times New Roman" w:hAnsi="Times New Roman" w:eastAsia="Songti SC"/>
          <w:color w:val="000000"/>
          <w:sz w:val="22"/>
        </w:rPr>
        <w:t>核心验证的第一阶段已增加少量真实改写、候选和求解诊断，结果见3.6.7、4.6.8及D.13；未检出关系漂移、集合动作无聚合增量及小图全局更快等不利结果全部保留。目标模型OOF、训练贡献和人工审核仍未完成；模拟补齐的是预览，不替代判断机制必要性的真实材料。</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本版小图诊断支持优先比较更简单的单对象或全局选择；不能直接将这一局部结果推广为所有目标规模的结论，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按2.6.3完成关键比较：T-B固定学习目标比较增强构造，T-E固定增强集合比较学习项；推理侧用RelationOnly、单对象动作和同目标全局ILP分别检验修改范围与求解取舍，分步策略作为补充。同时完成至少一个可解释的原生外部系统对照及共同条件下的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正式同批四格输出，形成至少一项对象级综合认识及同文档前后案例。现有Luna扩样、新语料和评分对照已提供轻量推理层面的真实输出，但缺少训练因素及完整对照，不能据此将四格对象分析标为完成。本版已用与主表同计数的人工对象成员补齐第五章预览，实际综合发现仍须来自原生四格输出，不能用模拟成员重叠替代。</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4_160"/>
      <w:bookmarkEnd w:id="160"/>
    </w:p>
    <w:p>
      <w:pPr>
        <w:spacing w:line="380" w:lineRule="exact"/>
      </w:pPr>
      <w:r>
        <w:rPr>
          <w:rFonts w:ascii="Times New Roman" w:hAnsi="Times New Roman" w:eastAsia="Songti SC"/>
          <w:color w:val="000000"/>
          <w:sz w:val="22"/>
        </w:rPr>
        <w:t>本节只演示怎样并列阅读变化、漂移与覆盖，不检验真实语义审核器。材料独立沿用SIM-1010-V4旧记录，与本版主表无训练绑定：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共同池的变化与覆盖诊断（指标演示的估算情景）</w:t>
      </w:r>
      <w:bookmarkStart w:id="220" w:name="v14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4_161"/>
      <w:bookmarkEnd w:id="161"/>
    </w:p>
    <w:p>
      <w:pPr>
        <w:spacing w:line="380" w:lineRule="exact"/>
      </w:pPr>
      <w:r>
        <w:rPr>
          <w:rFonts w:ascii="Times New Roman" w:hAnsi="Times New Roman" w:eastAsia="Songti SC"/>
          <w:color w:val="000000"/>
          <w:sz w:val="22"/>
        </w:rPr>
        <w:t>本节数值及图H-1独立保留SIM-1010-V4旧成本与质量轨迹，终点沿用v6的情景主成绩；它们未改为v7主表的预算实验。为保留可追溯的条件示例，本节不与新版表4-3或表5-1拼接，也不用于估计新版效果。</w:t>
      </w:r>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4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4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4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4_162"/>
      <w:bookmarkEnd w:id="162"/>
    </w:p>
    <w:p>
      <w:pPr>
        <w:spacing w:line="380" w:lineRule="exact"/>
      </w:pPr>
      <w:r>
        <w:rPr>
          <w:rFonts w:ascii="Times New Roman" w:hAnsi="Times New Roman" w:eastAsia="Songti SC"/>
          <w:color w:val="000000"/>
          <w:sz w:val="22"/>
        </w:rPr>
        <w:t>既有旧情景对象记录为684个文档种子记录赋予抽象关系键，匹配v6四格未分组TP、FP、FN及T1到组合的风险总量，并不匹配v7主表。坐标、类型与端点均由程序构造，未重建完整组件预测图，也未约束源成员数分组；该文件只保留作非唯一性示例，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旧版核验程序独立构造上述最小与最大交集，逐项检查旧计数及风险不变；它验证非唯一性这一构造结论，不新增模型运行。正式第五章应从同批四格实际输出对齐对象，保留原文、预测身份和具体改动，再判断重叠、损害或作用路径，不要求预先满足某种互补比例。</w:t>
      </w:r>
    </w:p>
    <w:p>
      <w:pPr>
        <w:pStyle w:val="Heading2"/>
      </w:pPr>
      <w:r>
        <w:t>H.9 训练比较与OOF错误链的数字预览</w:t>
      </w:r>
      <w:bookmarkStart w:id="258" w:name="v11_evidence_258"/>
      <w:bookmarkEnd w:id="258"/>
    </w:p>
    <w:p>
      <w:pPr>
        <w:spacing w:line="380" w:lineRule="exact"/>
      </w:pPr>
      <w:r>
        <w:rPr>
          <w:rFonts w:ascii="Times New Roman" w:hAnsi="Times New Roman" w:eastAsia="Songti SC"/>
          <w:color w:val="000000"/>
          <w:sz w:val="22"/>
        </w:rPr>
        <w:t>表H-5从保留的v7逐文档计数增加所需成对比较，先汇总每次重采样的TP、FP、FN，再计算三个固定模拟种子的平均差；2000次文档配对重采样仅表示该计数模型内部波动。数据构造、头监督与成对目标分别比较，不能把最后系统的总提升归给某一个模块。</w:t>
      </w:r>
    </w:p>
    <w:p>
      <w:pPr>
        <w:pStyle w:val="TableCaption"/>
      </w:pPr>
      <w:r>
        <w:rPr>
          <w:rFonts w:ascii="Times New Roman" w:hAnsi="Times New Roman" w:eastAsia="Songti SC"/>
          <w:color w:val="000000"/>
          <w:sz w:val="21"/>
        </w:rPr>
        <w:t>表H-5 关系F1的关键训练对照（模拟）</w:t>
      </w:r>
      <w:bookmarkStart w:id="259" w:name="v11_evidence_259"/>
      <w:bookmarkEnd w:id="25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91"/>
        <w:gridCol w:w="2782"/>
        <w:gridCol w:w="1669"/>
        <w:gridCol w:w="3062"/>
      </w:tblGrid>
      <w:tr>
        <w:trPr>
          <w:cantSplit/>
          <w:tblHeader/>
        </w:trPr>
        <w:tc>
          <w:tcPr>
            <w:tcW w:type="dxa" w:w="139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78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比较</w:t>
            </w:r>
          </w:p>
        </w:tc>
        <w:tc>
          <w:tcPr>
            <w:tcW w:type="dxa" w:w="166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差值pp</w:t>
            </w:r>
          </w:p>
        </w:tc>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文档配对95%区间</w:t>
            </w:r>
          </w:p>
        </w:tc>
      </w:tr>
      <w:tr>
        <w:trPr>
          <w:cantSplit/>
        </w:trPr>
        <w:tc>
          <w:tcPr>
            <w:tcW w:type="dxa" w:w="1391"/>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78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T-B 数据构造</w:t>
            </w:r>
          </w:p>
        </w:tc>
        <w:tc>
          <w:tcPr>
            <w:tcW w:type="dxa" w:w="16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0.70</w:t>
            </w:r>
          </w:p>
        </w:tc>
        <w:tc>
          <w:tcPr>
            <w:tcW w:type="dxa" w:w="306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[0.06, 1.34]</w:t>
            </w:r>
          </w:p>
        </w:tc>
      </w:tr>
      <w:tr>
        <w:trPr>
          <w:cantSplit/>
        </w:trPr>
        <w:tc>
          <w:tcPr>
            <w:tcW w:type="dxa" w:w="1391"/>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78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同数据头监督</w:t>
            </w:r>
          </w:p>
        </w:tc>
        <w:tc>
          <w:tcPr>
            <w:tcW w:type="dxa" w:w="16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0.90</w:t>
            </w:r>
          </w:p>
        </w:tc>
        <w:tc>
          <w:tcPr>
            <w:tcW w:type="dxa" w:w="306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[0.19, 1.60]</w:t>
            </w:r>
          </w:p>
        </w:tc>
      </w:tr>
      <w:tr>
        <w:trPr>
          <w:cantSplit/>
        </w:trPr>
        <w:tc>
          <w:tcPr>
            <w:tcW w:type="dxa" w:w="1391"/>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78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T-E 成对目标</w:t>
            </w:r>
          </w:p>
        </w:tc>
        <w:tc>
          <w:tcPr>
            <w:tcW w:type="dxa" w:w="16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1.21</w:t>
            </w:r>
          </w:p>
        </w:tc>
        <w:tc>
          <w:tcPr>
            <w:tcW w:type="dxa" w:w="306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[0.40, 2.01]</w:t>
            </w:r>
          </w:p>
        </w:tc>
      </w:tr>
      <w:tr>
        <w:trPr>
          <w:cantSplit/>
        </w:trPr>
        <w:tc>
          <w:tcPr>
            <w:tcW w:type="dxa" w:w="1391"/>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78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T-B 数据构造</w:t>
            </w:r>
          </w:p>
        </w:tc>
        <w:tc>
          <w:tcPr>
            <w:tcW w:type="dxa" w:w="16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0.71</w:t>
            </w:r>
          </w:p>
        </w:tc>
        <w:tc>
          <w:tcPr>
            <w:tcW w:type="dxa" w:w="306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[-0.23, 1.65]</w:t>
            </w:r>
          </w:p>
        </w:tc>
      </w:tr>
      <w:tr>
        <w:trPr>
          <w:cantSplit/>
        </w:trPr>
        <w:tc>
          <w:tcPr>
            <w:tcW w:type="dxa" w:w="1391"/>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78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同数据头监督</w:t>
            </w:r>
          </w:p>
        </w:tc>
        <w:tc>
          <w:tcPr>
            <w:tcW w:type="dxa" w:w="166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0.77</w:t>
            </w:r>
          </w:p>
        </w:tc>
        <w:tc>
          <w:tcPr>
            <w:tcW w:type="dxa" w:w="306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[-0.08, 1.66]</w:t>
            </w:r>
          </w:p>
        </w:tc>
      </w:tr>
      <w:tr>
        <w:trPr>
          <w:cantSplit/>
        </w:trPr>
        <w:tc>
          <w:tcPr>
            <w:tcW w:type="dxa" w:w="139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7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T-E 成对目标</w:t>
            </w:r>
          </w:p>
        </w:tc>
        <w:tc>
          <w:tcPr>
            <w:tcW w:type="dxa" w:w="16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w:t>
            </w:r>
          </w:p>
        </w:tc>
        <w:tc>
          <w:tcPr>
            <w:tcW w:type="dxa" w:w="306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[0.22, 2.22]</w:t>
            </w:r>
          </w:p>
        </w:tc>
      </w:tr>
    </w:tbl>
    <w:p>
      <w:pPr>
        <w:spacing w:line="380" w:lineRule="exact"/>
      </w:pPr>
      <w:r>
        <w:rPr>
          <w:rFonts w:ascii="Times New Roman" w:hAnsi="Times New Roman" w:eastAsia="Songti SC"/>
          <w:color w:val="000000"/>
          <w:sz w:val="22"/>
        </w:rPr>
        <w:t>OOF预览另生成AAEC 320篇、CDCP 580篇人工记录，划入3个互斥文档折。每条遗漏按端点跨度、端点类型、完整槽位、评分／标签、预算／搜索取首个阻断，互斥分类相加等于遗漏总数。该表没有运行持出模型，不可把模拟端点比例称为Qwen或Luna的真实错误率。</w:t>
      </w:r>
    </w:p>
    <w:p>
      <w:pPr>
        <w:pStyle w:val="TableCaption"/>
      </w:pPr>
      <w:r>
        <w:rPr>
          <w:rFonts w:ascii="Times New Roman" w:hAnsi="Times New Roman" w:eastAsia="Songti SC"/>
          <w:color w:val="000000"/>
          <w:sz w:val="21"/>
        </w:rPr>
        <w:t>表H-6 OOF原生关系错误链的示例计数（模拟）</w:t>
      </w:r>
      <w:bookmarkStart w:id="260" w:name="v11_evidence_260"/>
      <w:bookmarkEnd w:id="26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073"/>
        <w:gridCol w:w="1073"/>
        <w:gridCol w:w="1073"/>
        <w:gridCol w:w="1073"/>
        <w:gridCol w:w="1716"/>
        <w:gridCol w:w="1180"/>
        <w:gridCol w:w="1716"/>
      </w:tblGrid>
      <w:tr>
        <w:trPr>
          <w:cantSplit/>
          <w:tblHeader/>
        </w:trPr>
        <w:tc>
          <w:tcPr>
            <w:tcW w:type="dxa" w:w="107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07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w:t>
            </w:r>
          </w:p>
        </w:tc>
        <w:tc>
          <w:tcPr>
            <w:tcW w:type="dxa" w:w="107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金标</w:t>
            </w:r>
          </w:p>
        </w:tc>
        <w:tc>
          <w:tcPr>
            <w:tcW w:type="dxa" w:w="107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初始TP</w:t>
            </w:r>
          </w:p>
        </w:tc>
        <w:tc>
          <w:tcPr>
            <w:tcW w:type="dxa" w:w="171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跨度／类型漏</w:t>
            </w:r>
          </w:p>
        </w:tc>
        <w:tc>
          <w:tcPr>
            <w:tcW w:type="dxa" w:w="118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槽位漏</w:t>
            </w:r>
          </w:p>
        </w:tc>
        <w:tc>
          <w:tcPr>
            <w:tcW w:type="dxa" w:w="171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评分／搜索漏</w:t>
            </w:r>
          </w:p>
        </w:tc>
      </w:tr>
      <w:tr>
        <w:trPr>
          <w:cantSplit/>
        </w:trPr>
        <w:tc>
          <w:tcPr>
            <w:tcW w:type="dxa" w:w="107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7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07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4700</w:t>
            </w:r>
          </w:p>
        </w:tc>
        <w:tc>
          <w:tcPr>
            <w:tcW w:type="dxa" w:w="107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2536</w:t>
            </w:r>
          </w:p>
        </w:tc>
        <w:tc>
          <w:tcPr>
            <w:tcW w:type="dxa" w:w="17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1300</w:t>
            </w:r>
          </w:p>
        </w:tc>
        <w:tc>
          <w:tcPr>
            <w:tcW w:type="dxa" w:w="1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286</w:t>
            </w:r>
          </w:p>
        </w:tc>
        <w:tc>
          <w:tcPr>
            <w:tcW w:type="dxa" w:w="17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578</w:t>
            </w:r>
          </w:p>
        </w:tc>
      </w:tr>
      <w:tr>
        <w:trPr>
          <w:cantSplit/>
        </w:trPr>
        <w:tc>
          <w:tcPr>
            <w:tcW w:type="dxa" w:w="107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07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07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8495</w:t>
            </w:r>
          </w:p>
        </w:tc>
        <w:tc>
          <w:tcPr>
            <w:tcW w:type="dxa" w:w="107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4017</w:t>
            </w:r>
          </w:p>
        </w:tc>
        <w:tc>
          <w:tcPr>
            <w:tcW w:type="dxa" w:w="171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2613</w:t>
            </w:r>
          </w:p>
        </w:tc>
        <w:tc>
          <w:tcPr>
            <w:tcW w:type="dxa" w:w="118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w:t>
            </w:r>
          </w:p>
        </w:tc>
        <w:tc>
          <w:tcPr>
            <w:tcW w:type="dxa" w:w="171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1260</w:t>
            </w:r>
          </w:p>
        </w:tc>
      </w:tr>
    </w:tbl>
    <w:p>
      <w:pPr>
        <w:pStyle w:val="Heading2"/>
      </w:pPr>
      <w:r>
        <w:t>H.10 小池实测规模与裁剪成本推测</w:t>
      </w:r>
      <w:bookmarkStart w:id="261" w:name="v11_evidence_261"/>
      <w:bookmarkEnd w:id="261"/>
    </w:p>
    <w:p>
      <w:pPr>
        <w:spacing w:line="380" w:lineRule="exact"/>
      </w:pPr>
      <w:r>
        <w:rPr>
          <w:rFonts w:ascii="Times New Roman" w:hAnsi="Times New Roman" w:eastAsia="Songti SC"/>
          <w:color w:val="000000"/>
          <w:sz w:val="22"/>
        </w:rPr>
        <w:t>表H-7使用4.6.8固定24篇的实际枚举计数。C为分离成分抽取后的池，D再增加边界与源组。枚举时间为开启tracemalloc后的本地槽位构造时间，内存记录只覆盖Python分配峰值，不是进程RSS或完整模型显存。最后两列假设每秒评分2000个完整对象，按组件数＋2×裁剪前槽位数计算，不含模型加载、文本编码、API调用和生成；该吞吐未校准为目标设备性能。</w:t>
      </w:r>
    </w:p>
    <w:p>
      <w:pPr>
        <w:pStyle w:val="TableCaption"/>
      </w:pPr>
      <w:r>
        <w:rPr>
          <w:rFonts w:ascii="Times New Roman" w:hAnsi="Times New Roman" w:eastAsia="Songti SC"/>
          <w:color w:val="000000"/>
          <w:sz w:val="21"/>
        </w:rPr>
        <w:t>表H-7 裁剪前后规模与评分成本（实测计数＋假设吞吐）</w:t>
      </w:r>
      <w:bookmarkStart w:id="262" w:name="v11_evidence_262"/>
      <w:bookmarkEnd w:id="26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406"/>
        <w:gridCol w:w="1406"/>
        <w:gridCol w:w="1406"/>
        <w:gridCol w:w="1406"/>
        <w:gridCol w:w="1523"/>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语料／层</w:t>
            </w:r>
          </w:p>
        </w:tc>
        <w:tc>
          <w:tcPr>
            <w:tcW w:type="dxa" w:w="140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裁前均槽</w:t>
            </w:r>
          </w:p>
        </w:tc>
        <w:tc>
          <w:tcPr>
            <w:tcW w:type="dxa" w:w="140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裁后均槽</w:t>
            </w:r>
          </w:p>
        </w:tc>
        <w:tc>
          <w:tcPr>
            <w:tcW w:type="dxa" w:w="140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枚举均ms</w:t>
            </w:r>
          </w:p>
        </w:tc>
        <w:tc>
          <w:tcPr>
            <w:tcW w:type="dxa" w:w="140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估计均s</w:t>
            </w:r>
          </w:p>
        </w:tc>
        <w:tc>
          <w:tcPr>
            <w:tcW w:type="dxa" w:w="152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估计P95 s</w:t>
            </w:r>
          </w:p>
        </w:tc>
      </w:tr>
      <w:tr>
        <w:trPr>
          <w:cantSplit/>
        </w:trPr>
        <w:tc>
          <w:tcPr>
            <w:tcW w:type="dxa" w:w="175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 C</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384.25</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384.25</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1.67</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0.39</w:t>
            </w:r>
          </w:p>
        </w:tc>
        <w:tc>
          <w:tcPr>
            <w:tcW w:type="dxa" w:w="15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1.18</w:t>
            </w:r>
          </w:p>
        </w:tc>
      </w:tr>
      <w:tr>
        <w:trPr>
          <w:cantSplit/>
        </w:trPr>
        <w:tc>
          <w:tcPr>
            <w:tcW w:type="dxa" w:w="175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 D</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3444.75</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3304.00</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20.56</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3.48</w:t>
            </w:r>
          </w:p>
        </w:tc>
        <w:tc>
          <w:tcPr>
            <w:tcW w:type="dxa" w:w="15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4.61</w:t>
            </w:r>
          </w:p>
        </w:tc>
      </w:tr>
      <w:tr>
        <w:trPr>
          <w:cantSplit/>
        </w:trPr>
        <w:tc>
          <w:tcPr>
            <w:tcW w:type="dxa" w:w="175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 C</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399.38</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399.38</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1.86</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0.41</w:t>
            </w:r>
          </w:p>
        </w:tc>
        <w:tc>
          <w:tcPr>
            <w:tcW w:type="dxa" w:w="15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0.92</w:t>
            </w:r>
          </w:p>
        </w:tc>
      </w:tr>
      <w:tr>
        <w:trPr>
          <w:cantSplit/>
        </w:trPr>
        <w:tc>
          <w:tcPr>
            <w:tcW w:type="dxa" w:w="175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 D</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3344.38</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3267.62</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20.25</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3.38</w:t>
            </w:r>
          </w:p>
        </w:tc>
        <w:tc>
          <w:tcPr>
            <w:tcW w:type="dxa" w:w="15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4.58</w:t>
            </w:r>
          </w:p>
        </w:tc>
      </w:tr>
      <w:tr>
        <w:trPr>
          <w:cantSplit/>
        </w:trPr>
        <w:tc>
          <w:tcPr>
            <w:tcW w:type="dxa" w:w="175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C</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371.50</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371.50</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1.63</w:t>
            </w:r>
          </w:p>
        </w:tc>
        <w:tc>
          <w:tcPr>
            <w:tcW w:type="dxa" w:w="140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0.38</w:t>
            </w:r>
          </w:p>
        </w:tc>
        <w:tc>
          <w:tcPr>
            <w:tcW w:type="dxa" w:w="152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0.86</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D</w:t>
            </w:r>
          </w:p>
        </w:tc>
        <w:tc>
          <w:tcPr>
            <w:tcW w:type="dxa" w:w="140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3021.75</w:t>
            </w:r>
          </w:p>
        </w:tc>
        <w:tc>
          <w:tcPr>
            <w:tcW w:type="dxa" w:w="140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2929.12</w:t>
            </w:r>
          </w:p>
        </w:tc>
        <w:tc>
          <w:tcPr>
            <w:tcW w:type="dxa" w:w="140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20.51</w:t>
            </w:r>
          </w:p>
        </w:tc>
        <w:tc>
          <w:tcPr>
            <w:tcW w:type="dxa" w:w="140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3.06</w:t>
            </w:r>
          </w:p>
        </w:tc>
        <w:tc>
          <w:tcPr>
            <w:tcW w:type="dxa" w:w="152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4.60</w:t>
            </w:r>
          </w:p>
        </w:tc>
      </w:tr>
    </w:tbl>
    <w:p>
      <w:pPr>
        <w:spacing w:line="380" w:lineRule="exact"/>
      </w:pPr>
      <w:r>
        <w:rPr>
          <w:rFonts w:ascii="Times New Roman" w:hAnsi="Times New Roman" w:eastAsia="Songti SC"/>
          <w:color w:val="000000"/>
          <w:sz w:val="22"/>
        </w:rPr>
        <w:t>C到D使预计评分对象和枚举时间大幅增加，却没有增加正确关系入池数。2000对象／秒条件下，D层三套语料平均评分时间约3.06—3.48秒；若吞吐降到500，时间乘4，若达到10000则乘0.2。关系评分对象在裁剪前已经产生，最终4096补充槽位不能倒推准备时间。小样本P95仅是这8篇的经验分位数，不作为总体尾延迟保证。</w:t>
      </w:r>
    </w:p>
    <w:p>
      <w:pPr>
        <w:pStyle w:val="Heading2"/>
      </w:pPr>
      <w:r>
        <w:t>H.11 正式全类型候选的组合规模压力</w:t>
      </w:r>
      <w:bookmarkStart w:id="263" w:name="v11_evidence_263"/>
      <w:bookmarkEnd w:id="263"/>
    </w:p>
    <w:p>
      <w:pPr>
        <w:spacing w:line="380" w:lineRule="exact"/>
      </w:pPr>
      <w:r>
        <w:rPr>
          <w:rFonts w:ascii="Times New Roman" w:hAnsi="Times New Roman" w:eastAsia="Songti SC"/>
          <w:color w:val="000000"/>
          <w:sz w:val="22"/>
        </w:rPr>
        <w:t>表H-8将4.2.5的宽松组合公式代入16、32、64个跨度，AAEC每跨度3类、CDCP每跨度5类、每槽2个正标签。这是忽略重叠互斥等限制的组合上界；上界超限只触发进一步资源检查，不能据此宣布实际枚举一定失败。评分时间继续假设2000对象／秒，对象存储假设每个标签对象512字节，均不是实测时长或内存。</w:t>
      </w:r>
    </w:p>
    <w:p>
      <w:pPr>
        <w:pStyle w:val="TableCaption"/>
      </w:pPr>
      <w:r>
        <w:rPr>
          <w:rFonts w:ascii="Times New Roman" w:hAnsi="Times New Roman" w:eastAsia="Songti SC"/>
          <w:color w:val="000000"/>
          <w:sz w:val="21"/>
        </w:rPr>
        <w:t>表H-8 全类型补充槽位的规模压力（上界与成本假设）</w:t>
      </w:r>
      <w:bookmarkStart w:id="264" w:name="v11_evidence_264"/>
      <w:bookmarkEnd w:id="2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254"/>
        <w:gridCol w:w="1254"/>
        <w:gridCol w:w="2508"/>
        <w:gridCol w:w="1881"/>
        <w:gridCol w:w="2007"/>
      </w:tblGrid>
      <w:tr>
        <w:trPr>
          <w:cantSplit/>
          <w:tblHeader/>
        </w:trPr>
        <w:tc>
          <w:tcPr>
            <w:tcW w:type="dxa" w:w="12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2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跨度</w:t>
            </w:r>
          </w:p>
        </w:tc>
        <w:tc>
          <w:tcPr>
            <w:tcW w:type="dxa" w:w="250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槽位上界</w:t>
            </w:r>
          </w:p>
        </w:tc>
        <w:tc>
          <w:tcPr>
            <w:tcW w:type="dxa" w:w="188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假设评分h</w:t>
            </w:r>
          </w:p>
        </w:tc>
        <w:tc>
          <w:tcPr>
            <w:tcW w:type="dxa" w:w="200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假设存储GiB</w:t>
            </w:r>
          </w:p>
        </w:tc>
      </w:tr>
      <w:tr>
        <w:trPr>
          <w:cantSplit/>
        </w:trPr>
        <w:tc>
          <w:tcPr>
            <w:tcW w:type="dxa" w:w="125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25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w:t>
            </w:r>
          </w:p>
        </w:tc>
        <w:tc>
          <w:tcPr>
            <w:tcW w:type="dxa" w:w="250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2,160</w:t>
            </w:r>
          </w:p>
        </w:tc>
        <w:tc>
          <w:tcPr>
            <w:tcW w:type="dxa" w:w="188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200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25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25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w:t>
            </w:r>
          </w:p>
        </w:tc>
        <w:tc>
          <w:tcPr>
            <w:tcW w:type="dxa" w:w="250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4,766,000</w:t>
            </w:r>
          </w:p>
        </w:tc>
        <w:tc>
          <w:tcPr>
            <w:tcW w:type="dxa" w:w="188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1.32</w:t>
            </w:r>
          </w:p>
        </w:tc>
        <w:tc>
          <w:tcPr>
            <w:tcW w:type="dxa" w:w="200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4.55</w:t>
            </w:r>
          </w:p>
        </w:tc>
      </w:tr>
      <w:tr>
        <w:trPr>
          <w:cantSplit/>
        </w:trPr>
        <w:tc>
          <w:tcPr>
            <w:tcW w:type="dxa" w:w="125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25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50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8,928</w:t>
            </w:r>
          </w:p>
        </w:tc>
        <w:tc>
          <w:tcPr>
            <w:tcW w:type="dxa" w:w="188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c>
          <w:tcPr>
            <w:tcW w:type="dxa" w:w="200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0.01</w:t>
            </w:r>
          </w:p>
        </w:tc>
      </w:tr>
      <w:tr>
        <w:trPr>
          <w:cantSplit/>
        </w:trPr>
        <w:tc>
          <w:tcPr>
            <w:tcW w:type="dxa" w:w="125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25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50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91,784,800</w:t>
            </w:r>
          </w:p>
        </w:tc>
        <w:tc>
          <w:tcPr>
            <w:tcW w:type="dxa" w:w="188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25.50</w:t>
            </w:r>
          </w:p>
        </w:tc>
        <w:tc>
          <w:tcPr>
            <w:tcW w:type="dxa" w:w="200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87.53</w:t>
            </w:r>
          </w:p>
        </w:tc>
      </w:tr>
      <w:tr>
        <w:trPr>
          <w:cantSplit/>
        </w:trPr>
        <w:tc>
          <w:tcPr>
            <w:tcW w:type="dxa" w:w="1254"/>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25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64</w:t>
            </w:r>
          </w:p>
        </w:tc>
        <w:tc>
          <w:tcPr>
            <w:tcW w:type="dxa" w:w="250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36,288</w:t>
            </w:r>
          </w:p>
        </w:tc>
        <w:tc>
          <w:tcPr>
            <w:tcW w:type="dxa" w:w="188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0.01</w:t>
            </w:r>
          </w:p>
        </w:tc>
        <w:tc>
          <w:tcPr>
            <w:tcW w:type="dxa" w:w="200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0.03</w:t>
            </w:r>
          </w:p>
        </w:tc>
      </w:tr>
      <w:tr>
        <w:trPr>
          <w:cantSplit/>
        </w:trPr>
        <w:tc>
          <w:tcPr>
            <w:tcW w:type="dxa" w:w="12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2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2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1,604,164,800</w:t>
            </w:r>
          </w:p>
        </w:tc>
        <w:tc>
          <w:tcPr>
            <w:tcW w:type="dxa" w:w="18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445.60</w:t>
            </w:r>
          </w:p>
        </w:tc>
        <w:tc>
          <w:tcPr>
            <w:tcW w:type="dxa" w:w="200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1529.85</w:t>
            </w:r>
          </w:p>
        </w:tc>
      </w:tr>
    </w:tbl>
    <w:p>
      <w:pPr>
        <w:spacing w:line="380" w:lineRule="exact"/>
      </w:pPr>
      <w:r>
        <w:rPr>
          <w:rFonts w:ascii="Times New Roman" w:hAnsi="Times New Roman" w:eastAsia="Songti SC"/>
          <w:color w:val="000000"/>
          <w:sz w:val="22"/>
        </w:rPr>
        <w:t>该推测说明CDCP的主要资源风险来自多源成员与类型的笛卡尔组合，远早于局部或全局求解。32跨度的宽松上界约9178万槽位，按假设吞吐需要约25.50小时；不能将小型Luna池数毫秒的求解结果外推为完整系统速度。工程上应流式计数、在实际合法槽位到达预检上限时停止，并优先比较由模型或原生分段提出的有限完整源组；新方案必须重测多源覆盖，不拆超边、不利用测试金标挑选。</w:t>
      </w:r>
    </w:p>
    <w:p>
      <w:pPr>
        <w:pStyle w:val="Heading2"/>
      </w:pPr>
      <w:r>
        <w:t>H.12 零增益与负增益情景的整数复算</w:t>
      </w:r>
      <w:bookmarkStart w:id="265" w:name="v11_evidence_265"/>
      <w:bookmarkEnd w:id="265"/>
    </w:p>
    <w:p>
      <w:pPr>
        <w:spacing w:line="380" w:lineRule="exact"/>
      </w:pPr>
      <w:r>
        <w:rPr>
          <w:rFonts w:ascii="Times New Roman" w:hAnsi="Times New Roman" w:eastAsia="Songti SC"/>
          <w:color w:val="000000"/>
          <w:sz w:val="22"/>
        </w:rPr>
        <w:t>下表为H.5的效应假设生成6156条新的逐文档关系计数，保持各语料金标总量和三个种子，按目标精确率／召回率整数化。实际差值可能与输入差几个百分之一百分点。这里不使用Luna低分线性推算目标Qwen模型的F1：前者只提供候选和评分瓶颈的方向性依据，不能识别模型变强后的收益幅度。</w:t>
      </w:r>
    </w:p>
    <w:p>
      <w:pPr>
        <w:pStyle w:val="TableCaption"/>
      </w:pPr>
      <w:r>
        <w:rPr>
          <w:rFonts w:ascii="Times New Roman" w:hAnsi="Times New Roman" w:eastAsia="Songti SC"/>
          <w:color w:val="000000"/>
          <w:sz w:val="21"/>
        </w:rPr>
        <w:t>表H-9 关键效应的负、零与正情景（全部模拟）</w:t>
      </w:r>
      <w:bookmarkStart w:id="266" w:name="v11_evidence_266"/>
      <w:bookmarkEnd w:id="2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237"/>
        <w:gridCol w:w="2226"/>
        <w:gridCol w:w="2597"/>
        <w:gridCol w:w="2844"/>
      </w:tblGrid>
      <w:tr>
        <w:trPr>
          <w:cantSplit/>
          <w:tblHeader/>
        </w:trPr>
        <w:tc>
          <w:tcPr>
            <w:tcW w:type="dxa" w:w="123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效应</w:t>
            </w:r>
          </w:p>
        </w:tc>
        <w:tc>
          <w:tcPr>
            <w:tcW w:type="dxa" w:w="259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假设差值pp</w:t>
            </w:r>
          </w:p>
        </w:tc>
        <w:tc>
          <w:tcPr>
            <w:tcW w:type="dxa" w:w="28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整数复算差值pp</w:t>
            </w:r>
          </w:p>
        </w:tc>
      </w:tr>
      <w:tr>
        <w:trPr>
          <w:cantSplit/>
        </w:trPr>
        <w:tc>
          <w:tcPr>
            <w:tcW w:type="dxa" w:w="123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成对学习</w:t>
            </w:r>
          </w:p>
        </w:tc>
        <w:tc>
          <w:tcPr>
            <w:tcW w:type="dxa" w:w="259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-0.50／0.00／1.20</w:t>
            </w:r>
          </w:p>
        </w:tc>
        <w:tc>
          <w:tcPr>
            <w:tcW w:type="dxa" w:w="28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-0.55／-0.05／1.16</w:t>
            </w:r>
          </w:p>
        </w:tc>
      </w:tr>
      <w:tr>
        <w:trPr>
          <w:cantSplit/>
        </w:trPr>
        <w:tc>
          <w:tcPr>
            <w:tcW w:type="dxa" w:w="123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允许组件变化</w:t>
            </w:r>
          </w:p>
        </w:tc>
        <w:tc>
          <w:tcPr>
            <w:tcW w:type="dxa" w:w="259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-0.50／0.00／2.30</w:t>
            </w:r>
          </w:p>
        </w:tc>
        <w:tc>
          <w:tcPr>
            <w:tcW w:type="dxa" w:w="28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-0.54／-0.04／2.26</w:t>
            </w:r>
          </w:p>
        </w:tc>
      </w:tr>
      <w:tr>
        <w:trPr>
          <w:cantSplit/>
        </w:trPr>
        <w:tc>
          <w:tcPr>
            <w:tcW w:type="dxa" w:w="123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局部减全局</w:t>
            </w:r>
          </w:p>
        </w:tc>
        <w:tc>
          <w:tcPr>
            <w:tcW w:type="dxa" w:w="259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-1.50／-0.50／0.50</w:t>
            </w:r>
          </w:p>
        </w:tc>
        <w:tc>
          <w:tcPr>
            <w:tcW w:type="dxa" w:w="28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-1.53／-0.55／0.48</w:t>
            </w:r>
          </w:p>
        </w:tc>
      </w:tr>
      <w:tr>
        <w:trPr>
          <w:cantSplit/>
        </w:trPr>
        <w:tc>
          <w:tcPr>
            <w:tcW w:type="dxa" w:w="123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成对学习</w:t>
            </w:r>
          </w:p>
        </w:tc>
        <w:tc>
          <w:tcPr>
            <w:tcW w:type="dxa" w:w="259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-0.50／0.00／1.20</w:t>
            </w:r>
          </w:p>
        </w:tc>
        <w:tc>
          <w:tcPr>
            <w:tcW w:type="dxa" w:w="28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-0.54／-0.03／1.17</w:t>
            </w:r>
          </w:p>
        </w:tc>
      </w:tr>
      <w:tr>
        <w:trPr>
          <w:cantSplit/>
        </w:trPr>
        <w:tc>
          <w:tcPr>
            <w:tcW w:type="dxa" w:w="123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22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允许组件变化</w:t>
            </w:r>
          </w:p>
        </w:tc>
        <w:tc>
          <w:tcPr>
            <w:tcW w:type="dxa" w:w="259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-0.50／0.00／2.30</w:t>
            </w:r>
          </w:p>
        </w:tc>
        <w:tc>
          <w:tcPr>
            <w:tcW w:type="dxa" w:w="28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-0.53／-0.03／2.27</w:t>
            </w:r>
          </w:p>
        </w:tc>
      </w:tr>
      <w:tr>
        <w:trPr>
          <w:cantSplit/>
        </w:trPr>
        <w:tc>
          <w:tcPr>
            <w:tcW w:type="dxa" w:w="123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22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局部减全局</w:t>
            </w:r>
          </w:p>
        </w:tc>
        <w:tc>
          <w:tcPr>
            <w:tcW w:type="dxa" w:w="259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-1.50／-0.50／0.50</w:t>
            </w:r>
          </w:p>
        </w:tc>
        <w:tc>
          <w:tcPr>
            <w:tcW w:type="dxa" w:w="28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-1.53／-0.53／0.45</w:t>
            </w:r>
          </w:p>
        </w:tc>
      </w:tr>
    </w:tbl>
    <w:p>
      <w:pPr>
        <w:spacing w:line="380" w:lineRule="exact"/>
      </w:pPr>
      <w:r>
        <w:rPr>
          <w:rFonts w:ascii="Times New Roman" w:hAnsi="Times New Roman" w:eastAsia="Songti SC"/>
          <w:color w:val="000000"/>
          <w:sz w:val="22"/>
        </w:rPr>
        <w:t>若成对学习为零或负增益，则保留关系感知数据构造但移除或降权成对项；若允许组件变化无收益，优先RelationOnly或单对象；若全局在真实规模下更快且误改相近，采用全局选择。当前Luna求解诊断已经出现“集合与单对象聚合相同、全局较快”的条件，因此预览不把局部优先写成固定结论。对于正式主表中的正增益，仅展示该假设成立时应如何报告与解释。</w:t>
      </w:r>
    </w:p>
    <w:p>
      <w:pPr>
        <w:spacing w:line="380" w:lineRule="exact"/>
      </w:pPr>
      <w:r>
        <w:rPr>
          <w:rFonts w:ascii="Times New Roman" w:hAnsi="Times New Roman" w:eastAsia="Songti SC"/>
          <w:color w:val="000000"/>
          <w:sz w:val="22"/>
        </w:rPr>
        <w:t>新增模拟文件统一登记为SIMULATED_PREVIEW。four_cell_membership.json含46212条人工成员记录并与保留主表逐文档计数精确一致；oof_error_records.json含900条人工文档记录；stress_document_counts.json含6156条关系计数。external_comparator_counts.json只记录匿名比较。所有模拟均可从明确种子与脚本复算，真实训练次数仍为0。</w:t>
      </w:r>
    </w:p>
    <w:sectPr>
      <w:headerReference w:type="default" r:id="rId163"/>
      <w:footerReference w:type="default" r:id="rId16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1011-v11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1011-v11</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 Id="rId161" Type="http://schemas.openxmlformats.org/officeDocument/2006/relationships/header" Target="header31.xml"/><Relationship Id="rId162" Type="http://schemas.openxmlformats.org/officeDocument/2006/relationships/footer" Target="footer31.xml"/><Relationship Id="rId163" Type="http://schemas.openxmlformats.org/officeDocument/2006/relationships/header" Target="header32.xml"/><Relationship Id="rId164" Type="http://schemas.openxmlformats.org/officeDocument/2006/relationships/footer" Target="footer32.xml"/><Relationship Id="rId165" Type="http://schemas.openxmlformats.org/officeDocument/2006/relationships/hyperlink" Target="https://aclanthology.org/2025.argmining-1.20/" TargetMode="External"/><Relationship Id="rId166" Type="http://schemas.openxmlformats.org/officeDocument/2006/relationships/hyperlink" Target="https://aclanthology.org/2024.emnlp-main.1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1011-v11 估算演示版；模拟身份见封面、摘要与实验表图</dc:subject>
  <dc:creator>Chen Tang</dc:creator>
  <cp:keywords>估算演示版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