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1011-v9 估算演示版</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估算演示版。正文主结果由明确假设的目标值生成计数，并统一复算表图、差值与区间，不代表真实实验记录或经验证的效果预测。附录D.2—D.3保留既存CPU诊断，4.6.7及D.7—D.9另报告16篇训练侧文档上的Luna真实预测与轻量修正；该试验不替代训练方法及完整系统的受控实验。附录E保留前期存档。附录H.6—H.8保留独立旧情景；本版假设与压力条件见H.5。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主实验仍以AAEC与CDCP规模的假设计数演示比较口径：训练侧分别固定基础损失或增强集合，推理侧区分组件可变性、集合表达与求解资源取舍。另在两语料各8篇训练侧文档上，以gpt-5.6-luna真实预测和启发式对象分数执行轻量修正及固定组件对照。AAEC完整关系F1由0升至2.82，CDCP由5.71降至0；实际轨迹同时呈现端点调整后的关系恢复、候选缺失和错误评分导致的真阳性损失。AAEC新增30个正确组件中28个来自标点边界变体，不能将其全部归因于联合事务。该小样本试验提供了可追溯的运行案例，尚未验证训练侧监督保持、完整BR-J的效果或两阶段互补性；局部与全局求解的采用优先级仍待受控比较。</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main experimental comparisons still use explicitly assumed counts at AAEC and CDCP scales. They separate data construction from learning on fixed augmented data, and distinguish component changes, set-level expressiveness, and solving costs. A separate pilot uses actual gpt-5.6-luna predictions on eight training-side documents per corpus, heuristic object scores, and lightweight repair with a fixed-component control. Strict complete-relation F1 changes from 0 to 2.82 on AAEC and from 5.71 to 0 on CDCP. Recorded trajectories show relation recovery after endpoint changes, candidate limitations, and loss of a true relation when erroneous scores reward deletion. Of 30 newly correct AAEC components, 28 originate from punctuation-boundary variants; their recovery cannot be attributed entirely to joint transactions. This small pilot provides traceable execution cases, but does not validate supervision preservation, the full BR-J method, or complementarity between training and inference. The choice between local and global solving remains unresolved.</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33</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38</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39</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39</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40</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40</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41</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42</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43</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44</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49</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50</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50</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50</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51</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54</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56</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57</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58</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60</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60</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62</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63</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63</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64</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66</w:t>
        </w:r>
      </w:hyperlink>
    </w:p>
    <w:p>
      <w:pPr>
        <w:pStyle w:val="TOC2"/>
      </w:pPr>
      <w:hyperlink w:anchor="v14_100" w:history="1">
        <w:r>
          <w:rPr>
            <w:rFonts w:ascii="Times New Roman" w:hAnsi="Times New Roman" w:eastAsia="Songti SC"/>
            <w:color w:val="000000"/>
            <w:sz w:val="22"/>
          </w:rPr>
          <w:t>5.4 本章小结</w:t>
        </w:r>
        <w:r>
          <w:rPr>
            <w:rFonts w:ascii="Times New Roman" w:hAnsi="Times New Roman" w:eastAsia="Songti SC"/>
            <w:color w:val="000000"/>
            <w:sz w:val="22"/>
          </w:rPr>
          <w:tab/>
          <w:t>66</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67</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67</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67</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68</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69</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73</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73</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73</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74</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74</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75</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76</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77</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77</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77</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77</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78</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78</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78</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78</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79</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80</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81</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81</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81</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81</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81</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82</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82</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82</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82</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86</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87</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87</w:t>
        </w:r>
      </w:hyperlink>
    </w:p>
    <w:p>
      <w:pPr>
        <w:pStyle w:val="TOC2"/>
      </w:pPr>
      <w:hyperlink w:anchor="v9_real_232" w:history="1">
        <w:r>
          <w:rPr>
            <w:rFonts w:ascii="Times New Roman" w:hAnsi="Times New Roman" w:eastAsia="Songti SC"/>
            <w:color w:val="000000"/>
            <w:sz w:val="22"/>
          </w:rPr>
          <w:t>D.7 Luna真实试验的条件与来源</w:t>
        </w:r>
        <w:r>
          <w:rPr>
            <w:rFonts w:ascii="Times New Roman" w:hAnsi="Times New Roman" w:eastAsia="Songti SC"/>
            <w:color w:val="000000"/>
            <w:sz w:val="22"/>
          </w:rPr>
          <w:tab/>
          <w:t>88</w:t>
        </w:r>
      </w:hyperlink>
    </w:p>
    <w:p>
      <w:pPr>
        <w:pStyle w:val="TOC2"/>
      </w:pPr>
      <w:hyperlink w:anchor="v9_real_233" w:history="1">
        <w:r>
          <w:rPr>
            <w:rFonts w:ascii="Times New Roman" w:hAnsi="Times New Roman" w:eastAsia="Songti SC"/>
            <w:color w:val="000000"/>
            <w:sz w:val="22"/>
          </w:rPr>
          <w:t>D.8 完整对象计数与逐文档结果</w:t>
        </w:r>
        <w:r>
          <w:rPr>
            <w:rFonts w:ascii="Times New Roman" w:hAnsi="Times New Roman" w:eastAsia="Songti SC"/>
            <w:color w:val="000000"/>
            <w:sz w:val="22"/>
          </w:rPr>
          <w:tab/>
          <w:t>89</w:t>
        </w:r>
      </w:hyperlink>
    </w:p>
    <w:p>
      <w:pPr>
        <w:pStyle w:val="TOC2"/>
      </w:pPr>
      <w:hyperlink w:anchor="v9_real_236" w:history="1">
        <w:r>
          <w:rPr>
            <w:rFonts w:ascii="Times New Roman" w:hAnsi="Times New Roman" w:eastAsia="Songti SC"/>
            <w:color w:val="000000"/>
            <w:sz w:val="22"/>
          </w:rPr>
          <w:t>D.9 实际执行与方法解释边界</w:t>
        </w:r>
        <w:r>
          <w:rPr>
            <w:rFonts w:ascii="Times New Roman" w:hAnsi="Times New Roman" w:eastAsia="Songti SC"/>
            <w:color w:val="000000"/>
            <w:sz w:val="22"/>
          </w:rPr>
          <w:tab/>
          <w:t>90</w:t>
        </w:r>
      </w:hyperlink>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92</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92</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92</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93</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93</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94</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94</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94</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95</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96</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97</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97</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98</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99</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100</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100</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101</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101</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102</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103</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103</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103</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104</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105</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106</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107</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107</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110</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4_179" w:history="1">
        <w:r>
          <w:rPr>
            <w:rFonts w:ascii="Times New Roman" w:hAnsi="Times New Roman" w:eastAsia="Songti SC"/>
            <w:color w:val="000000"/>
            <w:sz w:val="22"/>
          </w:rPr>
          <w:t>图3-3 训练方案与学习目标的严格关系结果（估算情景）</w:t>
        </w:r>
        <w:r>
          <w:rPr>
            <w:rFonts w:ascii="Times New Roman" w:hAnsi="Times New Roman" w:eastAsia="Songti SC"/>
            <w:color w:val="000000"/>
            <w:sz w:val="22"/>
          </w:rPr>
          <w:tab/>
          <w:t>32</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37</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49</w:t>
        </w:r>
      </w:hyperlink>
    </w:p>
    <w:p>
      <w:pPr>
        <w:pStyle w:val="FigureList"/>
      </w:pPr>
      <w:hyperlink w:anchor="v14_194" w:history="1">
        <w:r>
          <w:rPr>
            <w:rFonts w:ascii="Times New Roman" w:hAnsi="Times New Roman" w:eastAsia="Songti SC"/>
            <w:color w:val="000000"/>
            <w:sz w:val="22"/>
          </w:rPr>
          <w:t>图4-3 联合修正中的关系恢复与原真阳性损失（估算情景）</w:t>
        </w:r>
        <w:r>
          <w:rPr>
            <w:rFonts w:ascii="Times New Roman" w:hAnsi="Times New Roman" w:eastAsia="Songti SC"/>
            <w:color w:val="000000"/>
            <w:sz w:val="22"/>
          </w:rPr>
          <w:tab/>
          <w:t>59</w:t>
        </w:r>
      </w:hyperlink>
    </w:p>
    <w:p>
      <w:pPr>
        <w:pStyle w:val="FigureList"/>
      </w:pPr>
      <w:hyperlink w:anchor="v14_199" w:history="1">
        <w:r>
          <w:rPr>
            <w:rFonts w:ascii="Times New Roman" w:hAnsi="Times New Roman" w:eastAsia="Songti SC"/>
            <w:color w:val="000000"/>
            <w:sz w:val="22"/>
          </w:rPr>
          <w:t>图5-1 两个训练条件下的推理增量与交互关系（估算情景）</w:t>
        </w:r>
        <w:r>
          <w:rPr>
            <w:rFonts w:ascii="Times New Roman" w:hAnsi="Times New Roman" w:eastAsia="Songti SC"/>
            <w:color w:val="000000"/>
            <w:sz w:val="22"/>
          </w:rPr>
          <w:tab/>
          <w:t>64</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110</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4_168" w:history="1">
        <w:r>
          <w:rPr>
            <w:rFonts w:ascii="Times New Roman" w:hAnsi="Times New Roman" w:eastAsia="Songti SC"/>
            <w:color w:val="000000"/>
            <w:sz w:val="22"/>
          </w:rPr>
          <w:t>表2-2 公共配置与评价规模（估算情景）</w:t>
        </w:r>
        <w:r>
          <w:rPr>
            <w:rFonts w:ascii="Times New Roman" w:hAnsi="Times New Roman" w:eastAsia="Songti SC"/>
            <w:color w:val="000000"/>
            <w:sz w:val="22"/>
          </w:rPr>
          <w:tab/>
          <w:t>14</w:t>
        </w:r>
      </w:hyperlink>
    </w:p>
    <w:p>
      <w:pPr>
        <w:pStyle w:val="TableLis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4_175" w:history="1">
        <w:r>
          <w:rPr>
            <w:rFonts w:ascii="Times New Roman" w:hAnsi="Times New Roman" w:eastAsia="Songti SC"/>
            <w:color w:val="000000"/>
            <w:sz w:val="22"/>
          </w:rPr>
          <w:t>表3-3 接受样本的标签漂移率（%）（估算情景）</w:t>
        </w:r>
        <w:r>
          <w:rPr>
            <w:rFonts w:ascii="Times New Roman" w:hAnsi="Times New Roman" w:eastAsia="Songti SC"/>
            <w:color w:val="000000"/>
            <w:sz w:val="22"/>
          </w:rPr>
          <w:tab/>
          <w:t>29</w:t>
        </w:r>
      </w:hyperlink>
    </w:p>
    <w:p>
      <w:pPr>
        <w:pStyle w:val="TableList"/>
      </w:pPr>
      <w:hyperlink w:anchor="v14_176" w:history="1">
        <w:r>
          <w:rPr>
            <w:rFonts w:ascii="Times New Roman" w:hAnsi="Times New Roman" w:eastAsia="Songti SC"/>
            <w:color w:val="000000"/>
            <w:sz w:val="22"/>
          </w:rPr>
          <w:t>表3-4 接受与拒绝样本的因素漂移审计（估算情景）</w:t>
        </w:r>
        <w:r>
          <w:rPr>
            <w:rFonts w:ascii="Times New Roman" w:hAnsi="Times New Roman" w:eastAsia="Songti SC"/>
            <w:color w:val="000000"/>
            <w:sz w:val="22"/>
          </w:rPr>
          <w:tab/>
          <w:t>30</w:t>
        </w:r>
      </w:hyperlink>
    </w:p>
    <w:p>
      <w:pPr>
        <w:pStyle w:val="TableList"/>
      </w:pPr>
      <w:hyperlink w:anchor="v14_177" w:history="1">
        <w:r>
          <w:rPr>
            <w:rFonts w:ascii="Times New Roman" w:hAnsi="Times New Roman" w:eastAsia="Songti SC"/>
            <w:color w:val="000000"/>
            <w:sz w:val="22"/>
          </w:rPr>
          <w:t>表3-5 训练方案的严格抽取结果（匹配训练规模）（估算情景）</w:t>
        </w:r>
        <w:r>
          <w:rPr>
            <w:rFonts w:ascii="Times New Roman" w:hAnsi="Times New Roman" w:eastAsia="Songti SC"/>
            <w:color w:val="000000"/>
            <w:sz w:val="22"/>
          </w:rPr>
          <w:tab/>
          <w:t>31</w:t>
        </w:r>
      </w:hyperlink>
    </w:p>
    <w:p>
      <w:pPr>
        <w:pStyle w:val="TableList"/>
      </w:pPr>
      <w:hyperlink w:anchor="v14_178" w:history="1">
        <w:r>
          <w:rPr>
            <w:rFonts w:ascii="Times New Roman" w:hAnsi="Times New Roman" w:eastAsia="Songti SC"/>
            <w:color w:val="000000"/>
            <w:sz w:val="22"/>
          </w:rPr>
          <w:t>表3-6 相同增强集合上的学习目标比较（匹配训练规模）（估算情景）</w:t>
        </w:r>
        <w:r>
          <w:rPr>
            <w:rFonts w:ascii="Times New Roman" w:hAnsi="Times New Roman" w:eastAsia="Songti SC"/>
            <w:color w:val="000000"/>
            <w:sz w:val="22"/>
          </w:rPr>
          <w:tab/>
          <w:t>31</w:t>
        </w:r>
      </w:hyperlink>
    </w:p>
    <w:p>
      <w:pPr>
        <w:pStyle w:val="TableList"/>
      </w:pPr>
      <w:hyperlink w:anchor="v14_180" w:history="1">
        <w:r>
          <w:rPr>
            <w:rFonts w:ascii="Times New Roman" w:hAnsi="Times New Roman" w:eastAsia="Songti SC"/>
            <w:color w:val="000000"/>
            <w:sz w:val="22"/>
          </w:rPr>
          <w:t>表3-7 中心匹配的有效覆盖与自匹配（估算情景）</w:t>
        </w:r>
        <w:r>
          <w:rPr>
            <w:rFonts w:ascii="Times New Roman" w:hAnsi="Times New Roman" w:eastAsia="Songti SC"/>
            <w:color w:val="000000"/>
            <w:sz w:val="22"/>
          </w:rPr>
          <w:tab/>
          <w:t>32</w:t>
        </w:r>
      </w:hyperlink>
    </w:p>
    <w:p>
      <w:pPr>
        <w:pStyle w:val="TableList"/>
      </w:pPr>
      <w:hyperlink w:anchor="v14_181" w:history="1">
        <w:r>
          <w:rPr>
            <w:rFonts w:ascii="Times New Roman" w:hAnsi="Times New Roman" w:eastAsia="Songti SC"/>
            <w:color w:val="000000"/>
            <w:sz w:val="22"/>
          </w:rPr>
          <w:t>表3-8 结论中心与匹配随机中心的比较（匹配训练规模）（估算情景）</w:t>
        </w:r>
        <w:r>
          <w:rPr>
            <w:rFonts w:ascii="Times New Roman" w:hAnsi="Times New Roman" w:eastAsia="Songti SC"/>
            <w:color w:val="000000"/>
            <w:sz w:val="22"/>
          </w:rPr>
          <w:tab/>
          <w:t>33</w:t>
        </w:r>
      </w:hyperlink>
    </w:p>
    <w:p>
      <w:pPr>
        <w:pStyle w:val="TableList"/>
      </w:pPr>
      <w:hyperlink w:anchor="v14_182" w:history="1">
        <w:r>
          <w:rPr>
            <w:rFonts w:ascii="Times New Roman" w:hAnsi="Times New Roman" w:eastAsia="Songti SC"/>
            <w:color w:val="000000"/>
            <w:sz w:val="22"/>
          </w:rPr>
          <w:t>表3-9 固定尝试预算下的覆盖与构造成本（估算情景）</w:t>
        </w:r>
        <w:r>
          <w:rPr>
            <w:rFonts w:ascii="Times New Roman" w:hAnsi="Times New Roman" w:eastAsia="Songti SC"/>
            <w:color w:val="000000"/>
            <w:sz w:val="22"/>
          </w:rPr>
          <w:tab/>
          <w:t>33</w:t>
        </w:r>
      </w:hyperlink>
    </w:p>
    <w:p>
      <w:pPr>
        <w:pStyle w:val="TableLis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52</w:t>
        </w:r>
      </w:hyperlink>
    </w:p>
    <w:p>
      <w:pPr>
        <w:pStyle w:val="TableLis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53</w:t>
        </w:r>
      </w:hyperlink>
    </w:p>
    <w:p>
      <w:pPr>
        <w:pStyle w:val="TableList"/>
      </w:pPr>
      <w:hyperlink w:anchor="v14_189" w:history="1">
        <w:r>
          <w:rPr>
            <w:rFonts w:ascii="Times New Roman" w:hAnsi="Times New Roman" w:eastAsia="Songti SC"/>
            <w:color w:val="000000"/>
            <w:sz w:val="22"/>
          </w:rPr>
          <w:t>表4-3 推理方法的严格抽取结果（估算情景）</w:t>
        </w:r>
        <w:r>
          <w:rPr>
            <w:rFonts w:ascii="Times New Roman" w:hAnsi="Times New Roman" w:eastAsia="Songti SC"/>
            <w:color w:val="000000"/>
            <w:sz w:val="22"/>
          </w:rPr>
          <w:tab/>
          <w:t>54</w:t>
        </w:r>
      </w:hyperlink>
    </w:p>
    <w:p>
      <w:pPr>
        <w:pStyle w:val="TableList"/>
      </w:pPr>
      <w:hyperlink w:anchor="v14_190" w:history="1">
        <w:r>
          <w:rPr>
            <w:rFonts w:ascii="Times New Roman" w:hAnsi="Times New Roman" w:eastAsia="Songti SC"/>
            <w:color w:val="000000"/>
            <w:sz w:val="22"/>
          </w:rPr>
          <w:t>表4-4 从完整组件到完整关系的候选覆盖（估算情景）</w:t>
        </w:r>
        <w:r>
          <w:rPr>
            <w:rFonts w:ascii="Times New Roman" w:hAnsi="Times New Roman" w:eastAsia="Songti SC"/>
            <w:color w:val="000000"/>
            <w:sz w:val="22"/>
          </w:rPr>
          <w:tab/>
          <w:t>56</w:t>
        </w:r>
      </w:hyperlink>
    </w:p>
    <w:p>
      <w:pPr>
        <w:pStyle w:val="TableList"/>
      </w:pPr>
      <w:hyperlink w:anchor="v14_191" w:history="1">
        <w:r>
          <w:rPr>
            <w:rFonts w:ascii="Times New Roman" w:hAnsi="Times New Roman" w:eastAsia="Songti SC"/>
            <w:color w:val="000000"/>
            <w:sz w:val="22"/>
          </w:rPr>
          <w:t>表4-5 三类恢复空间的关系计数诊断（估算情景）</w:t>
        </w:r>
        <w:r>
          <w:rPr>
            <w:rFonts w:ascii="Times New Roman" w:hAnsi="Times New Roman" w:eastAsia="Songti SC"/>
            <w:color w:val="000000"/>
            <w:sz w:val="22"/>
          </w:rPr>
          <w:tab/>
          <w:t>56</w:t>
        </w:r>
      </w:hyperlink>
    </w:p>
    <w:p>
      <w:pPr>
        <w:pStyle w:val="TableList"/>
      </w:pPr>
      <w:hyperlink w:anchor="v14_192" w:history="1">
        <w:r>
          <w:rPr>
            <w:rFonts w:ascii="Times New Roman" w:hAnsi="Times New Roman" w:eastAsia="Songti SC"/>
            <w:color w:val="000000"/>
            <w:sz w:val="22"/>
          </w:rPr>
          <w:t>表4-6 完整对象评分的区分与校准（估算情景）</w:t>
        </w:r>
        <w:r>
          <w:rPr>
            <w:rFonts w:ascii="Times New Roman" w:hAnsi="Times New Roman" w:eastAsia="Songti SC"/>
            <w:color w:val="000000"/>
            <w:sz w:val="22"/>
          </w:rPr>
          <w:tab/>
          <w:t>57</w:t>
        </w:r>
      </w:hyperlink>
    </w:p>
    <w:p>
      <w:pPr>
        <w:pStyle w:val="TableList"/>
      </w:pPr>
      <w:hyperlink w:anchor="v14_193" w:history="1">
        <w:r>
          <w:rPr>
            <w:rFonts w:ascii="Times New Roman" w:hAnsi="Times New Roman" w:eastAsia="Songti SC"/>
            <w:color w:val="000000"/>
            <w:sz w:val="22"/>
          </w:rPr>
          <w:t>表4-7 关系恢复与误改的累计计数（估算情景）</w:t>
        </w:r>
        <w:r>
          <w:rPr>
            <w:rFonts w:ascii="Times New Roman" w:hAnsi="Times New Roman" w:eastAsia="Songti SC"/>
            <w:color w:val="000000"/>
            <w:sz w:val="22"/>
          </w:rPr>
          <w:tab/>
          <w:t>58</w:t>
        </w:r>
      </w:hyperlink>
    </w:p>
    <w:p>
      <w:pPr>
        <w:pStyle w:val="TableList"/>
      </w:pPr>
      <w:hyperlink w:anchor="v14_195" w:history="1">
        <w:r>
          <w:rPr>
            <w:rFonts w:ascii="Times New Roman" w:hAnsi="Times New Roman" w:eastAsia="Songti SC"/>
            <w:color w:val="000000"/>
            <w:sz w:val="22"/>
          </w:rPr>
          <w:t>表4-8 推理成本与预算取舍（估算情景）</w:t>
        </w:r>
        <w:r>
          <w:rPr>
            <w:rFonts w:ascii="Times New Roman" w:hAnsi="Times New Roman" w:eastAsia="Songti SC"/>
            <w:color w:val="000000"/>
            <w:sz w:val="22"/>
          </w:rPr>
          <w:tab/>
          <w:t>59</w:t>
        </w:r>
      </w:hyperlink>
    </w:p>
    <w:p>
      <w:pPr>
        <w:pStyle w:val="TableList"/>
      </w:pPr>
      <w:hyperlink w:anchor="v9_real_230" w:history="1">
        <w:r>
          <w:rPr>
            <w:rFonts w:ascii="Times New Roman" w:hAnsi="Times New Roman" w:eastAsia="Songti SC"/>
            <w:color w:val="000000"/>
            <w:sz w:val="22"/>
          </w:rPr>
          <w:t>表4-9 Luna训练侧小样本的严格抽取结果（真实运行）</w:t>
        </w:r>
        <w:r>
          <w:rPr>
            <w:rFonts w:ascii="Times New Roman" w:hAnsi="Times New Roman" w:eastAsia="Songti SC"/>
            <w:color w:val="000000"/>
            <w:sz w:val="22"/>
          </w:rPr>
          <w:tab/>
          <w:t>61</w:t>
        </w:r>
      </w:hyperlink>
    </w:p>
    <w:p>
      <w:pPr>
        <w:pStyle w:val="TableList"/>
      </w:pPr>
      <w:hyperlink w:anchor="v9_real_231" w:history="1">
        <w:r>
          <w:rPr>
            <w:rFonts w:ascii="Times New Roman" w:hAnsi="Times New Roman" w:eastAsia="Songti SC"/>
            <w:color w:val="000000"/>
            <w:sz w:val="22"/>
          </w:rPr>
          <w:t>表4-10 按固定取例规则选择的真实前后案例</w:t>
        </w:r>
        <w:r>
          <w:rPr>
            <w:rFonts w:ascii="Times New Roman" w:hAnsi="Times New Roman" w:eastAsia="Songti SC"/>
            <w:color w:val="000000"/>
            <w:sz w:val="22"/>
          </w:rPr>
          <w:tab/>
          <w:t>61</w:t>
        </w:r>
      </w:hyperlink>
    </w:p>
    <w:p>
      <w:pPr>
        <w:pStyle w:val="TableList"/>
      </w:pPr>
      <w:hyperlink w:anchor="v14_197" w:history="1">
        <w:r>
          <w:rPr>
            <w:rFonts w:ascii="Times New Roman" w:hAnsi="Times New Roman" w:eastAsia="Songti SC"/>
            <w:color w:val="000000"/>
            <w:sz w:val="22"/>
          </w:rPr>
          <w:t>表5-1 两阶段组合的四格结果（估算情景）</w:t>
        </w:r>
        <w:r>
          <w:rPr>
            <w:rFonts w:ascii="Times New Roman" w:hAnsi="Times New Roman" w:eastAsia="Songti SC"/>
            <w:color w:val="000000"/>
            <w:sz w:val="22"/>
          </w:rPr>
          <w:tab/>
          <w:t>63</w:t>
        </w:r>
      </w:hyperlink>
    </w:p>
    <w:p>
      <w:pPr>
        <w:pStyle w:val="TableList"/>
      </w:pPr>
      <w:hyperlink w:anchor="v14_198" w:history="1">
        <w:r>
          <w:rPr>
            <w:rFonts w:ascii="Times New Roman" w:hAnsi="Times New Roman" w:eastAsia="Songti SC"/>
            <w:color w:val="000000"/>
            <w:sz w:val="22"/>
          </w:rPr>
          <w:t>表5-2 条件增量与交互差（估算情景）</w:t>
        </w:r>
        <w:r>
          <w:rPr>
            <w:rFonts w:ascii="Times New Roman" w:hAnsi="Times New Roman" w:eastAsia="Songti SC"/>
            <w:color w:val="000000"/>
            <w:sz w:val="22"/>
          </w:rPr>
          <w:tab/>
          <w:t>63</w:t>
        </w:r>
      </w:hyperlink>
    </w:p>
    <w:p>
      <w:pPr>
        <w:pStyle w:val="TableList"/>
      </w:pPr>
      <w:hyperlink w:anchor="v14_200" w:history="1">
        <w:r>
          <w:rPr>
            <w:rFonts w:ascii="Times New Roman" w:hAnsi="Times New Roman" w:eastAsia="Songti SC"/>
            <w:color w:val="000000"/>
            <w:sz w:val="22"/>
          </w:rPr>
          <w:t>表5-3 四格比较的净错误计数变化（估算情景）</w:t>
        </w:r>
        <w:r>
          <w:rPr>
            <w:rFonts w:ascii="Times New Roman" w:hAnsi="Times New Roman" w:eastAsia="Songti SC"/>
            <w:color w:val="000000"/>
            <w:sz w:val="22"/>
          </w:rPr>
          <w:tab/>
          <w:t>64</w:t>
        </w:r>
      </w:hyperlink>
    </w:p>
    <w:p>
      <w:pPr>
        <w:pStyle w:val="TableList"/>
      </w:pPr>
      <w:hyperlink w:anchor="v14_201" w:history="1">
        <w:r>
          <w:rPr>
            <w:rFonts w:ascii="Times New Roman" w:hAnsi="Times New Roman" w:eastAsia="Songti SC"/>
            <w:color w:val="000000"/>
            <w:sz w:val="22"/>
          </w:rPr>
          <w:t>表5-4 CDCP完整关系的源成员数分组（估算情景）</w:t>
        </w:r>
        <w:r>
          <w:rPr>
            <w:rFonts w:ascii="Times New Roman" w:hAnsi="Times New Roman" w:eastAsia="Songti SC"/>
            <w:color w:val="000000"/>
            <w:sz w:val="22"/>
          </w:rPr>
          <w:tab/>
          <w:t>65</w:t>
        </w:r>
      </w:hyperlink>
    </w:p>
    <w:p>
      <w:pPr>
        <w:pStyle w:val="TableList"/>
      </w:pPr>
      <w:hyperlink w:anchor="v14_202" w:history="1">
        <w:r>
          <w:rPr>
            <w:rFonts w:ascii="Times New Roman" w:hAnsi="Times New Roman" w:eastAsia="Songti SC"/>
            <w:color w:val="000000"/>
            <w:sz w:val="22"/>
          </w:rPr>
          <w:t>表5-5 相对共同起点的关系增量与在线额外时间（估算情景）</w:t>
        </w:r>
        <w:r>
          <w:rPr>
            <w:rFonts w:ascii="Times New Roman" w:hAnsi="Times New Roman" w:eastAsia="Songti SC"/>
            <w:color w:val="000000"/>
            <w:sz w:val="22"/>
          </w:rPr>
          <w:tab/>
          <w:t>66</w:t>
        </w:r>
      </w:hyperlink>
    </w:p>
    <w:p>
      <w:pPr>
        <w:pStyle w:val="TableLis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73</w:t>
        </w:r>
      </w:hyperlink>
    </w:p>
    <w:p>
      <w:pPr>
        <w:pStyle w:val="TableLis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74</w:t>
        </w:r>
      </w:hyperlink>
    </w:p>
    <w:p>
      <w:pPr>
        <w:pStyle w:val="TableLis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79</w:t>
        </w:r>
      </w:hyperlink>
    </w:p>
    <w:p>
      <w:pPr>
        <w:pStyle w:val="TableList"/>
      </w:pPr>
      <w:hyperlink w:anchor="v8_diagnostic_224" w:history="1">
        <w:r>
          <w:rPr>
            <w:rFonts w:ascii="Times New Roman" w:hAnsi="Times New Roman" w:eastAsia="Songti SC"/>
            <w:color w:val="000000"/>
            <w:sz w:val="22"/>
          </w:rPr>
          <w:t>表D-1 初始组件的错误配对分解（既存CPU诊断）</w:t>
        </w:r>
        <w:r>
          <w:rPr>
            <w:rFonts w:ascii="Times New Roman" w:hAnsi="Times New Roman" w:eastAsia="Songti SC"/>
            <w:color w:val="000000"/>
            <w:sz w:val="22"/>
          </w:rPr>
          <w:tab/>
          <w:t>83</w:t>
        </w:r>
      </w:hyperlink>
    </w:p>
    <w:p>
      <w:pPr>
        <w:pStyle w:val="TableList"/>
      </w:pPr>
      <w:hyperlink w:anchor="v8_diagnostic_225" w:history="1">
        <w:r>
          <w:rPr>
            <w:rFonts w:ascii="Times New Roman" w:hAnsi="Times New Roman" w:eastAsia="Songti SC"/>
            <w:color w:val="000000"/>
            <w:sz w:val="22"/>
          </w:rPr>
          <w:t>表D-2 补充跨度预算与候选覆盖（既存CPU诊断）</w:t>
        </w:r>
        <w:r>
          <w:rPr>
            <w:rFonts w:ascii="Times New Roman" w:hAnsi="Times New Roman" w:eastAsia="Songti SC"/>
            <w:color w:val="000000"/>
            <w:sz w:val="22"/>
          </w:rPr>
          <w:tab/>
          <w:t>83</w:t>
        </w:r>
      </w:hyperlink>
    </w:p>
    <w:p>
      <w:pPr>
        <w:pStyle w:val="TableList"/>
      </w:pPr>
      <w:hyperlink w:anchor="v8_diagnostic_226" w:history="1">
        <w:r>
          <w:rPr>
            <w:rFonts w:ascii="Times New Roman" w:hAnsi="Times New Roman" w:eastAsia="Songti SC"/>
            <w:color w:val="000000"/>
            <w:sz w:val="22"/>
          </w:rPr>
          <w:t>表D-3 已入池遗漏跨度的一步动作限制（既存CPU诊断）</w:t>
        </w:r>
        <w:r>
          <w:rPr>
            <w:rFonts w:ascii="Times New Roman" w:hAnsi="Times New Roman" w:eastAsia="Songti SC"/>
            <w:color w:val="000000"/>
            <w:sz w:val="22"/>
          </w:rPr>
          <w:tab/>
          <w:t>84</w:t>
        </w:r>
      </w:hyperlink>
    </w:p>
    <w:p>
      <w:pPr>
        <w:pStyle w:val="TableList"/>
      </w:pPr>
      <w:hyperlink w:anchor="v8_diagnostic_227" w:history="1">
        <w:r>
          <w:rPr>
            <w:rFonts w:ascii="Times New Roman" w:hAnsi="Times New Roman" w:eastAsia="Songti SC"/>
            <w:color w:val="000000"/>
            <w:sz w:val="22"/>
          </w:rPr>
          <w:t>表D-4 全部编辑提议的逐文档效果组成（既存CPU诊断）</w:t>
        </w:r>
        <w:r>
          <w:rPr>
            <w:rFonts w:ascii="Times New Roman" w:hAnsi="Times New Roman" w:eastAsia="Songti SC"/>
            <w:color w:val="000000"/>
            <w:sz w:val="22"/>
          </w:rPr>
          <w:tab/>
          <w:t>85</w:t>
        </w:r>
      </w:hyperlink>
    </w:p>
    <w:p>
      <w:pPr>
        <w:pStyle w:val="TableList"/>
      </w:pPr>
      <w:hyperlink w:anchor="v8_diagnostic_228" w:history="1">
        <w:r>
          <w:rPr>
            <w:rFonts w:ascii="Times New Roman" w:hAnsi="Times New Roman" w:eastAsia="Songti SC"/>
            <w:color w:val="000000"/>
            <w:sz w:val="22"/>
          </w:rPr>
          <w:t>表D-5 固定阈值策略的组件效果（既存CPU诊断）</w:t>
        </w:r>
        <w:r>
          <w:rPr>
            <w:rFonts w:ascii="Times New Roman" w:hAnsi="Times New Roman" w:eastAsia="Songti SC"/>
            <w:color w:val="000000"/>
            <w:sz w:val="22"/>
          </w:rPr>
          <w:tab/>
          <w:t>85</w:t>
        </w:r>
      </w:hyperlink>
    </w:p>
    <w:p>
      <w:pPr>
        <w:pStyle w:val="TableList"/>
      </w:pPr>
      <w:hyperlink w:anchor="v8_diagnostic_229" w:history="1">
        <w:r>
          <w:rPr>
            <w:rFonts w:ascii="Times New Roman" w:hAnsi="Times New Roman" w:eastAsia="Songti SC"/>
            <w:color w:val="000000"/>
            <w:sz w:val="22"/>
          </w:rPr>
          <w:t>表D-6 修改前后的严格组件对象变化（既存CPU诊断）</w:t>
        </w:r>
        <w:r>
          <w:rPr>
            <w:rFonts w:ascii="Times New Roman" w:hAnsi="Times New Roman" w:eastAsia="Songti SC"/>
            <w:color w:val="000000"/>
            <w:sz w:val="22"/>
          </w:rPr>
          <w:tab/>
          <w:t>86</w:t>
        </w:r>
      </w:hyperlink>
    </w:p>
    <w:p>
      <w:pPr>
        <w:pStyle w:val="TableList"/>
      </w:pPr>
      <w:hyperlink w:anchor="v9_real_234" w:history="1">
        <w:r>
          <w:rPr>
            <w:rFonts w:ascii="Times New Roman" w:hAnsi="Times New Roman" w:eastAsia="Songti SC"/>
            <w:color w:val="000000"/>
            <w:sz w:val="22"/>
          </w:rPr>
          <w:t>表D-7 Luna试验的完整组件与关系计数（真实运行）</w:t>
        </w:r>
        <w:r>
          <w:rPr>
            <w:rFonts w:ascii="Times New Roman" w:hAnsi="Times New Roman" w:eastAsia="Songti SC"/>
            <w:color w:val="000000"/>
            <w:sz w:val="22"/>
          </w:rPr>
          <w:tab/>
          <w:t>89</w:t>
        </w:r>
      </w:hyperlink>
    </w:p>
    <w:p>
      <w:pPr>
        <w:pStyle w:val="TableList"/>
      </w:pPr>
      <w:hyperlink w:anchor="v9_real_235" w:history="1">
        <w:r>
          <w:rPr>
            <w:rFonts w:ascii="Times New Roman" w:hAnsi="Times New Roman" w:eastAsia="Songti SC"/>
            <w:color w:val="000000"/>
            <w:sz w:val="22"/>
          </w:rPr>
          <w:t>表D-8 全部16篇文档的初始至BRJ-lite结果及候选覆盖</w:t>
        </w:r>
        <w:r>
          <w:rPr>
            <w:rFonts w:ascii="Times New Roman" w:hAnsi="Times New Roman" w:eastAsia="Songti SC"/>
            <w:color w:val="000000"/>
            <w:sz w:val="22"/>
          </w:rPr>
          <w:tab/>
          <w:t>89</w:t>
        </w:r>
      </w:hyperlink>
    </w:p>
    <w:p>
      <w:pPr>
        <w:pStyle w:val="TableLis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92</w:t>
        </w:r>
      </w:hyperlink>
    </w:p>
    <w:p>
      <w:pPr>
        <w:pStyle w:val="TableLis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92</w:t>
        </w:r>
      </w:hyperlink>
    </w:p>
    <w:p>
      <w:pPr>
        <w:pStyle w:val="TableLis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93</w:t>
        </w:r>
      </w:hyperlink>
    </w:p>
    <w:p>
      <w:pPr>
        <w:pStyle w:val="TableLis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93</w:t>
        </w:r>
      </w:hyperlink>
    </w:p>
    <w:p>
      <w:pPr>
        <w:pStyle w:val="TableLis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94</w:t>
        </w:r>
      </w:hyperlink>
    </w:p>
    <w:p>
      <w:pPr>
        <w:pStyle w:val="TableLis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94</w:t>
        </w:r>
      </w:hyperlink>
    </w:p>
    <w:p>
      <w:pPr>
        <w:pStyle w:val="TableLis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94</w:t>
        </w:r>
      </w:hyperlink>
    </w:p>
    <w:p>
      <w:pPr>
        <w:pStyle w:val="TableLis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95</w:t>
        </w:r>
      </w:hyperlink>
    </w:p>
    <w:p>
      <w:pPr>
        <w:pStyle w:val="TableLis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96</w:t>
        </w:r>
      </w:hyperlink>
    </w:p>
    <w:p>
      <w:pPr>
        <w:pStyle w:val="TableLis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97</w:t>
        </w:r>
      </w:hyperlink>
    </w:p>
    <w:p>
      <w:pPr>
        <w:pStyle w:val="TableLis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99</w:t>
        </w:r>
      </w:hyperlink>
    </w:p>
    <w:p>
      <w:pPr>
        <w:pStyle w:val="TableLis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100</w:t>
        </w:r>
      </w:hyperlink>
    </w:p>
    <w:p>
      <w:pPr>
        <w:pStyle w:val="TableLis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101</w:t>
        </w:r>
      </w:hyperlink>
    </w:p>
    <w:p>
      <w:pPr>
        <w:pStyle w:val="TableList"/>
      </w:pPr>
      <w:hyperlink w:anchor="v14_219" w:history="1">
        <w:r>
          <w:rPr>
            <w:rFonts w:ascii="Times New Roman" w:hAnsi="Times New Roman" w:eastAsia="Songti SC"/>
            <w:color w:val="000000"/>
            <w:sz w:val="22"/>
          </w:rPr>
          <w:t>表H-1 固定尝试轨训练成本存档（估算情景）</w:t>
        </w:r>
        <w:r>
          <w:rPr>
            <w:rFonts w:ascii="Times New Roman" w:hAnsi="Times New Roman" w:eastAsia="Songti SC"/>
            <w:color w:val="000000"/>
            <w:sz w:val="22"/>
          </w:rPr>
          <w:tab/>
          <w:t>104</w:t>
        </w:r>
      </w:hyperlink>
    </w:p>
    <w:p>
      <w:pPr>
        <w:pStyle w:val="TableList"/>
      </w:pPr>
      <w:hyperlink w:anchor="v14_220" w:history="1">
        <w:r>
          <w:rPr>
            <w:rFonts w:ascii="Times New Roman" w:hAnsi="Times New Roman" w:eastAsia="Songti SC"/>
            <w:color w:val="000000"/>
            <w:sz w:val="22"/>
          </w:rPr>
          <w:t>表H-2 共同池的变化与覆盖诊断（指标演示的估算情景）</w:t>
        </w:r>
        <w:r>
          <w:rPr>
            <w:rFonts w:ascii="Times New Roman" w:hAnsi="Times New Roman" w:eastAsia="Songti SC"/>
            <w:color w:val="000000"/>
            <w:sz w:val="22"/>
          </w:rPr>
          <w:tab/>
          <w:t>107</w:t>
        </w:r>
      </w:hyperlink>
    </w:p>
    <w:p>
      <w:pPr>
        <w:pStyle w:val="TableLis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108</w:t>
        </w:r>
      </w:hyperlink>
    </w:p>
    <w:p>
      <w:pPr>
        <w:pStyle w:val="TableLis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109</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既存CPU诊断与16篇Luna试验已提供有限观察（D.3及4.6.7），但模型和候选配置均不等同于正式系统，不能据此建立目标系统的问题发生率；完整诊断方案见附录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及尚未完成的核心验证。</w:t>
      </w:r>
    </w:p>
    <w:p>
      <w:r>
        <w:rPr>
          <w:rFonts w:ascii="Times New Roman" w:hAnsi="Times New Roman" w:eastAsia="Songti SC"/>
          <w:color w:val="000000"/>
        </w:rPr>
        <w:t>附录A、B集中保存坐标、序列化、队列调度、日志字段与性质证明，附录C说明成果归属，附录D分别保存前期基础、CPU诊断、构造材料和Luna真实试验，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估算情景的参考设置与规模，不构成可执行配置；情景结果按语料、方法和种子关联，跨章复用同一记录。</w:t>
      </w:r>
    </w:p>
    <w:p>
      <w:pPr>
        <w:pStyle w:val="TableCaption"/>
      </w:pPr>
      <w:r>
        <w:rPr>
          <w:rFonts w:ascii="Times New Roman" w:hAnsi="Times New Roman" w:eastAsia="Songti SC"/>
          <w:color w:val="000000"/>
          <w:sz w:val="21"/>
        </w:rPr>
        <w:t>表2-2 公共配置与评价规模（估算情景）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正式运行前须冻结数据与折清单、各模型及分词器版本、生成与审核提示、采样参数、损失系数、校准方式、求解器和资源上限。当前增强模型、语义验证器、文本编码器、跨度头及评分器尚未绑定具体检查点；</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的取值及选择方案也未登记。配套配置单列未绑定字段，表中参考值不代替实测环境。运行后按附录A关联配置、候选与逐文档计数，分开保存生成、评分和求解成本。</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未绑定的系数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本节数值、审计判断和成本为估算情景，用于展示比较与分析；正式结果须由对应原始文本和运行记录整体替换。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接受样本的标签漂移率（%）（估算情景）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接受与拒绝样本的因素漂移审计（估算情景）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训练方案的严格抽取结果（匹配训练规模）（估算情景）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78.57±0.36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53.64±0.45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70.48±0.34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48.46±0.28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78.77±0.37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53.86±0.55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70.67±0.21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48.67±0.17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79.37±0.42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54.96±0.28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71.27±0.24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49.76±0.43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79.88±0.46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71.98±0.28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50.96±0.50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56.66±0.20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72.27±0.44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51.37±0.35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T1相对T0的严格关系F1分别增加4.52和4.42个百分点，这一总差值包含数据构造、头监督和成对学习。T-B中QOS式适配与完整增强均采用基础损失：对照表3-6首行，AAEC为54.96对55.66，CDCP为49.76对50.47，差值为0.70和0.71个百分点。该差值同时包含文本、接受源分布与源重加权，故解释为数据构造整体效应。过滤消融固定生成池与学习配置，仍可能改变接受覆盖；其情景差值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相同增强集合上的学习目标比较（匹配训练规模）（估算情景）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79.68±0.31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55.66±0.50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50.47±0.33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79.98±0.00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56.56±0.63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72.27±0.64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51.24±0.47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表3-6的三行使用完全相同的增强文本、来源权重和更新条件。增加头监督先建立组件与完整关系因素的输入表示；加入成对对齐后，AAEC与CDCP的关系F1分别再增加1.21和1.22个百分点，情景文档配对95%区间为[+0.40, +2.01]和[+0.22, +2.22]。完整结果同时包含数据构造、辅助监督和成对目标三部分，不能将总增量全部归给对齐项。区间只反映既定计数模型内的重采样变化，不是实际方法效应的置信区间。</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训练方案与学习目标的严格关系结果（估算情景）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中心匹配的有效覆盖与自匹配（估算情景）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结论中心与匹配随机中心的比较（匹配训练规模）（估算情景）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80.38±0.37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72.56±0.22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52.16±0.40</w:t>
            </w:r>
          </w:p>
        </w:tc>
      </w:tr>
    </w:tbl>
    <w:p>
      <w:pPr>
        <w:spacing w:after="0" w:line="240" w:lineRule="auto"/>
      </w:pPr>
    </w:p>
    <w:p>
      <w:r>
        <w:rPr>
          <w:rFonts w:ascii="Times New Roman" w:hAnsi="Times New Roman" w:eastAsia="Songti SC"/>
          <w:color w:val="000000"/>
        </w:rPr>
        <w:t>结论中心相对匹配随机中心的关系差值为AAEC 0.22、CDCP 0.30个百分点，情景配对95%区间分别为[-0.35, +0.81]、[-0.61, +1.23]。区间均含0；即使在这一设定中，也不能把完整方案增量归因于中心角色。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固定尝试预算下的覆盖与构造成本（估算情景）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附录D.3已补充既存CPU诊断的初始错误、端点条件及一步动作限制；该弱模型的过度分割不能代表目标LLM。4.6.7进一步给出Luna真实输出的端点恢复及失败轨迹，但小样本、简化候选和未校准评分仍限制方法归因，正式目标模型的完整诊断按附录H.1执行。</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，算法先求受影响关系的合格可行补全（取得最优性证书时才称为最优），再比较完整的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4.6.1—4.6.6的主比较与图表使用估算情景；4.6.7单列已执行的Luna小样本案例。两者不共用实验身份、分母或成本口径，正式目标模型的求解、误差与延迟诊断仍按附录H完成。</w:t>
      </w:r>
    </w:p>
    <w:p>
      <w:r>
        <w:rPr>
          <w:rFonts w:ascii="Times New Roman" w:hAnsi="Times New Roman" w:eastAsia="Songti SC"/>
          <w:color w:val="000000"/>
        </w:rPr>
        <w:t>本章主比较固定T1训练条件，以I0为共同起点，按2.6.3区分贡献检验与求解策略比较；4.6.7的独立试验未进行T1训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推理方法的严格抽取结果（估算情景）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58.56±0.45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73.38±0.41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53.96±0.34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59.56±0.43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54.76±0.53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81.27±0.30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59.55±0.34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73.57±0.57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54.56±0.26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81.77±0.33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60.67±0.34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74.07±0.32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55.83±0.29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82.28±0.48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60.07±0.41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74.76±0.30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55.17±0.38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82.58±0.23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75.18±0.27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57.86±0.28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63.06±0.46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75.48±0.53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58.66±0.30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81.36±0.29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59.96±0.35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73.68±0.46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54.86±0.40</w:t>
            </w:r>
          </w:p>
        </w:tc>
      </w:tr>
    </w:tbl>
    <w:p>
      <w:pPr>
        <w:spacing w:after="0" w:line="240" w:lineRule="auto"/>
      </w:pPr>
    </w:p>
    <w:p>
      <w:r>
        <w:rPr>
          <w:rFonts w:ascii="Times New Roman" w:hAnsi="Times New Roman" w:eastAsia="Songti SC"/>
          <w:color w:val="000000"/>
        </w:rPr>
        <w:t>BR-J相对I0在AAEC和CDCP上的关系F1分别增加4.10和4.91个百分点。相对固定组件RelationOnly，高2.31和2.60个百分点，情景配对95%区间为[+1.65, +2.97]、[+1.68, +3.51]；相对单对象动作，高1.20和1.53个百分点，区间为[+0.39, +1.98]、[+0.69, +2.45]。前一比较检验组件可变性，后一比较检验集合表达，均须结合编辑数量、误改及成本解释。这些区间由假设计数重采样得到，不确认真实端点错误上的收益，也不证明每项机制均有必要。</w:t>
      </w:r>
    </w:p>
    <w:p>
      <w:r>
        <w:rPr>
          <w:rFonts w:ascii="Times New Roman" w:hAnsi="Times New Roman" w:eastAsia="Songti SC"/>
          <w:color w:val="000000"/>
        </w:rPr>
        <w:t>作为共同决策的补充比较，BR-J相对于组件优先分步策略的关系增量为2.33和2.80个百分点，情景文档配对95%区间分别为[+1.48, +3.10]和[+1.95, +3.67]。这些结果演示两种策略整体差异的报告方式。两者同时改变信息使用、接受条件和批内排序，不能单独识别纯执行顺序的因果作用。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从完整组件到完整关系的候选覆盖（估算情景）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三类恢复空间的关系计数诊断（估算情景）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完整对象评分的区分与校准（估算情景）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关系恢复与误改的累计计数（估算情景）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94.54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96.30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94.23</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95.92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96.34</w:t>
            </w:r>
          </w:p>
        </w:tc>
      </w:tr>
    </w:tbl>
    <w:p>
      <w:pPr>
        <w:spacing w:after="0" w:line="240" w:lineRule="auto"/>
      </w:pPr>
    </w:p>
    <w:p>
      <w:r>
        <w:rPr>
          <w:rFonts w:ascii="Times New Roman" w:hAnsi="Times New Roman" w:eastAsia="Songti SC"/>
          <w:color w:val="000000"/>
        </w:rPr>
        <w:t>表4-7累加三个情景种子的关系对象变化，恢复为新增真阳性，损失为初始真阳性消失；FP移除与新增分别计数。BR-J在AAEC和CDCP保留了96.30%和95.92%的初始关系真阳性。尽管总体关系F1提高，仍有42和86个文档与种子配对的关系F1下降，分别占17.50%和19.37%。因此，分项代理门不保证每篇文档的真实指标非下降；此处比例同样只是情景生成结果。</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联合修正中的关系恢复与原真阳性损失（估算情景）</w:t>
      </w:r>
      <w:bookmarkStart w:id="194" w:name="v14_194"/>
      <w:bookmarkEnd w:id="194"/>
    </w:p>
    <w:p>
      <w:pPr>
        <w:pStyle w:val="TableCaption"/>
      </w:pPr>
      <w:r>
        <w:rPr>
          <w:rFonts w:ascii="Times New Roman" w:hAnsi="Times New Roman" w:eastAsia="Songti SC"/>
          <w:color w:val="000000"/>
          <w:sz w:val="21"/>
        </w:rPr>
        <w:t>表4-8 推理成本与预算取舍（估算情景）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0.49个百分点。局部与全局的质量差异和TP保留须分别查看表4-3及表4-7，不能预设局部更安全。BR-J求解仅占总时间的5.00%和5.67%，主要成本仍在生成与评分。上述数值是设定成本下的算术关系，不支持突出的效率优势；采用判断须按附录H.3实测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为将机制说明连接到实际模型错误，记录AM-LUNA-20261010-001在AAEC与CDCP各8篇训练侧文档上生成预测，冻结候选和评分后执行BRJ-lite及RelationOnly。BRJ-lite是依赖闭合思想的轻量试验实现，候选来自同一回答中的两个图及标点边界变体，评分采用新上下文gpt-5.6-luna的启发式置信度。该模型未进行本文的专项适配、增强或成对训练，故结果不作为表4-3中完整BR-J的实测替代。样本、预算、实现差异及复算入口见D.7—D.9。</w:t>
      </w:r>
    </w:p>
    <w:p>
      <w:pPr>
        <w:pStyle w:val="TableCaption"/>
      </w:pPr>
      <w:r>
        <w:rPr>
          <w:rFonts w:ascii="Times New Roman" w:hAnsi="Times New Roman" w:eastAsia="Songti SC"/>
          <w:color w:val="000000"/>
          <w:sz w:val="21"/>
        </w:rPr>
        <w:t>表4-9 Luna训练侧小样本的严格抽取结果（真实运行）</w:t>
      </w:r>
      <w:bookmarkStart w:id="230" w:name="v9_real_230"/>
      <w:bookmarkEnd w:id="23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516"/>
        <w:gridCol w:w="2842"/>
        <w:gridCol w:w="1894"/>
        <w:gridCol w:w="2652"/>
      </w:tblGrid>
      <w:tr>
        <w:trPr>
          <w:cantSplit/>
          <w:tblHeader/>
        </w:trPr>
        <w:tc>
          <w:tcPr>
            <w:tcW w:type="dxa" w:w="151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84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189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6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151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84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89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2.41</w:t>
            </w:r>
          </w:p>
        </w:tc>
        <w:tc>
          <w:tcPr>
            <w:tcW w:type="dxa" w:w="265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51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84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9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2.41</w:t>
            </w:r>
          </w:p>
        </w:tc>
        <w:tc>
          <w:tcPr>
            <w:tcW w:type="dxa" w:w="265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51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84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89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32.65</w:t>
            </w:r>
          </w:p>
        </w:tc>
        <w:tc>
          <w:tcPr>
            <w:tcW w:type="dxa" w:w="265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2.82</w:t>
            </w:r>
          </w:p>
        </w:tc>
      </w:tr>
      <w:tr>
        <w:trPr>
          <w:cantSplit/>
        </w:trPr>
        <w:tc>
          <w:tcPr>
            <w:tcW w:type="dxa" w:w="151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84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89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40.96</w:t>
            </w:r>
          </w:p>
        </w:tc>
        <w:tc>
          <w:tcPr>
            <w:tcW w:type="dxa" w:w="265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5.71</w:t>
            </w:r>
          </w:p>
        </w:tc>
      </w:tr>
      <w:tr>
        <w:trPr>
          <w:cantSplit/>
        </w:trPr>
        <w:tc>
          <w:tcPr>
            <w:tcW w:type="dxa" w:w="151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84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9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40.96</w:t>
            </w:r>
          </w:p>
        </w:tc>
        <w:tc>
          <w:tcPr>
            <w:tcW w:type="dxa" w:w="2652"/>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51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84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89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38.10</w:t>
            </w:r>
          </w:p>
        </w:tc>
        <w:tc>
          <w:tcPr>
            <w:tcW w:type="dxa" w:w="26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r>
        <w:rPr>
          <w:rFonts w:ascii="Times New Roman" w:hAnsi="Times New Roman" w:eastAsia="Songti SC"/>
          <w:color w:val="000000"/>
        </w:rPr>
        <w:t>各语料均保留全部8篇文档，F1先汇总TP、FP、FN再计算；初始图由MCR选择，本次16篇均选择g0。AAEC新增30个正确组件、恢复2条正确关系，同时移除32条错误关系并新增58条错误关系；CDCP没有恢复正确关系，却损失了唯一一条初始真阳性。AAEC关系F1仅2篇提高、6篇不变，CDCP为1篇下降、7篇不变。未以这16篇训练侧样本作显著性或独立测试集泛化推断。</w:t>
      </w:r>
    </w:p>
    <w:p>
      <w:pPr>
        <w:pStyle w:val="TableCaption"/>
      </w:pPr>
      <w:r>
        <w:rPr>
          <w:rFonts w:ascii="Times New Roman" w:hAnsi="Times New Roman" w:eastAsia="Songti SC"/>
          <w:color w:val="000000"/>
          <w:sz w:val="21"/>
        </w:rPr>
        <w:t>表4-10 按固定取例规则选择的真实前后案例</w:t>
      </w:r>
      <w:bookmarkStart w:id="231" w:name="v9_real_231"/>
      <w:bookmarkEnd w:id="23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606"/>
        <w:gridCol w:w="2190"/>
        <w:gridCol w:w="1752"/>
        <w:gridCol w:w="3356"/>
      </w:tblGrid>
      <w:tr>
        <w:trPr>
          <w:cantSplit/>
          <w:tblHeader/>
        </w:trPr>
        <w:tc>
          <w:tcPr>
            <w:tcW w:type="dxa" w:w="160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9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观察类型</w:t>
            </w:r>
          </w:p>
        </w:tc>
        <w:tc>
          <w:tcPr>
            <w:tcW w:type="dxa" w:w="17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335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关键结果</w:t>
            </w:r>
          </w:p>
        </w:tc>
      </w:tr>
      <w:tr>
        <w:trPr>
          <w:cantSplit/>
        </w:trPr>
        <w:tc>
          <w:tcPr>
            <w:tcW w:type="dxa" w:w="160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078</w:t>
            </w:r>
          </w:p>
        </w:tc>
        <w:tc>
          <w:tcPr>
            <w:tcW w:type="dxa" w:w="219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端点调整后恢复</w:t>
            </w:r>
          </w:p>
        </w:tc>
        <w:tc>
          <w:tcPr>
            <w:tcW w:type="dxa" w:w="17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0→10.53</w:t>
            </w:r>
          </w:p>
        </w:tc>
        <w:tc>
          <w:tcPr>
            <w:tcW w:type="dxa" w:w="335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新增1个TP，终态仍有8个FP</w:t>
            </w:r>
          </w:p>
        </w:tc>
      </w:tr>
      <w:tr>
        <w:trPr>
          <w:cantSplit/>
        </w:trPr>
        <w:tc>
          <w:tcPr>
            <w:tcW w:type="dxa" w:w="160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01057</w:t>
            </w:r>
          </w:p>
        </w:tc>
        <w:tc>
          <w:tcPr>
            <w:tcW w:type="dxa" w:w="219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错误接受</w:t>
            </w:r>
          </w:p>
        </w:tc>
        <w:tc>
          <w:tcPr>
            <w:tcW w:type="dxa" w:w="17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33.33→0</w:t>
            </w:r>
          </w:p>
        </w:tc>
        <w:tc>
          <w:tcPr>
            <w:tcW w:type="dxa" w:w="335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低默认分使正确关系被删除</w:t>
            </w:r>
          </w:p>
        </w:tc>
      </w:tr>
      <w:tr>
        <w:trPr>
          <w:cantSplit/>
        </w:trPr>
        <w:tc>
          <w:tcPr>
            <w:tcW w:type="dxa" w:w="160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037</w:t>
            </w:r>
          </w:p>
        </w:tc>
        <w:tc>
          <w:tcPr>
            <w:tcW w:type="dxa" w:w="219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候选完整对象缺失</w:t>
            </w:r>
          </w:p>
        </w:tc>
        <w:tc>
          <w:tcPr>
            <w:tcW w:type="dxa" w:w="17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c>
          <w:tcPr>
            <w:tcW w:type="dxa" w:w="335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池中0／16条金标完整关系</w:t>
            </w:r>
          </w:p>
        </w:tc>
      </w:tr>
      <w:tr>
        <w:trPr>
          <w:cantSplit/>
        </w:trPr>
        <w:tc>
          <w:tcPr>
            <w:tcW w:type="dxa" w:w="160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00396</w:t>
            </w:r>
          </w:p>
        </w:tc>
        <w:tc>
          <w:tcPr>
            <w:tcW w:type="dxa" w:w="219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错误标签之间替换</w:t>
            </w:r>
          </w:p>
        </w:tc>
        <w:tc>
          <w:tcPr>
            <w:tcW w:type="dxa" w:w="17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c>
          <w:tcPr>
            <w:tcW w:type="dxa" w:w="335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代理增分，FP仍为1</w:t>
            </w:r>
          </w:p>
        </w:tc>
      </w:tr>
    </w:tbl>
    <w:p>
      <w:r>
        <w:rPr>
          <w:rFonts w:ascii="Times New Roman" w:hAnsi="Times New Roman" w:eastAsia="Songti SC"/>
          <w:color w:val="000000"/>
        </w:rPr>
        <w:t>取例规则为按关系F1的提高、下降、不变分组，在各语料组内取文档ID最小者；规则在输出评价前登记。AAEC无下降例，CDCP无提高例，不补造缺失类别。以下坐标为原文0起始半开字符区间，标签按原始运行记录保留大小写；它们区别于正文方法的token记号，可在原始标注中核对。</w:t>
      </w:r>
    </w:p>
    <w:p>
      <w:r>
        <w:rPr>
          <w:rFonts w:ascii="Times New Roman" w:hAnsi="Times New Roman" w:eastAsia="Songti SC"/>
          <w:color w:val="000000"/>
        </w:rPr>
        <w:t>（1）AAEC essay078：边界改变后重建完整关系。原文Premise [1766,1802)为“it may spur its economic development”，其支持Claim [1511,1587)“taking environmental consequences seriously can enhance working efficiencies”。初始c012和c010均多含句末句号，严格端点未命中；第62次尝试将c010换为c009，第83次再将c012换为c011，删除旧端点相关对象并重新选择关系，最终加入supports关系r0329。后一次组件效用增加0.12、关系效用增加0.24，满足分项门和严格总效用门。终态关系计数为1 TP、8 FP、9 FN，组件F1为50.00。该轨迹显示端点更新与关系重建实际发生，但没有单独标点规范化及分步对照，不能由此证明联合决策的必要性。</w:t>
      </w:r>
    </w:p>
    <w:p>
      <w:r>
        <w:rPr>
          <w:rFonts w:ascii="Times New Roman" w:hAnsi="Times New Roman" w:eastAsia="Songti SC"/>
          <w:color w:val="000000"/>
        </w:rPr>
        <w:t>（2）CDCP 01057：代理门通过却误删真关系。原文fact [139,178)为“The check either bounced or it did not.”，金标reason关系指向policy [0,138)：该段主张州法或联邦法应惩罚开出空头或已关闭账户的支票，并包含有罪推定。初始r0063完整匹配金标，但评分记录未给它覆写值，按预定规则取0.05，效用为−0.90。第0次尝试保持组件不变并删除该关系，组件效用差为0、关系效用差为+0.90，合法性和预算通过后提交，真实TP由1降为0。RelationOnly也丢失同一关系。此例将失败定位于评分输入及默认值处理，求解器遵守接受门本身不能保证语义正确。</w:t>
      </w:r>
    </w:p>
    <w:p>
      <w:r>
        <w:rPr>
          <w:rFonts w:ascii="Times New Roman" w:hAnsi="Times New Roman" w:eastAsia="Songti SC"/>
          <w:color w:val="000000"/>
        </w:rPr>
        <w:t>（3）AAEC essay037：固定候选限制恢复。池内仅覆盖2／21个正确组件，0／16条完整正确关系；修正后组件F1为13.79，关系仍为0 TP、8 FP、16 FN。由于完整金标关系均不在池中，延长当前求解时间也不能恢复它们。该例支持先核查完整对象覆盖，不能用于判断局部与全局求解器的相对能力。</w:t>
      </w:r>
    </w:p>
    <w:p>
      <w:r>
        <w:rPr>
          <w:rFonts w:ascii="Times New Roman" w:hAnsi="Times New Roman" w:eastAsia="Songti SC"/>
          <w:color w:val="000000"/>
        </w:rPr>
        <w:t>（4）CDCP 00396：增分不等于改对。该文档没有金标正关系，初始evidence关系为FP。修正以同端点的reason替换它，评分由0.88升至0.94，关系效用增加0.12，而FP仍为1。按零分母约定，两状态关系F1均为0；需要查看完整对象变化，才能识别这次错误标签之间的替换。</w:t>
      </w:r>
    </w:p>
    <w:p>
      <w:r>
        <w:rPr>
          <w:rFonts w:ascii="Times New Roman" w:hAnsi="Times New Roman" w:eastAsia="Songti SC"/>
          <w:color w:val="000000"/>
        </w:rPr>
        <w:t>这些案例给出的研究线索是：覆盖决定哪些完整对象可被选回，评分决定代理门会奖励什么，合法事务保证的是依赖与计费一致。三者均需检查，不能以合法提交代替真实恢复。AAEC恢复的30个组件中28个来自句末标点变体；唯一拆分发生在CDCP 00428，组件F1由50.00降至40.00，且本次没有合并提交。因此，本次试验尚未提供拆合或集合动作必要性的正向证据，也未关闭完整方法的受控比较缺口。</w:t>
      </w:r>
    </w:p>
    <w:p>
      <w:pPr>
        <w:pStyle w:val="Heading2"/>
      </w:pPr>
      <w:r>
        <w:t>4.7 本章小结</w:t>
      </w:r>
      <w:bookmarkStart w:id="95" w:name="v14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围绕RelationOnly、单对象动作和同目标全局求解展开，分别检验组件可变性、集合表达及所付成本。现有人工计数展示了比较口径；独立Luna试验补充了真实恢复、候选缺失与评分误改轨迹，但简化实现和小样本不足以确定完整方法的真实采用条件。预算函数留作附录中的条件分析，外部系统比较仍待按附录G接入；第五章继续讨论同批四格输出能回答和不能回答的问题。</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对象补全仅作为附录H.8的非唯一性示例，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两阶段组合的四格结果（估算情景）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79.88±0.53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52.47±0.43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bl>
    <w:p>
      <w:pPr>
        <w:spacing w:after="0" w:line="240" w:lineRule="auto"/>
      </w:pPr>
    </w:p>
    <w:p>
      <w:r>
        <w:rPr>
          <w:rFonts w:ascii="Times New Roman" w:hAnsi="Times New Roman" w:eastAsia="Songti SC"/>
          <w:color w:val="000000"/>
        </w:rPr>
        <w:t>完整组合相对T0＋I0的关系增量为8.62和9.33个百分点。令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条件增量与交互差（估算情景）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+0.41</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+0.48</w:t>
            </w:r>
          </w:p>
        </w:tc>
      </w:tr>
    </w:tbl>
    <w:p>
      <w:pPr>
        <w:spacing w:after="0" w:line="240" w:lineRule="auto"/>
      </w:pPr>
    </w:p>
    <w:p>
      <w:r>
        <w:rPr>
          <w:rFonts w:ascii="Times New Roman" w:hAnsi="Times New Roman" w:eastAsia="Songti SC"/>
          <w:color w:val="000000"/>
        </w:rPr>
        <w:t>AAEC关系交互差为+0.09，情景配对95%区间为[-1.05, +1.23]；CDCP为+0.48，区间为[-0.87, +1.81]。两者均包含0，因此组合增量与稳定超加性应分别判断。组件交互也仅描述条件总分的变化，不能据此确定两阶段改变的是哪些对象。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两个训练条件下的推理增量与交互关系（估算情景）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四格比较的净错误计数变化（估算情景）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+85／-83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+90／-86</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+169／-154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+150／-136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+154／-140</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+120／-114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+73／-71</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+123／-109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+124／-108</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+137／-123</w:t>
            </w:r>
          </w:p>
        </w:tc>
      </w:tr>
    </w:tbl>
    <w:p>
      <w:pPr>
        <w:spacing w:after="0" w:line="240" w:lineRule="auto"/>
      </w:pPr>
    </w:p>
    <w:p>
      <w:r>
        <w:rPr>
          <w:rFonts w:ascii="Times New Roman" w:hAnsi="Times New Roman" w:eastAsia="Songti SC"/>
          <w:color w:val="000000"/>
        </w:rPr>
        <w:t>AAEC在T1下修正的关系净TP增加154，T0下为150；CDCP相应为137与124。训练后剩余修正空间的变化须按语料分别解释。表4-7中BR-J的恢复减损失分别为232−78、195−58，恰好对应上述净增量；图4-3并列保留两类数量。</w:t>
      </w:r>
    </w:p>
    <w:p>
      <w:r>
        <w:rPr>
          <w:rFonts w:ascii="Times New Roman" w:hAnsi="Times New Roman" w:eastAsia="Songti SC"/>
          <w:color w:val="000000"/>
        </w:rPr>
        <w:t>上述净变化不确定共同修复、独有修复或损害的对象身份。同一组四格TP、FP、FN可对应不同的新增对象交集；附录H.8沿用旧情景的四格成绩及风险计数构造不同重叠，说明这一不可识别性；其具体范围不移用于本版主表。正式分析需从同文档预测中对齐原文坐标、类型及完整关系键，才能报告具体改对或改错了什么。</w:t>
      </w:r>
    </w:p>
    <w:p>
      <w:pPr>
        <w:spacing w:line="380" w:lineRule="exact"/>
      </w:pPr>
      <w:r>
        <w:rPr>
          <w:rFonts w:ascii="Times New Roman" w:hAnsi="Times New Roman" w:eastAsia="Songti SC"/>
          <w:color w:val="000000"/>
          <w:sz w:val="22"/>
        </w:rPr>
        <w:t>既存CPU诊断的对象复算提供了一个有限观察：AAEC禁删除对照净增3个正确组件、净减3个错误组件，但同时新增30个错误对象并移除33个错误对象（表D-6）。净改善因此仍可能伴随错误对象之间的替换。该观察只属于弱模型的单阶段组件诊断。Luna试验还呈现AAEC组件FP净变化为0、实际新增和移除FP却各34个，以及CDCP 00396的错误关系标签替换（4.6.7及D.8）。两类运行共同说明净计数会隐藏对象更替；它们都不是同批训练四格输出，尚不能解释两阶段互补性。</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CDCP完整关系的源成员数分组（估算情景）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57.91±0.54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57.55±0.80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62.11±0.73</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46.62±1.27</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47.09±0.09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51.93±0.81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36.11±4.29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36.92±3.62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43.80±3.14</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相对共同起点的关系增量与在线额外时间（估算情景）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AAEC的T1＋I0关系F1比T0＋I1高0.51个百分点，在线平均时间少13.00秒；CDCP则低0.02个百分点，在线时间少21.16秒。后者在该情景中呈现近乎相同的质量与不同的时间，不能沿用旧版“两语料质量均更高”的结论。该比较以训练检查点已经可用为前提，不能直接回答重训或训练摊销条件下的总体选择。</w:t>
      </w:r>
    </w:p>
    <w:p>
      <w:r>
        <w:rPr>
          <w:rFonts w:ascii="Times New Roman" w:hAnsi="Times New Roman" w:eastAsia="Songti SC"/>
          <w:color w:val="000000"/>
        </w:rPr>
        <w:t>在T1上增加I1，关系F1的情景增量为4.10和4.91个百分点，在线时间增加14.00秒和22.16秒，并仍可能误改。是否采用组合应结合目标错误、质量收益与在线代价判断；实际部署还须检查尾延迟、失败及局部和全局求解取舍。</w:t>
      </w:r>
    </w:p>
    <w:p>
      <w:pPr>
        <w:pStyle w:val="Heading2"/>
      </w:pPr>
      <w:r>
        <w:t>5.4 本章小结</w:t>
      </w:r>
      <w:bookmarkStart w:id="100" w:name="v14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本章配置比较仅回答训练完成后的在线取舍，不推算训练投入的摊销条件。这三个问题共同规定综合分析的职责，正式结果须来自同批可追溯输出，不由相容对象补全代替独立发现。</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Luna小样本则记录了端点重建及评分误删的实际过程；局部与全局的真实优先级尚未确定，允许依据运行结果简化求解设计。</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正文主比较、增强审计判断和设定成本仍为估算情景，训练侧增强、成对学习、人工语义审阅及同目标局部／全局比较尚未完成。附录D.3保留真实CPU诊断；4.6.7及D.7—D.9补充16篇Luna真实预测、32个文档策略运行及局部ILP轨迹。后者采用训练侧样本、标点补充池和未校准的同型号评分，不能替代正式目标模型的完整实现。实际求解已在轻量实现中执行，完整训练到推理链路、超时及提交失败分支仍须另外验收。主成绩、模板筛选、预算函数和对象补全使用不同生成机制；它们分别演示评价、指标阅读、条件分析和不可识别性，不组成已闭合的研究证据链。正文不再使用具名外部方法的假想成绩。</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1011-v9，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spacing w:line="380" w:lineRule="exact"/>
      </w:pPr>
      <w:r>
        <w:rPr>
          <w:rFonts w:ascii="Times New Roman" w:hAnsi="Times New Roman" w:eastAsia="Songti SC"/>
          <w:color w:val="000000"/>
          <w:sz w:val="22"/>
        </w:rPr>
        <w:t>附录D.3另以research_0920/results中的既存运行清单、候选预测与编辑记录为输入，由_revision_1010_v8/analyze_saved_diagnostics.py复算；diagnostic_supplement.json保存输入哈希、判定口径和汇总，六份diagnostic_*.csv保存文档错误、端点、覆盖、提议、策略及对象变化统计。该入口不生成第三至第五章的估算计数，也不进行模型训练或求解。</w:t>
      </w:r>
    </w:p>
    <w:p>
      <w:pPr>
        <w:spacing w:line="380" w:lineRule="exact"/>
      </w:pPr>
      <w:r>
        <w:rPr>
          <w:rFonts w:ascii="Times New Roman" w:hAnsi="Times New Roman" w:eastAsia="Songti SC"/>
          <w:color w:val="000000"/>
          <w:sz w:val="22"/>
        </w:rPr>
        <w:t>真实案例的独立入口为research_1010_v7_luna。protocol.json、sample_manifest.json及model_dispatch_manifest.json记录试验身份、样本和模型任务；candidate_pools.json与scoring_protocol.json固定候选及评分。results/run_001保存输入／输出冻结哈希及32份逐步轨迹，results/evaluation_001保存严格计数、对象差集和独立审核。逐例原文、原生标注及前后图见1011_v7_Luna逐例标注与修正轨迹.md。本文按这些既存记录整合案例，未新增模型调用、训练或求解运行。</w:t>
      </w:r>
    </w:p>
    <w:p>
      <w:pPr>
        <w:pStyle w:val="Heading2"/>
      </w:pPr>
      <w:r>
        <w:t>A.6 序列化、坐标与候选构造细则</w:t>
      </w:r>
      <w:bookmarkStart w:id="112" w:name="v14_112"/>
      <w:bookmarkEnd w:id="112"/>
    </w:p>
    <w:p>
      <w:pPr>
        <w:spacing w:line="33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3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3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3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3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本节补充统计来自2026年9月20日已经完成的CPU轻量诊断。此次读取原始语料压缩包、固定划分、182篇审计文档的候选预测及38928条编辑提议，核对文本哈希后复算；未重新拟合模型、调用目标大模型或执行ILP。AAEC的66篇文档对应64个全文哈希组，CDCP的116篇对应116组。下列观察仅描述该次弱模型运行，不并入第三至第五章的估算主表，也不替代目标模型诊断。</w:t>
      </w:r>
    </w:p>
    <w:p>
      <w:pPr>
        <w:spacing w:line="380" w:lineRule="exact"/>
      </w:pPr>
      <w:r>
        <w:rPr>
          <w:rFonts w:ascii="Times New Roman" w:hAnsi="Times New Roman" w:eastAsia="Songti SC"/>
          <w:color w:val="000000"/>
          <w:sz w:val="22"/>
        </w:rPr>
        <w:t>初始组件先匹配跨度与类型均正确的对象，再匹配同跨度异类型对象；剩余对象按token交并比不低于0.5、交并比降序及坐标类型键破同分进行一对一贪心配对。该事后描述规则沿用H.1的诊断口径，不改变严格评价。边界配对又按类型是否相同分开；未配对项只表示在本规则下未匹配，不能直接认定为独立的遗漏或多检成因。</w:t>
      </w:r>
    </w:p>
    <w:p>
      <w:pPr>
        <w:pStyle w:val="TableCaption"/>
      </w:pPr>
      <w:r>
        <w:rPr>
          <w:rFonts w:ascii="Times New Roman" w:hAnsi="Times New Roman" w:eastAsia="Songti SC"/>
          <w:color w:val="000000"/>
          <w:sz w:val="21"/>
        </w:rPr>
        <w:t>表D-1 初始组件的错误配对分解（既存CPU诊断）</w:t>
      </w:r>
      <w:bookmarkStart w:id="224" w:name="v8_diagnostic_224"/>
      <w:bookmarkEnd w:id="22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66"/>
        <w:gridCol w:w="1619"/>
        <w:gridCol w:w="1619"/>
      </w:tblGrid>
      <w:tr>
        <w:trPr>
          <w:cantSplit/>
          <w:tblHeader/>
        </w:trPr>
        <w:tc>
          <w:tcPr>
            <w:tcW w:type="dxa" w:w="56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计数项目</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严格跨度与类型命中</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同跨度异类型配对</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边界差异且类型相同</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边界与类型均有差异</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未配对金标组件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未配对预测组件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904</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2365</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金标组件总数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723</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初始预测组件总数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r>
    </w:tbl>
    <w:p>
      <w:pPr>
        <w:spacing w:line="380" w:lineRule="exact"/>
      </w:pPr>
      <w:r>
        <w:rPr>
          <w:rFonts w:ascii="Times New Roman" w:hAnsi="Times New Roman" w:eastAsia="Songti SC"/>
          <w:color w:val="000000"/>
          <w:sz w:val="22"/>
        </w:rPr>
        <w:t>表D-1中，严格命中、三类错误配对及未配对金标之和等于金标总数；将末项换成未配对预测，则等于预测总数。每个错误配对同时贡献一个FP和一个FN，不能把两者当作两次独立事件。由此还原的AAEC计数为TP=340、FP=1349、FN=646，CDCP为86、2708、637。</w:t>
      </w:r>
    </w:p>
    <w:p>
      <w:pPr>
        <w:spacing w:line="380" w:lineRule="exact"/>
      </w:pPr>
      <w:r>
        <w:rPr>
          <w:rFonts w:ascii="Times New Roman" w:hAnsi="Times New Roman" w:eastAsia="Songti SC"/>
          <w:color w:val="000000"/>
          <w:sz w:val="22"/>
        </w:rPr>
        <w:t>按原生金标关系检查初始端点，AAEC的627条关系中，全部端点跨度和类型正确的有43条（6.86%），跨度齐全但至少一个类型错误的有116条（18.50%），至少一个跨度缺失的有468条（74.64%）；CDCP的200条对应4条（2.00%）、1条（0.50%）、195条（97.50%）。CDCP其中19条为多前提关系。这一互斥分组仅检查端点条件，没有判断关系标签和方向是否预测正确；低正确率也反映弱模型的过度分割，不能外推为目标LLM的错误比例。</w:t>
      </w:r>
    </w:p>
    <w:p>
      <w:pPr>
        <w:spacing w:line="380" w:lineRule="exact"/>
      </w:pPr>
      <w:r>
        <w:rPr>
          <w:rFonts w:ascii="Times New Roman" w:hAnsi="Times New Roman" w:eastAsia="Songti SC"/>
          <w:color w:val="000000"/>
          <w:sz w:val="22"/>
        </w:rPr>
        <w:t>候选覆盖按保存的跨度排序依次截取0、64、128、256、512个补充位置，与初始跨度去重合并。精确跨度覆盖的分母为986／723个金标组件，全部端点跨度覆盖的分母为627／200条原生关系；两者均不要求候选类型或关系标签正确。候选均值和P95按文档计算，有向对均值逐文档按n(n−1)计算后取均值，表示未施加类型及合法性约束的二元组合规模，不是实际评分对象数或实测耗时。</w:t>
      </w:r>
    </w:p>
    <w:p>
      <w:pPr>
        <w:pStyle w:val="TableCaption"/>
      </w:pPr>
      <w:r>
        <w:rPr>
          <w:rFonts w:ascii="Times New Roman" w:hAnsi="Times New Roman" w:eastAsia="Songti SC"/>
          <w:color w:val="000000"/>
          <w:sz w:val="21"/>
        </w:rPr>
        <w:t>表D-2 补充跨度预算与候选覆盖（既存CPU诊断）</w:t>
      </w:r>
      <w:bookmarkStart w:id="225" w:name="v8_diagnostic_225"/>
      <w:bookmarkEnd w:id="22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086"/>
        <w:gridCol w:w="1158"/>
        <w:gridCol w:w="1448"/>
        <w:gridCol w:w="1448"/>
        <w:gridCol w:w="2244"/>
        <w:gridCol w:w="1520"/>
      </w:tblGrid>
      <w:tr>
        <w:trPr>
          <w:cantSplit/>
          <w:tblHeader/>
        </w:trPr>
        <w:tc>
          <w:tcPr>
            <w:tcW w:type="dxa" w:w="108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1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补充上限</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跨度覆盖%</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端点覆盖%</w:t>
            </w:r>
          </w:p>
        </w:tc>
        <w:tc>
          <w:tcPr>
            <w:tcW w:type="dxa" w:w="22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候选均值／P95</w:t>
            </w:r>
          </w:p>
        </w:tc>
        <w:tc>
          <w:tcPr>
            <w:tcW w:type="dxa" w:w="15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有向对均值</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42.49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25.36</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25.59／35.75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90.16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87.72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89.59／99.75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7968</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95.84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95.22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153.59／163.75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23467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97.57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97.45</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281.59／291.75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79043</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99.04</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537.59／547.75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288497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15.77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24.09／57.50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894</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94.19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88.09／121.50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8009</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96.82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151.74／185.50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23240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278.41／313.50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77887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98.89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526.66／569.50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280216</w:t>
            </w:r>
          </w:p>
        </w:tc>
      </w:tr>
    </w:tbl>
    <w:p>
      <w:pPr>
        <w:spacing w:line="380" w:lineRule="exact"/>
      </w:pPr>
      <w:r>
        <w:rPr>
          <w:rFonts w:ascii="Times New Roman" w:hAnsi="Times New Roman" w:eastAsia="Songti SC"/>
          <w:color w:val="000000"/>
          <w:sz w:val="22"/>
        </w:rPr>
        <w:t>从128增至512个补充跨度，AAEC覆盖增加28个组件，CDCP增加15个；对应二元有向组合均值约由2.35万／2.32万升至28.85万／28.02万。该统计展示覆盖与组合规模之间的取舍，但没有测量这些组合的实际枚举、完整超边评分或求解成本；第四章候选保护和裁剪前资源诊断仍须按目标实现执行。</w:t>
      </w:r>
    </w:p>
    <w:p>
      <w:pPr>
        <w:spacing w:line="380" w:lineRule="exact"/>
      </w:pPr>
      <w:r>
        <w:rPr>
          <w:rFonts w:ascii="Times New Roman" w:hAnsi="Times New Roman" w:eastAsia="Songti SC"/>
          <w:color w:val="000000"/>
          <w:sz w:val="22"/>
        </w:rPr>
        <w:t>候选入池与一步可达进一步分开。这里的“初始跨度缺失”不含同跨度异类型；在128补充池内，逐个遗漏金标跨度统计它与当前预测组件的重叠数，并在保存的编辑提议中查找该完整类型对象。原诊断仅允许插入，或替换至多一个冲突旧组件；与两个及以上旧组件重叠时不会枚举该加入动作。下表尚未检查接受阈值、关系重建及多步路径，不能视作最终恢复率。</w:t>
      </w:r>
    </w:p>
    <w:p>
      <w:pPr>
        <w:pStyle w:val="TableCaption"/>
      </w:pPr>
      <w:r>
        <w:rPr>
          <w:rFonts w:ascii="Times New Roman" w:hAnsi="Times New Roman" w:eastAsia="Songti SC"/>
          <w:color w:val="000000"/>
          <w:sz w:val="21"/>
        </w:rPr>
        <w:t>表D-3 已入池遗漏跨度的一步动作限制（既存CPU诊断）</w:t>
      </w:r>
      <w:bookmarkStart w:id="226" w:name="v8_diagnostic_226"/>
      <w:bookmarkEnd w:id="22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59"/>
        <w:gridCol w:w="1644"/>
        <w:gridCol w:w="1438"/>
        <w:gridCol w:w="1644"/>
        <w:gridCol w:w="1438"/>
        <w:gridCol w:w="1781"/>
      </w:tblGrid>
      <w:tr>
        <w:trPr>
          <w:cantSplit/>
          <w:tblHeader/>
        </w:trPr>
        <w:tc>
          <w:tcPr>
            <w:tcW w:type="dxa" w:w="95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初始跨度缺失</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进入128池</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重叠至少2项</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一步可加入</w:t>
            </w:r>
          </w:p>
        </w:tc>
        <w:tc>
          <w:tcPr>
            <w:tcW w:type="dxa" w:w="178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可加入／入池%</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268</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49.05</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609</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530</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9.56</w:t>
            </w:r>
          </w:p>
        </w:tc>
      </w:tr>
    </w:tbl>
    <w:p>
      <w:pPr>
        <w:spacing w:line="380" w:lineRule="exact"/>
      </w:pPr>
      <w:r>
        <w:rPr>
          <w:rFonts w:ascii="Times New Roman" w:hAnsi="Times New Roman" w:eastAsia="Songti SC"/>
          <w:color w:val="000000"/>
          <w:sz w:val="22"/>
        </w:rPr>
        <w:t>AAEC入池的526个遗漏跨度中，268个（50.95%）受到上述一步动作限制；CDCP为530／586（90.44%）。这支持在该弱模型诊断中继续检查集合动作，但未证明目标LLM存在相同规模，也未证明BR-J能够合法恢复这些对象。仅扩大候选池不会自动解除当前动作的重叠限制。</w:t>
      </w:r>
    </w:p>
    <w:p>
      <w:pPr>
        <w:spacing w:line="380" w:lineRule="exact"/>
      </w:pPr>
      <w:r>
        <w:rPr>
          <w:rFonts w:ascii="Times New Roman" w:hAnsi="Times New Roman" w:eastAsia="Songti SC"/>
          <w:color w:val="000000"/>
          <w:sz w:val="22"/>
        </w:rPr>
        <w:t>全部38928条编辑提议均依据保存的修改前后对象与金标重新计算TP、FP、FN和逐文档F1，复算值与原记录一致。表D-4的“升／平／降”按逐文档F1变化定义；“平”不等于对象完全不变，也不等于对汇总micro-F1没有影响。提议来自同一批文档且相互依赖，因此以下是组成统计，不能将提议条数当作独立样本量。</w:t>
      </w:r>
    </w:p>
    <w:p>
      <w:pPr>
        <w:pStyle w:val="TableCaption"/>
      </w:pPr>
      <w:r>
        <w:rPr>
          <w:rFonts w:ascii="Times New Roman" w:hAnsi="Times New Roman" w:eastAsia="Songti SC"/>
          <w:color w:val="000000"/>
          <w:sz w:val="21"/>
        </w:rPr>
        <w:t>表D-4 全部编辑提议的逐文档效果组成（既存CPU诊断）</w:t>
      </w:r>
      <w:bookmarkStart w:id="227" w:name="v8_diagnostic_227"/>
      <w:bookmarkEnd w:id="22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585"/>
        <w:gridCol w:w="1508"/>
        <w:gridCol w:w="1221"/>
        <w:gridCol w:w="1221"/>
        <w:gridCol w:w="1221"/>
        <w:gridCol w:w="1148"/>
      </w:tblGrid>
      <w:tr>
        <w:trPr>
          <w:cantSplit/>
          <w:tblHeader/>
        </w:trPr>
        <w:tc>
          <w:tcPr>
            <w:tcW w:type="dxa" w:w="258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语料与动作</w:t>
            </w:r>
          </w:p>
        </w:tc>
        <w:tc>
          <w:tcPr>
            <w:tcW w:type="dxa" w:w="150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提议数</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F1升</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F1平</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F1降</w:t>
            </w:r>
          </w:p>
        </w:tc>
        <w:tc>
          <w:tcPr>
            <w:tcW w:type="dxa" w:w="11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升%</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1187</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2.29</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78.63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7857</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2949</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49.71</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11176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10804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0.25</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10810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8674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0.52</w:t>
            </w:r>
          </w:p>
        </w:tc>
      </w:tr>
    </w:tbl>
    <w:p>
      <w:pPr>
        <w:spacing w:line="380" w:lineRule="exact"/>
      </w:pPr>
      <w:r>
        <w:rPr>
          <w:rFonts w:ascii="Times New Roman" w:hAnsi="Times New Roman" w:eastAsia="Songti SC"/>
          <w:color w:val="000000"/>
          <w:sz w:val="22"/>
        </w:rPr>
        <w:t>非删除提议中，AAEC有益提议为337／12459（2.70%），CDCP为84／21986（0.38%）；分别有65／66篇和52／116篇文档至少存在一个此类提议。较多文档存在可改善提议，并不意味着评分器能选中它。CDCP没有插入提议，是该次初始分割与动作冲突规则共同形成的观察，不能据此判断真实文本不存在遗漏组件。</w:t>
      </w:r>
    </w:p>
    <w:p>
      <w:pPr>
        <w:spacing w:line="380" w:lineRule="exact"/>
      </w:pPr>
      <w:r>
        <w:rPr>
          <w:rFonts w:ascii="Times New Roman" w:hAnsi="Times New Roman" w:eastAsia="Songti SC"/>
          <w:color w:val="000000"/>
          <w:sz w:val="22"/>
        </w:rPr>
        <w:t>策略复算固定原校准阈值4.0，不在审计文档上重新选阈值。主策略允许删除；禁用删除对照在其他保存提议中重新选择最高分且超过同一阈值的一项，每篇至多接受一次。置信区间是本次事后重分析：按全文哈希组配对重采样2000次，种子10108，每次汇总计数后计算micro-F1。AAEC的重复文本共同抽取；区间仅反映这一次已保存模型的文档组不确定性，不包含重训种子变化，也不是多个比较校正后的确认性检验。</w:t>
      </w:r>
    </w:p>
    <w:p>
      <w:pPr>
        <w:pStyle w:val="TableCaption"/>
      </w:pPr>
      <w:r>
        <w:rPr>
          <w:rFonts w:ascii="Times New Roman" w:hAnsi="Times New Roman" w:eastAsia="Songti SC"/>
          <w:color w:val="000000"/>
          <w:sz w:val="21"/>
        </w:rPr>
        <w:t>表D-5 固定阈值策略的组件效果（既存CPU诊断）</w:t>
      </w:r>
      <w:bookmarkStart w:id="228" w:name="v8_diagnostic_228"/>
      <w:bookmarkEnd w:id="22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26"/>
        <w:gridCol w:w="917"/>
        <w:gridCol w:w="2030"/>
        <w:gridCol w:w="1178"/>
        <w:gridCol w:w="917"/>
        <w:gridCol w:w="1636"/>
      </w:tblGrid>
      <w:tr>
        <w:trPr>
          <w:cantSplit/>
          <w:tblHeader/>
        </w:trPr>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接受数</w:t>
            </w:r>
          </w:p>
        </w:tc>
        <w:tc>
          <w:tcPr>
            <w:tcW w:type="dxa" w:w="203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1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ΔF1</w:t>
            </w:r>
          </w:p>
        </w:tc>
        <w:tc>
          <w:tcPr>
            <w:tcW w:type="dxa" w:w="16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95%区间</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340／1349／646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25.42</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340／1283／646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+0.64</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[+0.58, +0.71]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343／1346／643</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25.64</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+0.22</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+0.51]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86／2593／637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[+0.12, +0.23]</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+0.00]</w:t>
            </w:r>
          </w:p>
        </w:tc>
      </w:tr>
    </w:tbl>
    <w:p>
      <w:pPr>
        <w:spacing w:line="380" w:lineRule="exact"/>
      </w:pPr>
      <w:r>
        <w:rPr>
          <w:rFonts w:ascii="Times New Roman" w:hAnsi="Times New Roman" w:eastAsia="Songti SC"/>
          <w:color w:val="000000"/>
          <w:sz w:val="22"/>
        </w:rPr>
        <w:t>AAEC主策略的组件F1由25.42升至26.06，CDCP由4.89升至5.06；接受的66／115次操作均为删除。禁用删除后，AAEC接受32次换跨度与1次换类型，新增3个严格正确对象，F1提高0.22个百分点且区间包含0；CDCP没有提议超过同一阈值。该对照没有重新校准，回答的是在原评分和阈值下移除删除选项的结果，不是禁用删除方案经独立调优后的最佳性能。</w:t>
      </w:r>
    </w:p>
    <w:p>
      <w:pPr>
        <w:pStyle w:val="TableCaption"/>
      </w:pPr>
      <w:r>
        <w:rPr>
          <w:rFonts w:ascii="Times New Roman" w:hAnsi="Times New Roman" w:eastAsia="Songti SC"/>
          <w:color w:val="000000"/>
          <w:sz w:val="21"/>
        </w:rPr>
        <w:t>表D-6 修改前后的严格组件对象变化（既存CPU诊断）</w:t>
      </w:r>
      <w:bookmarkStart w:id="229" w:name="v8_diagnostic_229"/>
      <w:bookmarkEnd w:id="22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3"/>
        <w:gridCol w:w="1535"/>
        <w:gridCol w:w="1535"/>
        <w:gridCol w:w="1535"/>
        <w:gridCol w:w="1536"/>
      </w:tblGrid>
      <w:tr>
        <w:trPr>
          <w:cantSplit/>
          <w:tblHeader/>
        </w:trPr>
        <w:tc>
          <w:tcPr>
            <w:tcW w:type="dxa" w:w="276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新增错误</w:t>
            </w:r>
          </w:p>
        </w:tc>
        <w:tc>
          <w:tcPr>
            <w:tcW w:type="dxa" w:w="15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移除错误</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line="380" w:lineRule="exact"/>
      </w:pPr>
      <w:r>
        <w:rPr>
          <w:rFonts w:ascii="Times New Roman" w:hAnsi="Times New Roman" w:eastAsia="Songti SC"/>
          <w:color w:val="000000"/>
          <w:sz w:val="22"/>
        </w:rPr>
        <w:t>表D-6按文档内的完整跨度与类型键比较前后集合，新增／损失正确对象之差等于ΔTP，新增／移除错误对象之差等于ΔFP。主策略没有新增正确对象，也未损失原有正确对象，收益来自移除66／115个错误预测；AAEC禁删除对照虽然净增3个TP、净减3个FP，同时新增30个错误对象并移除33个错误对象。因而净成绩改善不能解释为每次修改都正确，单看净FP也会隐藏错误对象之间的替换。这里仅分析单次CPU诊断的组件，不承担第五章目标模型四格互补性的证据作用。</w:t>
      </w:r>
    </w:p>
    <w:p>
      <w:pPr>
        <w:spacing w:line="380" w:lineRule="exact"/>
      </w:pPr>
      <w:r>
        <w:rPr>
          <w:rFonts w:ascii="Times New Roman" w:hAnsi="Times New Roman" w:eastAsia="Songti SC"/>
          <w:color w:val="000000"/>
          <w:sz w:val="22"/>
        </w:rPr>
        <w:t>运行清单记载该次诊断使用Python 3.9.6、NumPy 1.26.4、SciPy 1.13.1和scikit-learn 1.6.1，在arm64 CPU上单线程执行，完整诊断耗时29.03秒；此时间包含两语料的诊断流程，不能换算为本文系统的单文档推理延迟。此次校验了语料压缩包、分组划分、程序及协议哈希，并精确重放两语料的两项固定阈值策略。新增复算脚本和逐文档统计与原始运行分开保存，记录入口见A.5。</w:t>
      </w:r>
    </w:p>
    <w:p>
      <w:pPr>
        <w:spacing w:line="380" w:lineRule="exact"/>
      </w:pPr>
      <w:r>
        <w:rPr>
          <w:rFonts w:ascii="Times New Roman" w:hAnsi="Times New Roman" w:eastAsia="Songti SC"/>
          <w:color w:val="000000"/>
          <w:sz w:val="22"/>
        </w:rPr>
        <w:t>上述补充提供了真实但有限的诊断依据：当前弱模型存在显著端点问题、入池后的动作限制，以及评分选择与潜在有益提议的差距。该模型与目标LLM的误差分布不同，关系评分又给定金标端点且限单前提；本节没有验证关系监督保持、完整关系重建、局部相对全局的采用价值或目标模型的四格对象作用。D.7—D.9及4.6.7另提供Luna同文档前后案例；样本来自本诊断划分的子集，模型及运行身份分开，不能相加为198篇独立诊断文档。软件可运行、形式性质成立与目标任务效果有效仍须分别验收。</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2"/>
      </w:pPr>
      <w:r>
        <w:t>D.7 Luna真实试验的条件与来源</w:t>
      </w:r>
      <w:bookmarkStart w:id="232" w:name="v9_real_232"/>
      <w:bookmarkEnd w:id="232"/>
    </w:p>
    <w:p>
      <w:pPr>
        <w:spacing w:line="380" w:lineRule="exact"/>
      </w:pPr>
      <w:r>
        <w:rPr>
          <w:rFonts w:ascii="Times New Roman" w:hAnsi="Times New Roman" w:eastAsia="Songti SC"/>
          <w:color w:val="000000"/>
          <w:sz w:val="22"/>
        </w:rPr>
        <w:t>试验AM-LUNA-20261010-001实际执行于上海时间2026年10月10日至11日。每语料按文本长度四分位分层，每层按固定SHA-256顺序取2篇，共16篇；使用已有官方训练侧审计划分，不读取官方测试集。全部16篇与D.3的182篇按文档ID和全文哈希对应，为其子集。AAEC原始训练文件在本地读取为322篇，CDCP沿用排除00411后580篇的记录；该身份不改写表2-2的参考配置。模型可能在预训练时接触公开语料，未作污染排查。</w:t>
      </w:r>
    </w:p>
    <w:p>
      <w:pPr>
        <w:spacing w:line="380" w:lineRule="exact"/>
      </w:pPr>
      <w:r>
        <w:rPr>
          <w:rFonts w:ascii="Times New Roman" w:hAnsi="Times New Roman" w:eastAsia="Songti SC"/>
          <w:color w:val="000000"/>
          <w:sz w:val="22"/>
        </w:rPr>
        <w:t>请求模型为gpt-5.6-luna，reasoning effort为low；实际快照、温度、采样种子和token数未由调度工具暴露，保持未记录。两项预测任务分别处理两语料，每篇在同一回答中给出g0、g1，不视为独立抽样；另三项任务在新上下文中评分。五项任务不是五次底层API调用，生成与评分仍属同型号模型，未证明误差独立。提示仅提供盲输入，评分及输出冻结后本地评价才读取金标；这是输入与指令层面的隔离，共享文件系统没有操作系统级访问封锁。</w:t>
      </w:r>
    </w:p>
    <w:p>
      <w:pPr>
        <w:spacing w:line="380" w:lineRule="exact"/>
      </w:pPr>
      <w:r>
        <w:rPr>
          <w:rFonts w:ascii="Times New Roman" w:hAnsi="Times New Roman" w:eastAsia="Songti SC"/>
          <w:color w:val="000000"/>
          <w:sz w:val="22"/>
        </w:rPr>
        <w:t>候选合并两图的带类型跨度，并按预定规则补充去句末标点的边界变体。二元槽位在兼容候选之间枚举，多源槽位来自生成图及其端点变体，没有穷举论文主协议的全部多源组合。210个组件均有显式评分；5404个完整关系中149个被显式覆写，其余5255个使用事前固定默认值0.05。这里的分数为启发式置信度，未训练、校准第四章的对象评分器。输入、评分、代码及预算均在金标评价前冻结，评价后不按结果改分或补候选。</w:t>
      </w:r>
    </w:p>
    <w:p>
      <w:pPr>
        <w:spacing w:line="380" w:lineRule="exact"/>
      </w:pPr>
      <w:r>
        <w:rPr>
          <w:rFonts w:ascii="Times New Roman" w:hAnsi="Times New Roman" w:eastAsia="Songti SC"/>
          <w:color w:val="000000"/>
          <w:sz w:val="22"/>
        </w:rPr>
        <w:t>两种修正策略使用同一合法初始图、候选池、评分及评价器。每个事务最多3个组件编辑，累计组件／关系编辑上限24／96；每轮至多32次尝试、3次接受，共4轮，批长6。组件与关系的错误代价及权重均为1，严格总效用门为0.01；允许空图，不加无环约束。实际使用SciPy 1.13.1的HiGHS MILP，单线程、每调用上限0.25秒，逐文档累计求解上限AAEC 3秒、CDCP 5秒。RelationOnly保持组件集合固定。</w:t>
      </w:r>
    </w:p>
    <w:p>
      <w:pPr>
        <w:pStyle w:val="Heading2"/>
      </w:pPr>
      <w:r>
        <w:t>D.8 完整对象计数与逐文档结果</w:t>
      </w:r>
      <w:bookmarkStart w:id="233" w:name="v9_real_233"/>
      <w:bookmarkEnd w:id="233"/>
    </w:p>
    <w:p>
      <w:pPr>
        <w:pStyle w:val="TableCaption"/>
      </w:pPr>
      <w:r>
        <w:rPr>
          <w:rFonts w:ascii="Times New Roman" w:hAnsi="Times New Roman" w:eastAsia="Songti SC"/>
          <w:color w:val="000000"/>
          <w:sz w:val="21"/>
        </w:rPr>
        <w:t>表D-7 Luna试验的完整组件与关系计数（真实运行）</w:t>
      </w:r>
      <w:bookmarkStart w:id="234" w:name="v9_real_234"/>
      <w:bookmarkEnd w:id="23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54"/>
        <w:gridCol w:w="2144"/>
        <w:gridCol w:w="2803"/>
        <w:gridCol w:w="2803"/>
      </w:tblGrid>
      <w:tr>
        <w:trPr>
          <w:cantSplit/>
          <w:tblHeader/>
        </w:trPr>
        <w:tc>
          <w:tcPr>
            <w:tcW w:type="dxa" w:w="1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组件TP／FP／FN</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关系TP／FP／FN</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0／32／82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32／38／94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2／58／80</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1／17／16</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0／4／17</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16／19／33</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0／8／17</w:t>
            </w:r>
          </w:p>
        </w:tc>
      </w:tr>
    </w:tbl>
    <w:p>
      <w:pPr>
        <w:spacing w:line="380" w:lineRule="exact"/>
      </w:pPr>
      <w:r>
        <w:rPr>
          <w:rFonts w:ascii="Times New Roman" w:hAnsi="Times New Roman" w:eastAsia="Songti SC"/>
          <w:color w:val="000000"/>
          <w:sz w:val="22"/>
        </w:rPr>
        <w:t>本试验以原文字符跨度、类型及完整关系键作精确集合匹配，未另行验证其与第二章正式token评价器的逐项等价性，故不与主表混算。金标组件共AAEC 126个、CDCP 49个，金标完整关系分别82条、17条。冻结池精确覆盖组件33／126、19／49，完整关系3／82、1／17；CDCP两条多前提金标关系均未进入池。因此本次数据不能评价多前提恢复效果。RelationOnly在AAEC移除32个初始关系FP且未恢复TP，在CDCP损失1个TP、移除16个FP并新增3个FP；不能将较少输出直接解释为更好恢复。</w:t>
      </w:r>
    </w:p>
    <w:p>
      <w:pPr>
        <w:spacing w:line="380" w:lineRule="exact"/>
      </w:pPr>
      <w:r>
        <w:rPr>
          <w:rFonts w:ascii="Times New Roman" w:hAnsi="Times New Roman" w:eastAsia="Songti SC"/>
          <w:color w:val="000000"/>
          <w:sz w:val="22"/>
        </w:rPr>
        <w:t>BRJ-lite的AAEC组件对象差集为新增正确30、损失正确0、新增错误34、移除错误34；关系为2、0、58、32。CDCP组件对应0、1、6、4，关系对应0、1、5、14。上述顺序按完整语义键比较初始与终态，不把累计编辑次数当作对象数。AAEC的28个标点变体恢复及CDCP的真阳性损失均保留，不因总体分数或解释便利而删除。</w:t>
      </w:r>
    </w:p>
    <w:p>
      <w:pPr>
        <w:pStyle w:val="TableCaption"/>
      </w:pPr>
      <w:r>
        <w:rPr>
          <w:rFonts w:ascii="Times New Roman" w:hAnsi="Times New Roman" w:eastAsia="Songti SC"/>
          <w:color w:val="000000"/>
          <w:sz w:val="21"/>
        </w:rPr>
        <w:t>表D-8 全部16篇文档的初始至BRJ-lite结果及候选覆盖</w:t>
      </w:r>
      <w:bookmarkStart w:id="235" w:name="v9_real_235"/>
      <w:bookmarkEnd w:id="23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037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0.00→13.79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078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0.00→50.00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0.00→10.53</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085</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8.33→35.71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0.00→9.52</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1／13</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099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0.00→43.48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208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0.00→17.39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293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0／13</w:t>
            </w:r>
          </w:p>
        </w:tc>
      </w:tr>
    </w:tbl>
    <w:p>
      <w:pPr>
        <w:pStyle w:val="Normal"/>
        <w:jc w:val="center"/>
        <w:keepNext/>
        <w:pageBreakBefore/>
      </w:pPr>
      <w:r>
        <w:rPr>
          <w:rFonts w:ascii="Times New Roman" w:hAnsi="Times New Roman" w:eastAsia="Songti SC"/>
          <w:color w:val="000000"/>
          <w:sz w:val="21"/>
        </w:rPr>
        <w:t>续表D-8 全部16篇文档的初始至BRJ-lite结果及候选覆盖</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370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12.50→52.63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381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0.00→30.00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00396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00416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60.00→60.00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7／10</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00428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00753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36.36→36.36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01024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01057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33.33→0.00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01282</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54.55→36.36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01374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26.67→26.67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bl>
    <w:p>
      <w:pPr>
        <w:spacing w:line="380" w:lineRule="exact"/>
      </w:pPr>
      <w:r>
        <w:rPr>
          <w:rFonts w:ascii="Times New Roman" w:hAnsi="Times New Roman" w:eastAsia="Songti SC"/>
          <w:color w:val="000000"/>
          <w:sz w:val="22"/>
        </w:rPr>
        <w:t>表D-8按原始文档ID列出全部样本，覆盖以完整跨度、类型及关系源集合／目标／标签严格匹配，分母为各文档金标数。CDCP 00396的关系覆盖为0／0，表示该文档无正关系，不计算覆盖百分比；其一个FP的标签更换见4.6.7。零真阳性情形的F1统一为0，配合TP、FP、FN解释。该表没有省略组件下降但关系不变的00428、01282，也未把16篇结果扩展为语料基准。</w:t>
      </w:r>
    </w:p>
    <w:p>
      <w:pPr>
        <w:pStyle w:val="Heading2"/>
      </w:pPr>
      <w:r>
        <w:t>D.9 实际执行与方法解释边界</w:t>
      </w:r>
      <w:bookmarkStart w:id="236" w:name="v9_real_236"/>
      <w:bookmarkEnd w:id="236"/>
    </w:p>
    <w:p>
      <w:pPr>
        <w:spacing w:line="380" w:lineRule="exact"/>
      </w:pPr>
      <w:r>
        <w:rPr>
          <w:rFonts w:ascii="Times New Roman" w:hAnsi="Times New Roman" w:eastAsia="Songti SC"/>
          <w:color w:val="000000"/>
          <w:sz w:val="22"/>
        </w:rPr>
        <w:t>本次32个文档策略运行均返回合法图，共评估1738项提议，提交139项。1632次MILP调用中516次返回最优、1116次无可行解；后者包含258次最优解唯一性检查，不等于1116个运行失败。全部139项提交均完成最优值、最少关系编辑及唯一性核查。本次未发生超时或无incumbent回退，不能据这些成功轨迹声称相关失败分支已经历真实验收。金标评价前输出冻结，独立审核逐项检查原生标注、预算、事务外关系和效用门；本地重放32个运行得到相同终态及接受尝试序列。</w:t>
      </w:r>
    </w:p>
    <w:p>
      <w:pPr>
        <w:spacing w:line="380" w:lineRule="exact"/>
      </w:pPr>
      <w:r>
        <w:rPr>
          <w:rFonts w:ascii="Times New Roman" w:hAnsi="Times New Roman" w:eastAsia="Songti SC"/>
          <w:color w:val="000000"/>
          <w:sz w:val="22"/>
        </w:rPr>
        <w:t>轻量实现与正文仍有明确差异。候选生成没有采用本文训练骨干及完整两阶段抽取；多源枚举受生成图限制；评分没有使用训练及校准后的神经对象模型。六类队列虽保留轮转、冲突闭合与批内完整效用比较，类内却按规范对象键排序，而附录B.3按组件效用增益排序；有限尝试下这会改变访问路径。实现容差为10⁻⁸，并在严格总效用约束中加入10⁻⁶余量，与正文统一规约需再核对。因此BRJ-lite始终单列命名，不把其轨迹视为算法4-1的完整等价实现。</w:t>
      </w:r>
    </w:p>
    <w:p>
      <w:pPr>
        <w:spacing w:line="380" w:lineRule="exact"/>
      </w:pPr>
      <w:r>
        <w:rPr>
          <w:rFonts w:ascii="Times New Roman" w:hAnsi="Times New Roman" w:eastAsia="Songti SC"/>
          <w:color w:val="000000"/>
          <w:sz w:val="22"/>
        </w:rPr>
        <w:t>AAEC的BRJ-lite与RelationOnly修正阶段总耗时分别0.434276、0.124535秒，CDCP为0.120818、0.110312秒；对应累计求解时间为0.104983、0.060285、0.028174、0.038296秒，均为各8篇总和。这些时间从冻结候选和评分输入后计量，不包含模型预测、评分、环境导入或完整准备成本，不能代入表4-8或作为端到端速度优势。当前没有同预算全局、单对象动作、分步策略、标点规范化专用对照，也没有训练四格，因而不能判定集合动作的增量、联合决策的必要性或局部策略的采用条件。</w:t>
      </w:r>
    </w:p>
    <w:p>
      <w:pPr>
        <w:spacing w:line="380" w:lineRule="exact"/>
      </w:pPr>
      <w:r>
        <w:rPr>
          <w:rFonts w:ascii="Times New Roman" w:hAnsi="Times New Roman" w:eastAsia="Songti SC"/>
          <w:color w:val="000000"/>
          <w:sz w:val="22"/>
        </w:rPr>
        <w:t>后续首先在共同候选中加入仅标点规范化对照，并检验低默认关系分对原真阳性保留的影响；这属于待执行的控制实验，不在当前记录中补填结果。真实增强漂移与成对训练仍须独立完成。已有案例能够支撑“实际出现何种恢复或失败”的描述，不能替代“新增机制为何有效”的受控证据。</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Anthology、论文原文、arXiv作者版本与论文所指向的公开仓库。表G-1记录纳入考虑的方法类别，检索目的为建立可执行的比较范围，未据此作穷尽性新颖性或“首次”判断。原论文成绩不并入本版估算情景主表。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固定尝试轨训练成本存档（估算情景）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4.6.7已按独立Luna试验的固定规则给出改善、受损与不变案例；该试验没有训练四格、分步对照及经事后验证的错误拒绝病例，缺失类别不由推演填补。</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本版主结果的估算原则是固定v6的T0情景起点、样本规模、随机扰动及成本口径，缩小假设训练和推理增量，再从整数TP、FP、FN重算全部主表。参数并未根据CPU诊断、历史论文或目标实验拟合；“增量较小”只表示相对旧演示的设定更克制，不意味着更接近实际结果。原始目标是生成器的平衡精确率／召回率中心，经过偏移和整数化后，与表中均值略有差别。</w:t>
      </w:r>
    </w:p>
    <w:p>
      <w:pPr>
        <w:spacing w:line="380" w:lineRule="exact"/>
      </w:pPr>
      <w:r>
        <w:rPr>
          <w:rFonts w:ascii="Times New Roman" w:hAnsi="Times New Roman" w:eastAsia="Songti SC"/>
          <w:color w:val="000000"/>
          <w:sz w:val="22"/>
        </w:rPr>
        <w:t>具体假设中，AAEC／CDCP的关系F1中心依次为：T0 53.30／48.10，完整增强基础损失55.70／50.50，加头监督56.60／51.30，T1 57.80／52.50，RelationOnly 59.60／54.80，单对象60.70／55.90，BR-J 61.90／57.40，等求解预算全局62.30／57.90。固定组件对照严格复用T1组件计数；全局略高的排序是情景假设，不由可行域包含关系推出F1优越性。</w:t>
      </w:r>
    </w:p>
    <w:p>
      <w:pPr>
        <w:spacing w:line="380" w:lineRule="exact"/>
      </w:pPr>
      <w:r>
        <w:rPr>
          <w:rFonts w:ascii="Times New Roman" w:hAnsi="Times New Roman" w:eastAsia="Songti SC"/>
          <w:color w:val="000000"/>
          <w:sz w:val="22"/>
        </w:rPr>
        <w:t>零增益和负增益也属于需要保留的备选条件。用于读表的压力假设为：成对学习相对加头监督的关系增量分别取−0.50、0.00、+1.20个百分点；允许组件变化相对RelationOnly取−0.50、0.00、+2.30；局部减全局取−1.50、−0.50、+0.50。它们逐项替换一个效应假设，尚未生成新的逐文档记录或计算置信区间，不能称为已完成的敏感性实验。零或负增益出现时，相应机制的采用结论须收缩，而不能保留正增益情景的文字。</w:t>
      </w:r>
    </w:p>
    <w:p>
      <w:pPr>
        <w:spacing w:line="380" w:lineRule="exact"/>
      </w:pPr>
      <w:r>
        <w:rPr>
          <w:rFonts w:ascii="Times New Roman" w:hAnsi="Times New Roman" w:eastAsia="Songti SC"/>
          <w:color w:val="000000"/>
          <w:sz w:val="22"/>
        </w:rPr>
        <w:t>成本同样依赖假设。若只将共同对象评分时间乘以0.5、1、2，其他项保持表4-8设定，AAEC局部相对等求解预算全局的总时间节省率依次为5.15%、4.19%、3.06%，CDCP为5.96%、4.73%、3.34%。这只是总时间公式的重算，不包含评分误差、批量吞吐或求解轨迹变化；评分成本占比越大，单独加速求解的总收益越小。</w:t>
      </w:r>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正式同批四格输出，形成至少一项对象级综合认识及同文档前后案例。现有Luna案例已补足轻量推理层面的真实展示，但缺少训练因素及完整对照，不能据此将四格对象分析标为完成。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独立沿用SIM-1010-V4旧记录，与本版主表无训练绑定：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共同池的变化与覆盖诊断（指标演示的估算情景）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本节数值及图H-1独立保留SIM-1010-V4旧成本与质量轨迹，终点沿用v6的情景主成绩；它们未改为v7主表的预算实验。为保留可追溯的条件示例，本节不与新版表4-3或表5-1拼接，也不用于估计新版效果。</w:t>
      </w:r>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旧情景对象记录为684个文档种子记录赋予抽象关系键，匹配v6四格未分组TP、FP、FN及T1到组合的风险总量，并不匹配v7主表。坐标、类型与端点均由程序构造，未重建完整组件预测图，也未约束源成员数分组；该文件只保留作非唯一性示例，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旧版核验程序独立构造上述最小与最大交集，逐项检查旧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1011-v9</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1011-v9 估算演示版；模拟身份见封面、摘要与实验表图</dc:subject>
  <dc:creator>Chen Tang</dc:creator>
  <cp:keywords>估算演示版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