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/>
        <w:jc w:val="center"/>
      </w:pPr>
      <w:r>
        <w:rPr>
          <w:rFonts w:ascii="Times New Roman" w:hAnsi="Times New Roman" w:eastAsia="黑体"/>
          <w:b/>
          <w:sz w:val="32"/>
        </w:rPr>
        <w:t>v8修订说明：六条批注及篇幅调整</w:t>
      </w:r>
    </w:p>
    <w:p>
      <w:r>
        <w:t>本轮以v7为底稿，落实最新六条批注，并补足第一章过度压缩的论证。原文件保留，输出为v8讨论稿。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1. 摘要是否使用编号</w:t>
      </w:r>
    </w:p>
    <w:p>
      <w:r>
        <w:t>保留“（1）（2）”。蒋梓浩论文、对比学习论文、风格迁移论文和Transformer优化论文的摘要均有编号列举主要工作；其中蒋文直接采用“（1）（2）”。本轮重点压缩重复的背景及衔接句，保留各项的问题、机制和代表性实测结果，中英文同步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2. 两章会不会被看作一项工作</w:t>
      </w:r>
    </w:p>
    <w:p>
      <w:r>
        <w:t>修改摘要及第五章的衔接表达，区分“改写后哪些监督仍可靠”与“已有预测中的组件和关系如何联合修改”两个研究问题。独立应用的表述依据现有四种训练—推理配置对照；不以“相互补充”一句话代替证据，也不将未显著交互说成已证明协同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3. 第二章是否过长</w:t>
      </w:r>
    </w:p>
    <w:p>
      <w:r>
        <w:t>保留字符区间、词元残差、规范键、完整源集合及严格匹配反例。删除的是第三章已经说明的坐标迁移流程，以及第四章已经完整说明的评分器训练、交叉拟合与预算细节；五层概念枚举归并到2.4。原2.4独有的AAEC不按段落或组件类型过滤规则迁至4.2.2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4. 第三、四章图像第一章框架图</w:t>
      </w:r>
    </w:p>
    <w:p>
      <w:r>
        <w:t>重新绘制图3.2与图4.1。第三章展示双视图表示、共享模型、辅助预测、可靠因素掩码和损失连接；第四章展示候选对象、组件与关系共同修改、评分与结构约束。第一章图保留高层研究关系，方法章图解释内部技术连接。提供可编辑SVG、字形转路径SVG及PNG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5. 图1.3是否删除</w:t>
      </w:r>
    </w:p>
    <w:p>
      <w:r>
        <w:t>删除独立的图1.3，将其章节逻辑职责合并到图1.2，补全第1、2、5章的作用。学校规范1.4要求用逻辑图表示各章关系，因此保留一张能承担这一职责的总图，而不重复画两张。同步修改正文交叉引用。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6. ArgUNSC是否属于扩展任务</w:t>
      </w:r>
    </w:p>
    <w:p>
      <w:r>
        <w:t>改为“ArgUNSC语料上的补充评价”。它与AAEC、CDCP属于同一论辩挖掘任务，变化的是语料和语域；当前设计又是在ArgUNSC内部训练和测试，不构成跨语料迁移实验。现阶段单列是为了区分补充设计与既有实测主结果，不作为新的任务或创新点。模拟声明及表题标识保留，模拟值不进入摘要和实测结论。正式实验完成后可作为第三语料并入相应设置及结果比较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篇幅变化</w:t>
      </w:r>
    </w:p>
    <w:p>
      <w:r>
        <w:t>同口径只统计正文段落中的汉字，含标题与图题，不含表格和图内文字；不是Word字数统计值。</w:t>
      </w:r>
    </w:p>
    <w:p>
      <w:r>
        <w:t>第一章：4166 → 4966汉字，净回补800字。主要增加具体语义实例、代表方法机制比较、因素级监督必要性与联合决策动机；不恢复重复的大段方法细节。</w:t>
      </w:r>
    </w:p>
    <w:p>
      <w:r>
        <w:t>第二章：5062 → 4306汉字；2.1.2由1260 → 683汉字。删去重复内容，保留全部必要定义、编号公式与真实反例。</w:t>
      </w:r>
    </w:p>
    <w:p>
      <w:r>
        <w:t>中文摘要：781汉字，当前PDF预览中摘要及关键词同页。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参考依据</w:t>
      </w:r>
    </w:p>
    <w:p>
      <w:r>
        <w:t>蒋梓浩《基于结构增强语言模型的时序知识图谱推理方法研究》：PDF物理第4—5页摘要编号，第37页PSG技术模型图、第60页GETER技术模型图。</w:t>
      </w:r>
    </w:p>
    <w:p>
      <w:r>
        <w:t>《基于对比式自监督学习的结构语义融合知识推理研究》：PDF物理第7—8页摘要编号，第32页模型图。</w:t>
      </w:r>
    </w:p>
    <w:p>
      <w:r>
        <w:t>《现代汉语与文言文风格的迁移方法研究》：PDF物理第7页摘要在段落内编号两项工作。</w:t>
      </w:r>
    </w:p>
    <w:p>
      <w:r>
        <w:t>《基于层内分组和层间选择的Transformer优化技术研究》：PDF物理第4页摘要使用1）、2）、3）列举工作。</w:t>
      </w:r>
    </w:p>
    <w:p>
      <w:r>
        <w:t>学校规范：绪论建议3000—5000字；1.4要求展示章节之间的逻辑关系。参考成稿用于判断写法和图的职责，不替代学校字号、字体、行距等要求。</w:t>
      </w:r>
    </w:p>
    <w:p>
      <w:pPr>
        <w:keepNext/>
        <w:spacing w:before="160"/>
      </w:pPr>
      <w:r>
        <w:rPr>
          <w:rFonts w:ascii="Times New Roman" w:hAnsi="Times New Roman" w:eastAsia="黑体"/>
          <w:b/>
          <w:sz w:val="24"/>
        </w:rPr>
        <w:t>核验与文件说明</w:t>
      </w:r>
    </w:p>
    <w:p>
      <w:r>
        <w:t>本轮没有重新运行模型或替换实测结果。AAEC、CDCP表格数据及编号公式按v7保留；ArgUNSC数值仍是原有模拟设计。</w:t>
      </w:r>
    </w:p>
    <w:p>
      <w:r>
        <w:t>48个表格的数字已逐单元格与v7比较，42个编号公式的OMML结构已逐式比较；原有引文保留。三张新图以矢量SVG嵌入Word，保留PNG兼容图。目录77项已按最终预览重新计算，修正了目录与公式编号域中重复转义的反斜杠。</w:t>
      </w:r>
    </w:p>
    <w:p>
      <w:r>
        <w:t>试排发现旧版表2.1短中文标签在自动字体回退时没有正确显示。现已规范标签文本，并为PDF渲染显式指定中文字体映射，标签显示完整。</w:t>
      </w:r>
    </w:p>
    <w:p>
      <w:r>
        <w:t>Word保留模板的宋体、黑体和Times New Roman等字体设置。当前云端没有这些全部原生字体，PDF预览分别使用Noto Serif CJK SC、Noto Sans CJK SC和Liberation Serif等替代字体；正式送审应在安装学校指定字体的Word环境中更新全部域并导出，分页可能与此预览不同。</w:t>
      </w:r>
    </w:p>
    <w:p>
      <w:r>
        <w:t>ArgUNSC仍为模拟补充：开头声明与表题均保留标识，不能将其数值当作已完成实验结果。</w:t>
      </w: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