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v7修订说明（2026-10-15）</w:t>
      </w:r>
    </w:p>
    <w:p>
      <w:pPr/>
      <w:r>
        <w:rPr>
          <w:rFonts w:ascii="Times New Roman" w:hAnsi="Times New Roman" w:eastAsia="宋体"/>
        </w:rPr>
        <w:t>本版为含ArgUNSC模拟扩展的修订讨论稿。原始v6未覆盖，既有AAEC、CDCP实测数值保持不变；新增模拟结果不能作为已完成实验用于送审结论。</w:t>
      </w:r>
    </w:p>
    <w:p>
      <w:pPr>
        <w:pStyle w:val="Heading1"/>
      </w:pPr>
      <w:r>
        <w:rPr>
          <w:rFonts w:ascii="Times New Roman" w:hAnsi="Times New Roman" w:eastAsia="黑体"/>
        </w:rPr>
        <w:t>一、参考论文结构与本次取舍</w:t>
      </w:r>
    </w:p>
    <w:p>
      <w:pPr/>
      <w:r>
        <w:rPr>
          <w:rFonts w:ascii="Times New Roman" w:hAnsi="Times New Roman" w:eastAsia="宋体"/>
        </w:rPr>
        <w:t>1. 蒋梓浩《基于结构增强语言模型的时序知识图谱推理方法研究》：第一章依次为背景、国内外研究现状、研究内容、组织结构，第二章介绍理论技术。采用其“从具体问题引出两项工作”的组织方式。</w:t>
      </w:r>
    </w:p>
    <w:p>
      <w:pPr/>
      <w:r>
        <w:rPr>
          <w:rFonts w:ascii="Times New Roman" w:hAnsi="Times New Roman" w:eastAsia="宋体"/>
        </w:rPr>
        <w:t>2. 《基于对比式自监督学习的结构语义融合知识推理研究》：同样将研究现状放第一章，方法按处理链展开。借鉴方法内容集中到方法章，避免绪论提前展开实现细节。</w:t>
      </w:r>
    </w:p>
    <w:p>
      <w:pPr/>
      <w:r>
        <w:rPr>
          <w:rFonts w:ascii="Times New Roman" w:hAnsi="Times New Roman" w:eastAsia="宋体"/>
        </w:rPr>
        <w:t>3. 《现代汉语与文言文风格的迁移方法研究》：第一章另设贡献说明，摘要按问题对应工作。当前论文不另增一节，以免研究内容与贡献重复。</w:t>
      </w:r>
    </w:p>
    <w:p>
      <w:pPr/>
      <w:r>
        <w:rPr>
          <w:rFonts w:ascii="Times New Roman" w:hAnsi="Times New Roman" w:eastAsia="宋体"/>
        </w:rPr>
        <w:t>4. 《基于层内分组和层间选择的Transformer优化技术研究》：第一章同样采用背景—现状—内容—结构，实验集中成章。当前两项工作具有各自的实验控制条件，因此保留第三、四章各自的实验节，不照搬独立实验章。</w:t>
      </w:r>
    </w:p>
    <w:p>
      <w:pPr/>
      <w:r>
        <w:rPr>
          <w:rFonts w:ascii="Times New Roman" w:hAnsi="Times New Roman" w:eastAsia="宋体"/>
        </w:rPr>
        <w:t>本次保留1.1—1.4及1.2的三个综述子节，压缩重复演进说明、细节和消融数字。第一章由8527个汉字压缩至4166个汉字；非空白字符由10102降至5251，后者包含英文缩写、数字和标点，不等同于Word中文“字数”。原有1—63号引文及三幅图保留。正式PDF中第一章由原12页左右缩至7页。</w:t>
      </w:r>
    </w:p>
    <w:p>
      <w:pPr>
        <w:pStyle w:val="Heading1"/>
      </w:pPr>
      <w:r>
        <w:rPr>
          <w:rFonts w:ascii="Times New Roman" w:hAnsi="Times New Roman" w:eastAsia="黑体"/>
        </w:rPr>
        <w:t>二、摘要与正文</w:t>
      </w:r>
    </w:p>
    <w:p>
      <w:pPr/>
      <w:r>
        <w:rPr>
          <w:rFonts w:ascii="Times New Roman" w:hAnsi="Times New Roman" w:eastAsia="宋体"/>
        </w:rPr>
        <w:t>中文摘要改为五段，约855个汉字、961个非空白字符，当前渲染为一页；英文摘要同步改写为约415词。保留两项工作的具体问题、核心办法与代表性结果，删除摘要中的大量消融、审核及求解细节。</w:t>
      </w:r>
    </w:p>
    <w:p>
      <w:pPr/>
      <w:r>
        <w:rPr>
          <w:rFonts w:ascii="Times New Roman" w:hAnsi="Times New Roman" w:eastAsia="宋体"/>
        </w:rPr>
        <w:t>第三章开头明确大语言模型改写的标签失效风险，并将“避免错误监督”改为“减少错误监督”。多视图说明与实际实现对齐：原文可以对应多个改写，分别与原文构成视图对计算一致性，再按源文档平均。</w:t>
      </w:r>
    </w:p>
    <w:p>
      <w:pPr/>
      <w:r>
        <w:rPr>
          <w:rFonts w:ascii="Times New Roman" w:hAnsi="Times New Roman" w:eastAsia="宋体"/>
        </w:rPr>
        <w:t>第四章从残余预测错误及联合决策问题起笔，说明其独立研究对象，再交代与第三章的衔接。减少“以MCR-BR为基础方法”的反复强调，仍保留具体继承配置的必要引用；不在盲审正文中增加作者与MCR-BR的身份关联。</w:t>
      </w:r>
    </w:p>
    <w:p>
      <w:pPr/>
      <w:r>
        <w:rPr>
          <w:rFonts w:ascii="Times New Roman" w:hAnsi="Times New Roman" w:eastAsia="宋体"/>
        </w:rPr>
        <w:t>图1.1标题简化，正文保留essay001原始文档标识；“后继token”改为中文词元表述；两个ARGUS改用不同引用表达；表2.1删除重复英文标签括注。</w:t>
      </w:r>
    </w:p>
    <w:p>
      <w:pPr/>
      <w:r>
        <w:rPr>
          <w:rFonts w:ascii="Times New Roman" w:hAnsi="Times New Roman" w:eastAsia="宋体"/>
        </w:rPr>
        <w:t>F1主要结果采用“由65.69%提高至68.25%”等前后百分制写法，其余绝对增量统一写为F1分数差，并在3.5.1声明百分制口径，未把绝对差错误改成相对增长率。原文未舍入差值与显示均值相减可能相差0.01，既有表中分数未据此改动。</w:t>
      </w:r>
    </w:p>
    <w:p>
      <w:pPr>
        <w:pStyle w:val="Heading1"/>
      </w:pPr>
      <w:r>
        <w:rPr>
          <w:rFonts w:ascii="Times New Roman" w:hAnsi="Times New Roman" w:eastAsia="黑体"/>
        </w:rPr>
        <w:t>三、表格、图与格式</w:t>
      </w:r>
    </w:p>
    <w:p>
      <w:pPr/>
      <w:r>
        <w:rPr>
          <w:rFonts w:ascii="Times New Roman" w:hAnsi="Times New Roman" w:eastAsia="宋体"/>
        </w:rPr>
        <w:t>原表3.8的G/A/V职责改为正文，原表3.9辅助头与损失配置并入表3.7，原表3.18一次性成本转为正文，原表4.3模块职责与后续配置说明整合。全稿编号表从47个减为44个，其中包含新增的1个模拟结果表。</w:t>
      </w:r>
    </w:p>
    <w:p>
      <w:pPr/>
      <w:r>
        <w:rPr>
          <w:rFonts w:ascii="Times New Roman" w:hAnsi="Times New Roman" w:eastAsia="宋体"/>
        </w:rPr>
        <w:t>原表3.13改成7列纵向三线表，抽样依据及概率移至紧邻表注；原表3.17改成4列纵向成本表，重复配置及增强统计移入表注。重排保留全部原始数字。原表4.8删除与完整配置完全相同的Global及MissingLow结果行，正文交代相同原因。</w:t>
      </w:r>
    </w:p>
    <w:p>
      <w:pPr/>
      <w:r>
        <w:rPr>
          <w:rFonts w:ascii="Times New Roman" w:hAnsi="Times New Roman" w:eastAsia="宋体"/>
        </w:rPr>
        <w:t>表号已连续重编：原3.10—3.17对应新3.8—3.15；原4.4—4.28对应新4.3—4.27；新增ArgUNSC表为4.28。正文回指同步更新。</w:t>
      </w:r>
    </w:p>
    <w:p>
      <w:pPr/>
      <w:r>
        <w:rPr>
          <w:rFonts w:ascii="Times New Roman" w:hAnsi="Times New Roman" w:eastAsia="宋体"/>
        </w:rPr>
        <w:t>图3.2、图4.1以确定性绘图脚本重绘，Word内保留SVG与PNG兼容图，并另存可编辑SVG源文件。简化模块内部文字，明确可靠监督与一致性训练、独立对象评分、全局与局部求解的关系。</w:t>
      </w:r>
    </w:p>
    <w:p>
      <w:pPr/>
      <w:r>
        <w:rPr>
          <w:rFonts w:ascii="Times New Roman" w:hAnsi="Times New Roman" w:eastAsia="宋体"/>
        </w:rPr>
        <w:t>318个简单行内数学表达转为Word字符及原生上下标，保留变量的斜体等格式，从而统一相应正文的20磅行距。复杂行内公式保留必要高度，42个编号公式的原生OMML与v6保持一致。取消两张宽表各自的横向分节，横向页从8页降为6页；其余宽图、宽表仍保留适当横向版面。</w:t>
      </w:r>
    </w:p>
    <w:p>
      <w:pPr/>
      <w:r>
        <w:rPr>
          <w:rFonts w:ascii="Times New Roman" w:hAnsi="Times New Roman" w:eastAsia="宋体"/>
        </w:rPr>
        <w:t>目录77项已根据最终PDF页码更新。当前统一渲染为124页，包括新增的模拟声明页；同环境v6为132页。已检查摘要、目录、重排表、重绘图、扩展实验及相邻页，无页面边界外的文本块。</w:t>
      </w:r>
    </w:p>
    <w:p>
      <w:pPr>
        <w:pStyle w:val="Heading1"/>
      </w:pPr>
      <w:r>
        <w:rPr>
          <w:rFonts w:ascii="Times New Roman" w:hAnsi="Times New Roman" w:eastAsia="黑体"/>
        </w:rPr>
        <w:t>四、ArgUNSC扩展</w:t>
      </w:r>
    </w:p>
    <w:p>
      <w:pPr/>
      <w:r>
        <w:rPr>
          <w:rFonts w:ascii="Times New Roman" w:hAnsi="Times New Roman" w:eastAsia="宋体"/>
        </w:rPr>
        <w:t>新增4.6.9“面向外交话语的跨领域扩展”，新增真实文献[103]，元数据已核对ACL官方页面：https://aclanthology.org/2025.argmining-1.20/ 。</w:t>
      </w:r>
    </w:p>
    <w:p>
      <w:pPr/>
      <w:r>
        <w:rPr>
          <w:rFonts w:ascii="Times New Roman" w:hAnsi="Times New Roman" w:eastAsia="宋体"/>
        </w:rPr>
        <w:t>按用户要求安排预期趋势，采用统一假定的1000条金标关系和预设TP/FP/FN计算模拟F1，四种配置为55.56%、59.95%、61.54%、65.23%。这1000条并非ArgUNSC真实测试划分，不对应一次模型运行；未编造硬件、随机种子、置信区间或显著性结论。</w:t>
      </w:r>
    </w:p>
    <w:p>
      <w:pPr/>
      <w:r>
        <w:rPr>
          <w:rFonts w:ascii="Times New Roman" w:hAnsi="Times New Roman" w:eastAsia="宋体"/>
        </w:rPr>
        <w:t>篇首集中声明模拟范围，表4.28标题保留“模拟结果”以便单独阅读；正文不反复插入声明。模拟值不进入摘要、主要贡献及全文实测总结。历史探索记录未被覆盖，后续应以固定真实划分及实际预测整体替换本节数值与对应分析。</w:t>
      </w:r>
    </w:p>
    <w:p>
      <w:pPr>
        <w:pStyle w:val="Heading1"/>
      </w:pPr>
      <w:r>
        <w:rPr>
          <w:rFonts w:ascii="Times New Roman" w:hAnsi="Times New Roman" w:eastAsia="黑体"/>
        </w:rPr>
        <w:t>五、验证与保留事项</w:t>
      </w:r>
    </w:p>
    <w:p>
      <w:pPr/>
      <w:r>
        <w:rPr>
          <w:rFonts w:ascii="Times New Roman" w:hAnsi="Times New Roman" w:eastAsia="宋体"/>
        </w:rPr>
        <w:t>逐项比对确认，保留或重排的实验表数值未发生意外变化，原一次性成本已完整转入正文，42个编号公式未变化，未发现正文引用不存在的表号。原v6的SHA256仍为5cca709fa088ab4542b2c3308fadb64f0a7a1394c90ece223178c69d4d4e64b4。</w:t>
      </w:r>
    </w:p>
    <w:p>
      <w:pPr/>
      <w:r>
        <w:rPr>
          <w:rFonts w:ascii="Times New Roman" w:hAnsi="Times New Roman" w:eastAsia="宋体"/>
        </w:rPr>
        <w:t>本次没有补跑正式实验，也没有替作者设定无环开关、求解容差等尚需按实现核对的参数。图4.2—4.5等既有图形未全部重新绘制；本次没有逐条重新联网核验原102条参考文献。正式送审前仍需完成真实配置核对、ArgUNSC实测替换及学校指定Word字体环境下的最终导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