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外审前修改调研与逐条意见分析</w:t>
      </w:r>
    </w:p>
    <w:p>
      <w:r>
        <w:t>2026年10月14日｜依据导师批注PDF、会议记录、v2盲审稿、学校规范及蒋梓浩参考论文</w:t>
      </w:r>
    </w:p>
    <w:p>
      <w:r>
        <w:t>本轮交付是研究判断、修改清单和实施计划，不是论文改写稿。原论文正文、数据、公式和已交付格式版均未改动。模拟验证独立存放，不计入论文真实实验。</w:t>
      </w:r>
    </w:p>
    <w:p>
      <w:pPr>
        <w:pStyle w:val="Heading1"/>
      </w:pPr>
      <w:r>
        <w:t>一、先决定什么，后修改什么</w:t>
      </w:r>
    </w:p>
    <w:p>
      <w:r>
        <w:t>建议先确定方法的真实定位和第四章的扩展边界，再采用蒋梓浩论文的五章组织方式，最后集中处理中文表达与图表排版。当前最值得保留的统一主线是：针对生成式论辩挖掘中组件与关系的相互依赖，训练阶段解决改写后监督是否可靠，推理阶段解决对象修改后相关结构是否一致。两项工作可以独立，也可以组合；这不等于两章必须研究不同任务。</w:t>
      </w:r>
    </w:p>
    <w:p>
      <w:r>
        <w:t>三项优先决策：①将“成对学习”定位为可靠因素上的一致性学习，暂不改称对比学习；②将第四章定位为有学习评分器支撑的结构化修正，暂不改称思维链或无训练的非参数方法；③跨任务扩展先选联合实体关系抽取，事件论元抽取作第二层验证。当前仅有文献依据、代码审查和模拟原型，尚无真实跨任务性能证据。</w:t>
      </w:r>
    </w:p>
    <w:p>
      <w:r>
        <w:t>中文表达问题成立，但修复方法是补足主题句、因果关系和信息层次，而不是把所有短句接成长句。标题优先使用学界通用对象与方法类别，正文仍可定义必要的新机制。不能为了名称熟悉而把算法改写成它没有实现的机制。</w:t>
      </w:r>
    </w:p>
    <w:p>
      <w:r>
        <w:t>明确不照搬的建议包括：把百分点写成百分比；把消融比较写成“优于最强基线”；把有评分器训练的系统写成无需训练；把修改日志等同于解释忠实性；删除已有方法的归属；把“无技术附录”扩大成删除学校要求的全部后置材料。</w:t>
      </w:r>
    </w:p>
    <w:p>
      <w:pPr>
        <w:pStyle w:val="Heading1"/>
      </w:pPr>
      <w:r>
        <w:t>二、材料、版本与技能使用</w:t>
      </w:r>
    </w:p>
    <w:tbl>
      <w:tblPr>
        <w:tblW w:type="auto" w:w="0"/>
        <w:tblLayout w:type="autofit"/>
        <w:tblLook w:firstColumn="1" w:firstRow="1" w:lastColumn="0" w:lastRow="0" w:noHBand="0" w:noVBand="1" w:val="04A0"/>
      </w:tblPr>
      <w:tblGrid>
        <w:gridCol w:w="4762"/>
        <w:gridCol w:w="4762"/>
      </w:tblGrid>
      <w:tr>
        <w:trPr>
          <w:tblHeader/>
        </w:trPr>
        <w:tc>
          <w:tcPr>
            <w:tcW w:type="dxa" w:w="4762"/>
            <w:tcBorders>
              <w:top w:val="single" w:sz="6"/>
              <w:left w:val="nil" w:sz="6"/>
              <w:bottom w:val="single" w:sz="6"/>
              <w:right w:val="nil" w:sz="6"/>
            </w:tcBorders>
          </w:tcPr>
          <w:p>
            <w:pPr>
              <w:spacing w:after="80"/>
            </w:pPr>
            <w:r>
              <w:rPr>
                <w:b/>
                <w:sz w:val="18"/>
              </w:rPr>
              <w:t>材料</w:t>
            </w:r>
          </w:p>
        </w:tc>
        <w:tc>
          <w:tcPr>
            <w:tcW w:type="dxa" w:w="4762"/>
            <w:tcBorders>
              <w:top w:val="single" w:sz="6"/>
              <w:left w:val="nil" w:sz="6"/>
              <w:bottom w:val="single" w:sz="6"/>
              <w:right w:val="nil" w:sz="6"/>
            </w:tcBorders>
          </w:tcPr>
          <w:p>
            <w:pPr>
              <w:spacing w:after="80"/>
            </w:pPr>
            <w:r>
              <w:rPr>
                <w:b/>
                <w:sz w:val="18"/>
              </w:rPr>
              <w:t>本次用途与边界</w:t>
            </w:r>
          </w:p>
        </w:tc>
      </w:tr>
      <w:tr>
        <w:tc>
          <w:tcPr>
            <w:tcW w:type="dxa" w:w="4762"/>
            <w:tcBorders>
              <w:top w:val="nil" w:sz="6"/>
              <w:left w:val="nil" w:sz="6"/>
              <w:bottom w:val="nil" w:sz="6"/>
              <w:right w:val="nil" w:sz="6"/>
            </w:tcBorders>
          </w:tcPr>
          <w:p>
            <w:pPr>
              <w:spacing w:after="80"/>
            </w:pPr>
            <w:r>
              <w:rPr>
                <w:b w:val="0"/>
                <w:sz w:val="18"/>
              </w:rPr>
              <w:t>导师批注v1 PDF：98页、33个批注对象</w:t>
            </w:r>
          </w:p>
        </w:tc>
        <w:tc>
          <w:tcPr>
            <w:tcW w:type="dxa" w:w="4762"/>
            <w:tcBorders>
              <w:top w:val="nil" w:sz="6"/>
              <w:left w:val="nil" w:sz="6"/>
              <w:bottom w:val="nil" w:sz="6"/>
              <w:right w:val="nil" w:sz="6"/>
            </w:tcBorders>
          </w:tcPr>
          <w:p>
            <w:pPr>
              <w:spacing w:after="80"/>
            </w:pPr>
            <w:r>
              <w:rPr>
                <w:b w:val="0"/>
                <w:sz w:val="18"/>
              </w:rPr>
              <w:t>24条含文字建议，9条只有高亮/删除线；全部逐条建档并保存位置截图。页码均指该PDF物理页。</w:t>
            </w:r>
          </w:p>
        </w:tc>
      </w:tr>
      <w:tr>
        <w:tc>
          <w:tcPr>
            <w:tcW w:type="dxa" w:w="4762"/>
            <w:tcBorders>
              <w:top w:val="nil" w:sz="6"/>
              <w:left w:val="nil" w:sz="6"/>
              <w:bottom w:val="nil" w:sz="6"/>
              <w:right w:val="nil" w:sz="6"/>
            </w:tcBorders>
          </w:tcPr>
          <w:p>
            <w:pPr>
              <w:spacing w:after="80"/>
            </w:pPr>
            <w:r>
              <w:rPr>
                <w:b w:val="0"/>
                <w:sz w:val="18"/>
              </w:rPr>
              <w:t>v2盲审DOCX及其文字提取</w:t>
            </w:r>
          </w:p>
        </w:tc>
        <w:tc>
          <w:tcPr>
            <w:tcW w:type="dxa" w:w="4762"/>
            <w:tcBorders>
              <w:top w:val="nil" w:sz="6"/>
              <w:left w:val="nil" w:sz="6"/>
              <w:bottom w:val="nil" w:sz="6"/>
              <w:right w:val="nil" w:sz="6"/>
            </w:tcBorders>
          </w:tcPr>
          <w:p>
            <w:pPr>
              <w:spacing w:after="80"/>
            </w:pPr>
            <w:r>
              <w:rPr>
                <w:b w:val="0"/>
                <w:sz w:val="18"/>
              </w:rPr>
              <w:t>核对当前方法、章节、数字与表格；v1批注按章节及原句映射到v2，不把旧页码套到新排版。</w:t>
            </w:r>
          </w:p>
        </w:tc>
      </w:tr>
      <w:tr>
        <w:tc>
          <w:tcPr>
            <w:tcW w:type="dxa" w:w="4762"/>
            <w:tcBorders>
              <w:top w:val="nil" w:sz="6"/>
              <w:left w:val="nil" w:sz="6"/>
              <w:bottom w:val="nil" w:sz="6"/>
              <w:right w:val="nil" w:sz="6"/>
            </w:tcBorders>
          </w:tcPr>
          <w:p>
            <w:pPr>
              <w:spacing w:after="80"/>
            </w:pPr>
            <w:r>
              <w:rPr>
                <w:b w:val="0"/>
                <w:sz w:val="18"/>
              </w:rPr>
              <w:t>学校2023-09写作规范及模板</w:t>
            </w:r>
          </w:p>
        </w:tc>
        <w:tc>
          <w:tcPr>
            <w:tcW w:type="dxa" w:w="4762"/>
            <w:tcBorders>
              <w:top w:val="nil" w:sz="6"/>
              <w:left w:val="nil" w:sz="6"/>
              <w:bottom w:val="nil" w:sz="6"/>
              <w:right w:val="nil" w:sz="6"/>
            </w:tcBorders>
          </w:tcPr>
          <w:p>
            <w:pPr>
              <w:spacing w:after="80"/>
            </w:pPr>
            <w:r>
              <w:rPr>
                <w:b w:val="0"/>
                <w:sz w:val="18"/>
              </w:rPr>
              <w:t>字体、字号、行距、引用、后置材料等硬性要求的依据；本报告不重新宣称论文已通过内容或格式验收。</w:t>
            </w:r>
          </w:p>
        </w:tc>
      </w:tr>
      <w:tr>
        <w:tc>
          <w:tcPr>
            <w:tcW w:type="dxa" w:w="4762"/>
            <w:tcBorders>
              <w:top w:val="nil" w:sz="6"/>
              <w:left w:val="nil" w:sz="6"/>
              <w:bottom w:val="nil" w:sz="6"/>
              <w:right w:val="nil" w:sz="6"/>
            </w:tcBorders>
          </w:tcPr>
          <w:p>
            <w:pPr>
              <w:spacing w:after="80"/>
            </w:pPr>
            <w:r>
              <w:rPr>
                <w:b w:val="0"/>
                <w:sz w:val="18"/>
              </w:rPr>
              <w:t>蒋梓浩《基于结构增强语言模型的时序知识图谱推理方法研究》</w:t>
            </w:r>
          </w:p>
        </w:tc>
        <w:tc>
          <w:tcPr>
            <w:tcW w:type="dxa" w:w="4762"/>
            <w:tcBorders>
              <w:top w:val="nil" w:sz="6"/>
              <w:left w:val="nil" w:sz="6"/>
              <w:bottom w:val="nil" w:sz="6"/>
              <w:right w:val="nil" w:sz="6"/>
            </w:tcBorders>
          </w:tcPr>
          <w:p>
            <w:pPr>
              <w:spacing w:after="80"/>
            </w:pPr>
            <w:r>
              <w:rPr>
                <w:b w:val="0"/>
                <w:sz w:val="18"/>
              </w:rPr>
              <w:t>按用户新要求作为主要写法参照；PDF共91页，封面实际姓名为“蒋梓浩”，文件名为“打印论文版本.pdf”。</w:t>
            </w:r>
          </w:p>
        </w:tc>
      </w:tr>
      <w:tr>
        <w:tc>
          <w:tcPr>
            <w:tcW w:type="dxa" w:w="4762"/>
            <w:tcBorders>
              <w:top w:val="nil" w:sz="6"/>
              <w:left w:val="nil" w:sz="6"/>
              <w:bottom w:val="nil" w:sz="6"/>
              <w:right w:val="nil" w:sz="6"/>
            </w:tcBorders>
          </w:tcPr>
          <w:p>
            <w:pPr>
              <w:spacing w:after="80"/>
            </w:pPr>
            <w:r>
              <w:rPr>
                <w:b w:val="0"/>
                <w:sz w:val="18"/>
              </w:rPr>
              <w:t>会议记录</w:t>
            </w:r>
          </w:p>
        </w:tc>
        <w:tc>
          <w:tcPr>
            <w:tcW w:type="dxa" w:w="4762"/>
            <w:tcBorders>
              <w:top w:val="nil" w:sz="6"/>
              <w:left w:val="nil" w:sz="6"/>
              <w:bottom w:val="nil" w:sz="6"/>
              <w:right w:val="nil" w:sz="6"/>
            </w:tcBorders>
          </w:tcPr>
          <w:p>
            <w:pPr>
              <w:spacing w:after="80"/>
            </w:pPr>
            <w:r>
              <w:rPr>
                <w:b w:val="0"/>
                <w:sz w:val="18"/>
              </w:rPr>
              <w:t>按技术意见去重分析。加粗的“可见、这其实……”等评价属于记录者解释，不能单独作为导师的技术结论。</w:t>
            </w:r>
          </w:p>
        </w:tc>
      </w:tr>
      <w:tr>
        <w:tc>
          <w:tcPr>
            <w:tcW w:type="dxa" w:w="4762"/>
            <w:tcBorders>
              <w:top w:val="nil" w:sz="6"/>
              <w:left w:val="nil" w:sz="6"/>
              <w:bottom w:val="single" w:sz="6"/>
              <w:right w:val="nil" w:sz="6"/>
            </w:tcBorders>
          </w:tcPr>
          <w:p>
            <w:pPr>
              <w:spacing w:after="80"/>
            </w:pPr>
            <w:r>
              <w:rPr>
                <w:b w:val="0"/>
                <w:sz w:val="18"/>
              </w:rPr>
              <w:t>代码与外部文献</w:t>
            </w:r>
          </w:p>
        </w:tc>
        <w:tc>
          <w:tcPr>
            <w:tcW w:type="dxa" w:w="4762"/>
            <w:tcBorders>
              <w:top w:val="nil" w:sz="6"/>
              <w:left w:val="nil" w:sz="6"/>
              <w:bottom w:val="single" w:sz="6"/>
              <w:right w:val="nil" w:sz="6"/>
            </w:tcBorders>
          </w:tcPr>
          <w:p>
            <w:pPr>
              <w:spacing w:after="80"/>
            </w:pPr>
            <w:r>
              <w:rPr>
                <w:b w:val="0"/>
                <w:sz w:val="18"/>
              </w:rPr>
              <w:t>审阅schema.py/repair.py中的任务约束、评分与求解接口；检索并读取关键原始论文的正文或摘要，未复现原论文所有结果。</w:t>
            </w:r>
          </w:p>
        </w:tc>
      </w:tr>
    </w:tbl>
    <w:p/>
    <w:p>
      <w:r>
        <w:t>已调用适用的云环境运行技能，并读取本地“中文学位论文自然表达”技能及写作逻辑、章节写法、自然表达、格式呈现、样本来源五份参考。该技能及样本已经存在于当前云端工作区和origin/main中，已核对远端路径，无需再次同步。其他网页/宠物/页面管理技能与本任务无关，未机械调用。用户指定蒋梓浩为主要参照的要求优先于技能默认的多样本综合做法。</w:t>
      </w:r>
    </w:p>
    <w:p>
      <w:r>
        <w:t>技能路径：paper/writing_style_research_20261013/skill/chinese-thesis-polish/SKILL.md。源PDF指纹、33条原始批注、逐条截图与网页检索记录保存在本交付目录的evidence和research子目录，可回查原始证据。</w:t>
      </w:r>
    </w:p>
    <w:p>
      <w:pPr>
        <w:pStyle w:val="Heading1"/>
      </w:pPr>
      <w:r>
        <w:t>三、怎样严格参照蒋梓浩的论文</w:t>
      </w:r>
    </w:p>
    <w:p>
      <w:r>
        <w:t>参照对象已从五篇样本中的一般风格，收敛为蒋梓浩这一篇的章节组织和论述顺序。它的“准确性—可解释性”有自己的新输出、基准和评价支撑，不能把这条研究结论原封不动移植到当前论文。应借鉴他先立问题、再给机制与证据的写法。</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蒋文物理页/位置</w:t>
            </w:r>
          </w:p>
        </w:tc>
        <w:tc>
          <w:tcPr>
            <w:tcW w:type="dxa" w:w="3175"/>
            <w:tcBorders>
              <w:top w:val="single" w:sz="6"/>
              <w:left w:val="nil" w:sz="6"/>
              <w:bottom w:val="single" w:sz="6"/>
              <w:right w:val="nil" w:sz="6"/>
            </w:tcBorders>
          </w:tcPr>
          <w:p>
            <w:pPr>
              <w:spacing w:after="80"/>
            </w:pPr>
            <w:r>
              <w:rPr>
                <w:b/>
                <w:sz w:val="18"/>
              </w:rPr>
              <w:t>可直接借鉴的组织方式</w:t>
            </w:r>
          </w:p>
        </w:tc>
        <w:tc>
          <w:tcPr>
            <w:tcW w:type="dxa" w:w="3175"/>
            <w:tcBorders>
              <w:top w:val="single" w:sz="6"/>
              <w:left w:val="nil" w:sz="6"/>
              <w:bottom w:val="single" w:sz="6"/>
              <w:right w:val="nil" w:sz="6"/>
            </w:tcBorders>
          </w:tcPr>
          <w:p>
            <w:pPr>
              <w:spacing w:after="80"/>
            </w:pPr>
            <w:r>
              <w:rPr>
                <w:b/>
                <w:sz w:val="18"/>
              </w:rPr>
              <w:t>在本论文中的落实</w:t>
            </w:r>
          </w:p>
        </w:tc>
      </w:tr>
      <w:tr>
        <w:tc>
          <w:tcPr>
            <w:tcW w:type="dxa" w:w="3175"/>
            <w:tcBorders>
              <w:top w:val="nil" w:sz="6"/>
              <w:left w:val="nil" w:sz="6"/>
              <w:bottom w:val="nil" w:sz="6"/>
              <w:right w:val="nil" w:sz="6"/>
            </w:tcBorders>
          </w:tcPr>
          <w:p>
            <w:pPr>
              <w:spacing w:after="80"/>
            </w:pPr>
            <w:r>
              <w:rPr>
                <w:b w:val="0"/>
                <w:sz w:val="18"/>
              </w:rPr>
              <w:t>p4—5 摘要</w:t>
            </w:r>
          </w:p>
        </w:tc>
        <w:tc>
          <w:tcPr>
            <w:tcW w:type="dxa" w:w="3175"/>
            <w:tcBorders>
              <w:top w:val="nil" w:sz="6"/>
              <w:left w:val="nil" w:sz="6"/>
              <w:bottom w:val="nil" w:sz="6"/>
              <w:right w:val="nil" w:sz="6"/>
            </w:tcBorders>
          </w:tcPr>
          <w:p>
            <w:pPr>
              <w:spacing w:after="80"/>
            </w:pPr>
            <w:r>
              <w:rPr>
                <w:b w:val="0"/>
                <w:sz w:val="18"/>
              </w:rPr>
              <w:t>共同任务→两项不足→各项方法与结果→整体贡献</w:t>
            </w:r>
          </w:p>
        </w:tc>
        <w:tc>
          <w:tcPr>
            <w:tcW w:type="dxa" w:w="3175"/>
            <w:tcBorders>
              <w:top w:val="nil" w:sz="6"/>
              <w:left w:val="nil" w:sz="6"/>
              <w:bottom w:val="nil" w:sz="6"/>
              <w:right w:val="nil" w:sz="6"/>
            </w:tcBorders>
          </w:tcPr>
          <w:p>
            <w:pPr>
              <w:spacing w:after="80"/>
            </w:pPr>
            <w:r>
              <w:rPr>
                <w:b w:val="0"/>
                <w:sz w:val="18"/>
              </w:rPr>
              <w:t>用监督可靠性和结构依赖统领两项工作；去除开头基线名和末尾骨干版本堆砌。</w:t>
            </w:r>
          </w:p>
        </w:tc>
      </w:tr>
      <w:tr>
        <w:tc>
          <w:tcPr>
            <w:tcW w:type="dxa" w:w="3175"/>
            <w:tcBorders>
              <w:top w:val="nil" w:sz="6"/>
              <w:left w:val="nil" w:sz="6"/>
              <w:bottom w:val="nil" w:sz="6"/>
              <w:right w:val="nil" w:sz="6"/>
            </w:tcBorders>
          </w:tcPr>
          <w:p>
            <w:pPr>
              <w:spacing w:after="80"/>
            </w:pPr>
            <w:r>
              <w:rPr>
                <w:b w:val="0"/>
                <w:sz w:val="18"/>
              </w:rPr>
              <w:t>p9—11 目录</w:t>
            </w:r>
          </w:p>
        </w:tc>
        <w:tc>
          <w:tcPr>
            <w:tcW w:type="dxa" w:w="3175"/>
            <w:tcBorders>
              <w:top w:val="nil" w:sz="6"/>
              <w:left w:val="nil" w:sz="6"/>
              <w:bottom w:val="nil" w:sz="6"/>
              <w:right w:val="nil" w:sz="6"/>
            </w:tcBorders>
          </w:tcPr>
          <w:p>
            <w:pPr>
              <w:spacing w:after="80"/>
            </w:pPr>
            <w:r>
              <w:rPr>
                <w:b w:val="0"/>
                <w:sz w:val="18"/>
              </w:rPr>
              <w:t>五章；第三、四章分别设置方法和实验；第五章总结</w:t>
            </w:r>
          </w:p>
        </w:tc>
        <w:tc>
          <w:tcPr>
            <w:tcW w:type="dxa" w:w="3175"/>
            <w:tcBorders>
              <w:top w:val="nil" w:sz="6"/>
              <w:left w:val="nil" w:sz="6"/>
              <w:bottom w:val="nil" w:sz="6"/>
              <w:right w:val="nil" w:sz="6"/>
            </w:tcBorders>
          </w:tcPr>
          <w:p>
            <w:pPr>
              <w:spacing w:after="80"/>
            </w:pPr>
            <w:r>
              <w:rPr>
                <w:b w:val="0"/>
                <w:sz w:val="18"/>
              </w:rPr>
              <w:t>原第五章组合实验拆入第三/四章，原第六章改为第五章。</w:t>
            </w:r>
          </w:p>
        </w:tc>
      </w:tr>
      <w:tr>
        <w:tc>
          <w:tcPr>
            <w:tcW w:type="dxa" w:w="3175"/>
            <w:tcBorders>
              <w:top w:val="nil" w:sz="6"/>
              <w:left w:val="nil" w:sz="6"/>
              <w:bottom w:val="nil" w:sz="6"/>
              <w:right w:val="nil" w:sz="6"/>
            </w:tcBorders>
          </w:tcPr>
          <w:p>
            <w:pPr>
              <w:spacing w:after="80"/>
            </w:pPr>
            <w:r>
              <w:rPr>
                <w:b w:val="0"/>
                <w:sz w:val="18"/>
              </w:rPr>
              <w:t>p22—23 研究内容与结构</w:t>
            </w:r>
          </w:p>
        </w:tc>
        <w:tc>
          <w:tcPr>
            <w:tcW w:type="dxa" w:w="3175"/>
            <w:tcBorders>
              <w:top w:val="nil" w:sz="6"/>
              <w:left w:val="nil" w:sz="6"/>
              <w:bottom w:val="nil" w:sz="6"/>
              <w:right w:val="nil" w:sz="6"/>
            </w:tcBorders>
          </w:tcPr>
          <w:p>
            <w:pPr>
              <w:spacing w:after="80"/>
            </w:pPr>
            <w:r>
              <w:rPr>
                <w:b w:val="0"/>
                <w:sz w:val="18"/>
              </w:rPr>
              <w:t>用研究框架与章节职责衔接两项工作</w:t>
            </w:r>
          </w:p>
        </w:tc>
        <w:tc>
          <w:tcPr>
            <w:tcW w:type="dxa" w:w="3175"/>
            <w:tcBorders>
              <w:top w:val="nil" w:sz="6"/>
              <w:left w:val="nil" w:sz="6"/>
              <w:bottom w:val="nil" w:sz="6"/>
              <w:right w:val="nil" w:sz="6"/>
            </w:tcBorders>
          </w:tcPr>
          <w:p>
            <w:pPr>
              <w:spacing w:after="80"/>
            </w:pPr>
            <w:r>
              <w:rPr>
                <w:b w:val="0"/>
                <w:sz w:val="18"/>
              </w:rPr>
              <w:t>整体图显示训练输入如何形成抽取模型，以及不同模型输出如何进入同一修正接口。</w:t>
            </w:r>
          </w:p>
        </w:tc>
      </w:tr>
      <w:tr>
        <w:tc>
          <w:tcPr>
            <w:tcW w:type="dxa" w:w="3175"/>
            <w:tcBorders>
              <w:top w:val="nil" w:sz="6"/>
              <w:left w:val="nil" w:sz="6"/>
              <w:bottom w:val="nil" w:sz="6"/>
              <w:right w:val="nil" w:sz="6"/>
            </w:tcBorders>
          </w:tcPr>
          <w:p>
            <w:pPr>
              <w:spacing w:after="80"/>
            </w:pPr>
            <w:r>
              <w:rPr>
                <w:b w:val="0"/>
                <w:sz w:val="18"/>
              </w:rPr>
              <w:t>p33—36、p51—54 章首与引言</w:t>
            </w:r>
          </w:p>
        </w:tc>
        <w:tc>
          <w:tcPr>
            <w:tcW w:type="dxa" w:w="3175"/>
            <w:tcBorders>
              <w:top w:val="nil" w:sz="6"/>
              <w:left w:val="nil" w:sz="6"/>
              <w:bottom w:val="nil" w:sz="6"/>
              <w:right w:val="nil" w:sz="6"/>
            </w:tcBorders>
          </w:tcPr>
          <w:p>
            <w:pPr>
              <w:spacing w:after="80"/>
            </w:pPr>
            <w:r>
              <w:rPr>
                <w:b w:val="0"/>
                <w:sz w:val="18"/>
              </w:rPr>
              <w:t>先概述本章问题，再用例子展开具体困难</w:t>
            </w:r>
          </w:p>
        </w:tc>
        <w:tc>
          <w:tcPr>
            <w:tcW w:type="dxa" w:w="3175"/>
            <w:tcBorders>
              <w:top w:val="nil" w:sz="6"/>
              <w:left w:val="nil" w:sz="6"/>
              <w:bottom w:val="nil" w:sz="6"/>
              <w:right w:val="nil" w:sz="6"/>
            </w:tcBorders>
          </w:tcPr>
          <w:p>
            <w:pPr>
              <w:spacing w:after="80"/>
            </w:pPr>
            <w:r>
              <w:rPr>
                <w:b w:val="0"/>
                <w:sz w:val="18"/>
              </w:rPr>
              <w:t>第三章解释标签迁移为何不等于语义保持；第四章用边界变动带来关联关系失效的例子。</w:t>
            </w:r>
          </w:p>
        </w:tc>
      </w:tr>
      <w:tr>
        <w:tc>
          <w:tcPr>
            <w:tcW w:type="dxa" w:w="3175"/>
            <w:tcBorders>
              <w:top w:val="nil" w:sz="6"/>
              <w:left w:val="nil" w:sz="6"/>
              <w:bottom w:val="nil" w:sz="6"/>
              <w:right w:val="nil" w:sz="6"/>
            </w:tcBorders>
          </w:tcPr>
          <w:p>
            <w:pPr>
              <w:spacing w:after="80"/>
            </w:pPr>
            <w:r>
              <w:rPr>
                <w:b w:val="0"/>
                <w:sz w:val="18"/>
              </w:rPr>
              <w:t>p37 总体模型图</w:t>
            </w:r>
          </w:p>
        </w:tc>
        <w:tc>
          <w:tcPr>
            <w:tcW w:type="dxa" w:w="3175"/>
            <w:tcBorders>
              <w:top w:val="nil" w:sz="6"/>
              <w:left w:val="nil" w:sz="6"/>
              <w:bottom w:val="nil" w:sz="6"/>
              <w:right w:val="nil" w:sz="6"/>
            </w:tcBorders>
          </w:tcPr>
          <w:p>
            <w:pPr>
              <w:spacing w:after="80"/>
            </w:pPr>
            <w:r>
              <w:rPr>
                <w:b w:val="0"/>
                <w:sz w:val="18"/>
              </w:rPr>
              <w:t>按输入、模块、输出连线；颜色与符号有含义</w:t>
            </w:r>
          </w:p>
        </w:tc>
        <w:tc>
          <w:tcPr>
            <w:tcW w:type="dxa" w:w="3175"/>
            <w:tcBorders>
              <w:top w:val="nil" w:sz="6"/>
              <w:left w:val="nil" w:sz="6"/>
              <w:bottom w:val="nil" w:sz="6"/>
              <w:right w:val="nil" w:sz="6"/>
            </w:tcBorders>
          </w:tcPr>
          <w:p>
            <w:pPr>
              <w:spacing w:after="80"/>
            </w:pPr>
            <w:r>
              <w:rPr>
                <w:b w:val="0"/>
                <w:sz w:val="18"/>
              </w:rPr>
              <w:t>可编辑矢量重画；共享对象同名同色，训练/推理边界清晰，不复制其任务模块。</w:t>
            </w:r>
          </w:p>
        </w:tc>
      </w:tr>
      <w:tr>
        <w:tc>
          <w:tcPr>
            <w:tcW w:type="dxa" w:w="3175"/>
            <w:tcBorders>
              <w:top w:val="nil" w:sz="6"/>
              <w:left w:val="nil" w:sz="6"/>
              <w:bottom w:val="nil" w:sz="6"/>
              <w:right w:val="nil" w:sz="6"/>
            </w:tcBorders>
          </w:tcPr>
          <w:p>
            <w:pPr>
              <w:spacing w:after="80"/>
            </w:pPr>
            <w:r>
              <w:rPr>
                <w:b w:val="0"/>
                <w:sz w:val="18"/>
              </w:rPr>
              <w:t>p39—40 公式</w:t>
            </w:r>
          </w:p>
        </w:tc>
        <w:tc>
          <w:tcPr>
            <w:tcW w:type="dxa" w:w="3175"/>
            <w:tcBorders>
              <w:top w:val="nil" w:sz="6"/>
              <w:left w:val="nil" w:sz="6"/>
              <w:bottom w:val="nil" w:sz="6"/>
              <w:right w:val="nil" w:sz="6"/>
            </w:tcBorders>
          </w:tcPr>
          <w:p>
            <w:pPr>
              <w:spacing w:after="80"/>
            </w:pPr>
            <w:r>
              <w:rPr>
                <w:b w:val="0"/>
                <w:sz w:val="18"/>
              </w:rPr>
              <w:t>公式前说用途，式后顶格解释符号</w:t>
            </w:r>
          </w:p>
        </w:tc>
        <w:tc>
          <w:tcPr>
            <w:tcW w:type="dxa" w:w="3175"/>
            <w:tcBorders>
              <w:top w:val="nil" w:sz="6"/>
              <w:left w:val="nil" w:sz="6"/>
              <w:bottom w:val="nil" w:sz="6"/>
              <w:right w:val="nil" w:sz="6"/>
            </w:tcBorders>
          </w:tcPr>
          <w:p>
            <w:pPr>
              <w:spacing w:after="80"/>
            </w:pPr>
            <w:r>
              <w:rPr>
                <w:b w:val="0"/>
                <w:sz w:val="18"/>
              </w:rPr>
              <w:t>逐式检查定义、上下标、逗号/句号、式号；不能照搬其符号值。</w:t>
            </w:r>
          </w:p>
        </w:tc>
      </w:tr>
      <w:tr>
        <w:tc>
          <w:tcPr>
            <w:tcW w:type="dxa" w:w="3175"/>
            <w:tcBorders>
              <w:top w:val="nil" w:sz="6"/>
              <w:left w:val="nil" w:sz="6"/>
              <w:bottom w:val="nil" w:sz="6"/>
              <w:right w:val="nil" w:sz="6"/>
            </w:tcBorders>
          </w:tcPr>
          <w:p>
            <w:pPr>
              <w:spacing w:after="80"/>
            </w:pPr>
            <w:r>
              <w:rPr>
                <w:b w:val="0"/>
                <w:sz w:val="18"/>
              </w:rPr>
              <w:t>p40—42 实验开头</w:t>
            </w:r>
          </w:p>
        </w:tc>
        <w:tc>
          <w:tcPr>
            <w:tcW w:type="dxa" w:w="3175"/>
            <w:tcBorders>
              <w:top w:val="nil" w:sz="6"/>
              <w:left w:val="nil" w:sz="6"/>
              <w:bottom w:val="nil" w:sz="6"/>
              <w:right w:val="nil" w:sz="6"/>
            </w:tcBorders>
          </w:tcPr>
          <w:p>
            <w:pPr>
              <w:spacing w:after="80"/>
            </w:pPr>
            <w:r>
              <w:rPr>
                <w:b w:val="0"/>
                <w:sz w:val="18"/>
              </w:rPr>
              <w:t>数据与指标→基线→环境及超参数</w:t>
            </w:r>
          </w:p>
        </w:tc>
        <w:tc>
          <w:tcPr>
            <w:tcW w:type="dxa" w:w="3175"/>
            <w:tcBorders>
              <w:top w:val="nil" w:sz="6"/>
              <w:left w:val="nil" w:sz="6"/>
              <w:bottom w:val="nil" w:sz="6"/>
              <w:right w:val="nil" w:sz="6"/>
            </w:tcBorders>
          </w:tcPr>
          <w:p>
            <w:pPr>
              <w:spacing w:after="80"/>
            </w:pPr>
            <w:r>
              <w:rPr>
                <w:b w:val="0"/>
                <w:sz w:val="18"/>
              </w:rPr>
              <w:t>第三章3.5和第四章4.5均采用这一次序；公共设置用回引减少重复。</w:t>
            </w:r>
          </w:p>
        </w:tc>
      </w:tr>
      <w:tr>
        <w:tc>
          <w:tcPr>
            <w:tcW w:type="dxa" w:w="3175"/>
            <w:tcBorders>
              <w:top w:val="nil" w:sz="6"/>
              <w:left w:val="nil" w:sz="6"/>
              <w:bottom w:val="nil" w:sz="6"/>
              <w:right w:val="nil" w:sz="6"/>
            </w:tcBorders>
          </w:tcPr>
          <w:p>
            <w:pPr>
              <w:spacing w:after="80"/>
            </w:pPr>
            <w:r>
              <w:rPr>
                <w:b w:val="0"/>
                <w:sz w:val="18"/>
              </w:rPr>
              <w:t>p42 表3.2/3.3</w:t>
            </w:r>
          </w:p>
        </w:tc>
        <w:tc>
          <w:tcPr>
            <w:tcW w:type="dxa" w:w="3175"/>
            <w:tcBorders>
              <w:top w:val="nil" w:sz="6"/>
              <w:left w:val="nil" w:sz="6"/>
              <w:bottom w:val="nil" w:sz="6"/>
              <w:right w:val="nil" w:sz="6"/>
            </w:tcBorders>
          </w:tcPr>
          <w:p>
            <w:pPr>
              <w:spacing w:after="80"/>
            </w:pPr>
            <w:r>
              <w:rPr>
                <w:b w:val="0"/>
                <w:sz w:val="18"/>
              </w:rPr>
              <w:t>环境与参数分开、表题在上、三线表、数值简洁</w:t>
            </w:r>
          </w:p>
        </w:tc>
        <w:tc>
          <w:tcPr>
            <w:tcW w:type="dxa" w:w="3175"/>
            <w:tcBorders>
              <w:top w:val="nil" w:sz="6"/>
              <w:left w:val="nil" w:sz="6"/>
              <w:bottom w:val="nil" w:sz="6"/>
              <w:right w:val="nil" w:sz="6"/>
            </w:tcBorders>
          </w:tcPr>
          <w:p>
            <w:pPr>
              <w:spacing w:after="80"/>
            </w:pPr>
            <w:r>
              <w:rPr>
                <w:b w:val="0"/>
                <w:sz w:val="18"/>
              </w:rPr>
              <w:t>硬件/软件与关键参数保留紧凑表；正文只说明影响公平性的差异。</w:t>
            </w:r>
          </w:p>
        </w:tc>
      </w:tr>
      <w:tr>
        <w:tc>
          <w:tcPr>
            <w:tcW w:type="dxa" w:w="3175"/>
            <w:tcBorders>
              <w:top w:val="nil" w:sz="6"/>
              <w:left w:val="nil" w:sz="6"/>
              <w:bottom w:val="nil" w:sz="6"/>
              <w:right w:val="nil" w:sz="6"/>
            </w:tcBorders>
          </w:tcPr>
          <w:p>
            <w:pPr>
              <w:spacing w:after="80"/>
            </w:pPr>
            <w:r>
              <w:rPr>
                <w:b w:val="0"/>
                <w:sz w:val="18"/>
              </w:rPr>
              <w:t>p43—49、p64—71 结果</w:t>
            </w:r>
          </w:p>
        </w:tc>
        <w:tc>
          <w:tcPr>
            <w:tcW w:type="dxa" w:w="3175"/>
            <w:tcBorders>
              <w:top w:val="nil" w:sz="6"/>
              <w:left w:val="nil" w:sz="6"/>
              <w:bottom w:val="nil" w:sz="6"/>
              <w:right w:val="nil" w:sz="6"/>
            </w:tcBorders>
          </w:tcPr>
          <w:p>
            <w:pPr>
              <w:spacing w:after="80"/>
            </w:pPr>
            <w:r>
              <w:rPr>
                <w:b w:val="0"/>
                <w:sz w:val="18"/>
              </w:rPr>
              <w:t>主结果后接消融、泛化、超参数和效率</w:t>
            </w:r>
          </w:p>
        </w:tc>
        <w:tc>
          <w:tcPr>
            <w:tcW w:type="dxa" w:w="3175"/>
            <w:tcBorders>
              <w:top w:val="nil" w:sz="6"/>
              <w:left w:val="nil" w:sz="6"/>
              <w:bottom w:val="nil" w:sz="6"/>
              <w:right w:val="nil" w:sz="6"/>
            </w:tcBorders>
          </w:tcPr>
          <w:p>
            <w:pPr>
              <w:spacing w:after="80"/>
            </w:pPr>
            <w:r>
              <w:rPr>
                <w:b w:val="0"/>
                <w:sz w:val="18"/>
              </w:rPr>
              <w:t>每个小节回答一个问题；优先说明关键比较及例外，避免逐格读表。</w:t>
            </w:r>
          </w:p>
        </w:tc>
      </w:tr>
      <w:tr>
        <w:tc>
          <w:tcPr>
            <w:tcW w:type="dxa" w:w="3175"/>
            <w:tcBorders>
              <w:top w:val="nil" w:sz="6"/>
              <w:left w:val="nil" w:sz="6"/>
              <w:bottom w:val="nil" w:sz="6"/>
              <w:right w:val="nil" w:sz="6"/>
            </w:tcBorders>
          </w:tcPr>
          <w:p>
            <w:pPr>
              <w:spacing w:after="80"/>
            </w:pPr>
            <w:r>
              <w:rPr>
                <w:b w:val="0"/>
                <w:sz w:val="18"/>
              </w:rPr>
              <w:t>p72 案例分析</w:t>
            </w:r>
          </w:p>
        </w:tc>
        <w:tc>
          <w:tcPr>
            <w:tcW w:type="dxa" w:w="3175"/>
            <w:tcBorders>
              <w:top w:val="nil" w:sz="6"/>
              <w:left w:val="nil" w:sz="6"/>
              <w:bottom w:val="nil" w:sz="6"/>
              <w:right w:val="nil" w:sz="6"/>
            </w:tcBorders>
          </w:tcPr>
          <w:p>
            <w:pPr>
              <w:spacing w:after="80"/>
            </w:pPr>
            <w:r>
              <w:rPr>
                <w:b w:val="0"/>
                <w:sz w:val="18"/>
              </w:rPr>
              <w:t>同一输入比较基线与方法输出</w:t>
            </w:r>
          </w:p>
        </w:tc>
        <w:tc>
          <w:tcPr>
            <w:tcW w:type="dxa" w:w="3175"/>
            <w:tcBorders>
              <w:top w:val="nil" w:sz="6"/>
              <w:left w:val="nil" w:sz="6"/>
              <w:bottom w:val="nil" w:sz="6"/>
              <w:right w:val="nil" w:sz="6"/>
            </w:tcBorders>
          </w:tcPr>
          <w:p>
            <w:pPr>
              <w:spacing w:after="80"/>
            </w:pPr>
            <w:r>
              <w:rPr>
                <w:b w:val="0"/>
                <w:sz w:val="18"/>
              </w:rPr>
              <w:t>第四章给修正前/后、受影响关系、接受理由和失败例；注明真例或构造例。</w:t>
            </w:r>
          </w:p>
        </w:tc>
      </w:tr>
      <w:tr>
        <w:tc>
          <w:tcPr>
            <w:tcW w:type="dxa" w:w="3175"/>
            <w:tcBorders>
              <w:top w:val="nil" w:sz="6"/>
              <w:left w:val="nil" w:sz="6"/>
              <w:bottom w:val="nil" w:sz="6"/>
              <w:right w:val="nil" w:sz="6"/>
            </w:tcBorders>
          </w:tcPr>
          <w:p>
            <w:pPr>
              <w:spacing w:after="80"/>
            </w:pPr>
            <w:r>
              <w:rPr>
                <w:b w:val="0"/>
                <w:sz w:val="18"/>
              </w:rPr>
              <w:t>p74—76 总结展望</w:t>
            </w:r>
          </w:p>
        </w:tc>
        <w:tc>
          <w:tcPr>
            <w:tcW w:type="dxa" w:w="3175"/>
            <w:tcBorders>
              <w:top w:val="nil" w:sz="6"/>
              <w:left w:val="nil" w:sz="6"/>
              <w:bottom w:val="nil" w:sz="6"/>
              <w:right w:val="nil" w:sz="6"/>
            </w:tcBorders>
          </w:tcPr>
          <w:p>
            <w:pPr>
              <w:spacing w:after="80"/>
            </w:pPr>
            <w:r>
              <w:rPr>
                <w:b w:val="0"/>
                <w:sz w:val="18"/>
              </w:rPr>
              <w:t>工作总结与未来方向分开</w:t>
            </w:r>
          </w:p>
        </w:tc>
        <w:tc>
          <w:tcPr>
            <w:tcW w:type="dxa" w:w="3175"/>
            <w:tcBorders>
              <w:top w:val="nil" w:sz="6"/>
              <w:left w:val="nil" w:sz="6"/>
              <w:bottom w:val="nil" w:sz="6"/>
              <w:right w:val="nil" w:sz="6"/>
            </w:tcBorders>
          </w:tcPr>
          <w:p>
            <w:pPr>
              <w:spacing w:after="80"/>
            </w:pPr>
            <w:r>
              <w:rPr>
                <w:b w:val="0"/>
                <w:sz w:val="18"/>
              </w:rPr>
              <w:t>已验证的论辩结果、模拟可行性和待做跨任务实验分开陈述。</w:t>
            </w:r>
          </w:p>
        </w:tc>
      </w:tr>
      <w:tr>
        <w:tc>
          <w:tcPr>
            <w:tcW w:type="dxa" w:w="3175"/>
            <w:tcBorders>
              <w:top w:val="nil" w:sz="6"/>
              <w:left w:val="nil" w:sz="6"/>
              <w:bottom w:val="single" w:sz="6"/>
              <w:right w:val="nil" w:sz="6"/>
            </w:tcBorders>
          </w:tcPr>
          <w:p>
            <w:pPr>
              <w:spacing w:after="80"/>
            </w:pPr>
            <w:r>
              <w:rPr>
                <w:b w:val="0"/>
                <w:sz w:val="18"/>
              </w:rPr>
              <w:t>p77—86 参考文献，末条为[98]</w:t>
            </w:r>
          </w:p>
        </w:tc>
        <w:tc>
          <w:tcPr>
            <w:tcW w:type="dxa" w:w="3175"/>
            <w:tcBorders>
              <w:top w:val="nil" w:sz="6"/>
              <w:left w:val="nil" w:sz="6"/>
              <w:bottom w:val="single" w:sz="6"/>
              <w:right w:val="nil" w:sz="6"/>
            </w:tcBorders>
          </w:tcPr>
          <w:p>
            <w:pPr>
              <w:spacing w:after="80"/>
            </w:pPr>
            <w:r>
              <w:rPr>
                <w:b w:val="0"/>
                <w:sz w:val="18"/>
              </w:rPr>
              <w:t>较充分的研究覆盖，成果目录另置后部</w:t>
            </w:r>
          </w:p>
        </w:tc>
        <w:tc>
          <w:tcPr>
            <w:tcW w:type="dxa" w:w="3175"/>
            <w:tcBorders>
              <w:top w:val="nil" w:sz="6"/>
              <w:left w:val="nil" w:sz="6"/>
              <w:bottom w:val="single" w:sz="6"/>
              <w:right w:val="nil" w:sz="6"/>
            </w:tcBorders>
          </w:tcPr>
          <w:p>
            <w:pPr>
              <w:spacing w:after="80"/>
            </w:pPr>
            <w:r>
              <w:rPr>
                <w:b w:val="0"/>
                <w:sz w:val="18"/>
              </w:rPr>
              <w:t>参考文献按内容缺口补充；98条不是必须复制的数量，后置材料仍依学校要求。</w:t>
            </w:r>
          </w:p>
        </w:tc>
      </w:tr>
    </w:tbl>
    <w:p/>
    <w:p>
      <w:r>
        <w:t>格式执行顺序：先遵守学校参数，再在允许范围内严格贴近蒋文的段落与图表组织。抽样页面可见约12 pt正文、10.5 pt表内文字及单双页交替页眉；PDF中还存在FandolSong、楷体、英文字体及较小的图表文字，不能仅靠视觉推断Word行距，也不能把参考稿中的混合字体、英文图注或过小文字作为规范照搬。最终字体、字号、页边距、行距、页眉和引用位置逐项对照学校模板。</w:t>
      </w:r>
    </w:p>
    <w:p>
      <w:r>
        <w:t>保留与修正的边界：蒋文个别长句、英文图例及公式标点也需判断；本论文可采用相同的结构和说明方式，但不复制其句子、研究理由、方法名称、超参数或未经本论文实验支持的评价。</w:t>
      </w:r>
    </w:p>
    <w:p>
      <w:pPr>
        <w:pStyle w:val="Heading1"/>
      </w:pPr>
      <w:r>
        <w:t>四、术语、创新点与统一主线的调研判断</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争议</w:t>
            </w:r>
          </w:p>
        </w:tc>
        <w:tc>
          <w:tcPr>
            <w:tcW w:type="dxa" w:w="3175"/>
            <w:tcBorders>
              <w:top w:val="single" w:sz="6"/>
              <w:left w:val="nil" w:sz="6"/>
              <w:bottom w:val="single" w:sz="6"/>
              <w:right w:val="nil" w:sz="6"/>
            </w:tcBorders>
          </w:tcPr>
          <w:p>
            <w:pPr>
              <w:spacing w:after="80"/>
            </w:pPr>
            <w:r>
              <w:rPr>
                <w:b/>
                <w:sz w:val="18"/>
              </w:rPr>
              <w:t>当前证据</w:t>
            </w:r>
          </w:p>
        </w:tc>
        <w:tc>
          <w:tcPr>
            <w:tcW w:type="dxa" w:w="3175"/>
            <w:tcBorders>
              <w:top w:val="single" w:sz="6"/>
              <w:left w:val="nil" w:sz="6"/>
              <w:bottom w:val="single" w:sz="6"/>
              <w:right w:val="nil" w:sz="6"/>
            </w:tcBorders>
          </w:tcPr>
          <w:p>
            <w:pPr>
              <w:spacing w:after="80"/>
            </w:pPr>
            <w:r>
              <w:rPr>
                <w:b/>
                <w:sz w:val="18"/>
              </w:rPr>
              <w:t>判断与建议</w:t>
            </w:r>
          </w:p>
        </w:tc>
      </w:tr>
      <w:tr>
        <w:tc>
          <w:tcPr>
            <w:tcW w:type="dxa" w:w="3175"/>
            <w:tcBorders>
              <w:top w:val="nil" w:sz="6"/>
              <w:left w:val="nil" w:sz="6"/>
              <w:bottom w:val="nil" w:sz="6"/>
              <w:right w:val="nil" w:sz="6"/>
            </w:tcBorders>
          </w:tcPr>
          <w:p>
            <w:pPr>
              <w:spacing w:after="80"/>
            </w:pPr>
            <w:r>
              <w:rPr>
                <w:b w:val="0"/>
                <w:sz w:val="18"/>
              </w:rPr>
              <w:t>成对学习→对比学习</w:t>
            </w:r>
          </w:p>
        </w:tc>
        <w:tc>
          <w:tcPr>
            <w:tcW w:type="dxa" w:w="3175"/>
            <w:tcBorders>
              <w:top w:val="nil" w:sz="6"/>
              <w:left w:val="nil" w:sz="6"/>
              <w:bottom w:val="nil" w:sz="6"/>
              <w:right w:val="nil" w:sz="6"/>
            </w:tcBorders>
          </w:tcPr>
          <w:p>
            <w:pPr>
              <w:spacing w:after="80"/>
            </w:pPr>
            <w:r>
              <w:rPr>
                <w:b w:val="0"/>
                <w:sz w:val="18"/>
              </w:rPr>
              <w:t>v2 2.2.3、3.4使用原文/改写的类别分布JS对齐，并配合金标辅助监督；未见对比式判别目标。</w:t>
            </w:r>
          </w:p>
        </w:tc>
        <w:tc>
          <w:tcPr>
            <w:tcW w:type="dxa" w:w="3175"/>
            <w:tcBorders>
              <w:top w:val="nil" w:sz="6"/>
              <w:left w:val="nil" w:sz="6"/>
              <w:bottom w:val="nil" w:sz="6"/>
              <w:right w:val="nil" w:sz="6"/>
            </w:tcBorders>
          </w:tcPr>
          <w:p>
            <w:pPr>
              <w:spacing w:after="80"/>
            </w:pPr>
            <w:r>
              <w:rPr>
                <w:b w:val="0"/>
                <w:sz w:val="18"/>
              </w:rPr>
              <w:t>改为“一致性学习/一致性正则化”更准确。有成对样本不等于对比学习；与UDA及SimCSE的训练目标区分。[R1—R2]</w:t>
            </w:r>
          </w:p>
        </w:tc>
      </w:tr>
      <w:tr>
        <w:tc>
          <w:tcPr>
            <w:tcW w:type="dxa" w:w="3175"/>
            <w:tcBorders>
              <w:top w:val="nil" w:sz="6"/>
              <w:left w:val="nil" w:sz="6"/>
              <w:bottom w:val="nil" w:sz="6"/>
              <w:right w:val="nil" w:sz="6"/>
            </w:tcBorders>
          </w:tcPr>
          <w:p>
            <w:pPr>
              <w:spacing w:after="80"/>
            </w:pPr>
            <w:r>
              <w:rPr>
                <w:b w:val="0"/>
                <w:sz w:val="18"/>
              </w:rPr>
              <w:t>依赖闭合修正→思维链</w:t>
            </w:r>
          </w:p>
        </w:tc>
        <w:tc>
          <w:tcPr>
            <w:tcW w:type="dxa" w:w="3175"/>
            <w:tcBorders>
              <w:top w:val="nil" w:sz="6"/>
              <w:left w:val="nil" w:sz="6"/>
              <w:bottom w:val="nil" w:sz="6"/>
              <w:right w:val="nil" w:sz="6"/>
            </w:tcBorders>
          </w:tcPr>
          <w:p>
            <w:pPr>
              <w:spacing w:after="80"/>
            </w:pPr>
            <w:r>
              <w:rPr>
                <w:b w:val="0"/>
                <w:sz w:val="18"/>
              </w:rPr>
              <w:t>v2 4.3—4.5固定候选及评分，以对象增删效用、依赖约束、预算和局部/整数规划求解做选择。</w:t>
            </w:r>
          </w:p>
        </w:tc>
        <w:tc>
          <w:tcPr>
            <w:tcW w:type="dxa" w:w="3175"/>
            <w:tcBorders>
              <w:top w:val="nil" w:sz="6"/>
              <w:left w:val="nil" w:sz="6"/>
              <w:bottom w:val="nil" w:sz="6"/>
              <w:right w:val="nil" w:sz="6"/>
            </w:tcBorders>
          </w:tcPr>
          <w:p>
            <w:pPr>
              <w:spacing w:after="80"/>
            </w:pPr>
            <w:r>
              <w:rPr>
                <w:b w:val="0"/>
                <w:sz w:val="18"/>
              </w:rPr>
              <w:t>这是结构化修正。CoT侧重生成中间推理步骤，不能用来替换该机制。[R3—R5]</w:t>
            </w:r>
          </w:p>
        </w:tc>
      </w:tr>
      <w:tr>
        <w:tc>
          <w:tcPr>
            <w:tcW w:type="dxa" w:w="3175"/>
            <w:tcBorders>
              <w:top w:val="nil" w:sz="6"/>
              <w:left w:val="nil" w:sz="6"/>
              <w:bottom w:val="nil" w:sz="6"/>
              <w:right w:val="nil" w:sz="6"/>
            </w:tcBorders>
          </w:tcPr>
          <w:p>
            <w:pPr>
              <w:spacing w:after="80"/>
            </w:pPr>
            <w:r>
              <w:rPr>
                <w:b w:val="0"/>
                <w:sz w:val="18"/>
              </w:rPr>
              <w:t>第四章→非参数化推理</w:t>
            </w:r>
          </w:p>
        </w:tc>
        <w:tc>
          <w:tcPr>
            <w:tcW w:type="dxa" w:w="3175"/>
            <w:tcBorders>
              <w:top w:val="nil" w:sz="6"/>
              <w:left w:val="nil" w:sz="6"/>
              <w:bottom w:val="nil" w:sz="6"/>
              <w:right w:val="nil" w:sz="6"/>
            </w:tcBorders>
          </w:tcPr>
          <w:p>
            <w:pPr>
              <w:spacing w:after="80"/>
            </w:pPr>
            <w:r>
              <w:rPr>
                <w:b w:val="0"/>
                <w:sz w:val="18"/>
              </w:rPr>
              <w:t>v2 4.3.1及附录A.4使用冻结编码器、另外训练的组件/关系MLP头、OOF候选和Platt校准。</w:t>
            </w:r>
          </w:p>
        </w:tc>
        <w:tc>
          <w:tcPr>
            <w:tcW w:type="dxa" w:w="3175"/>
            <w:tcBorders>
              <w:top w:val="nil" w:sz="6"/>
              <w:left w:val="nil" w:sz="6"/>
              <w:bottom w:val="nil" w:sz="6"/>
              <w:right w:val="nil" w:sz="6"/>
            </w:tcBorders>
          </w:tcPr>
          <w:p>
            <w:pPr>
              <w:spacing w:after="80"/>
            </w:pPr>
            <w:r>
              <w:rPr>
                <w:b w:val="0"/>
                <w:sz w:val="18"/>
              </w:rPr>
              <w:t>可说“修正搜索不再更新抽取模型参数”；整体不是无需学习的Prompt方法。评分器训练与跨任务校准成本必须报告。</w:t>
            </w:r>
          </w:p>
        </w:tc>
      </w:tr>
      <w:tr>
        <w:tc>
          <w:tcPr>
            <w:tcW w:type="dxa" w:w="3175"/>
            <w:tcBorders>
              <w:top w:val="nil" w:sz="6"/>
              <w:left w:val="nil" w:sz="6"/>
              <w:bottom w:val="nil" w:sz="6"/>
              <w:right w:val="nil" w:sz="6"/>
            </w:tcBorders>
          </w:tcPr>
          <w:p>
            <w:pPr>
              <w:spacing w:after="80"/>
            </w:pPr>
            <w:r>
              <w:rPr>
                <w:b w:val="0"/>
                <w:sz w:val="18"/>
              </w:rPr>
              <w:t>准确性→可解释性</w:t>
            </w:r>
          </w:p>
        </w:tc>
        <w:tc>
          <w:tcPr>
            <w:tcW w:type="dxa" w:w="3175"/>
            <w:tcBorders>
              <w:top w:val="nil" w:sz="6"/>
              <w:left w:val="nil" w:sz="6"/>
              <w:bottom w:val="nil" w:sz="6"/>
              <w:right w:val="nil" w:sz="6"/>
            </w:tcBorders>
          </w:tcPr>
          <w:p>
            <w:pPr>
              <w:spacing w:after="80"/>
            </w:pPr>
            <w:r>
              <w:rPr>
                <w:b w:val="0"/>
                <w:sz w:val="18"/>
              </w:rPr>
              <w:t>已有事务日志及对象评分可记录修改原因，但没有人的解释评测或解释忠实性证据。</w:t>
            </w:r>
          </w:p>
        </w:tc>
        <w:tc>
          <w:tcPr>
            <w:tcW w:type="dxa" w:w="3175"/>
            <w:tcBorders>
              <w:top w:val="nil" w:sz="6"/>
              <w:left w:val="nil" w:sz="6"/>
              <w:bottom w:val="nil" w:sz="6"/>
              <w:right w:val="nil" w:sz="6"/>
            </w:tcBorders>
          </w:tcPr>
          <w:p>
            <w:pPr>
              <w:spacing w:after="80"/>
            </w:pPr>
            <w:r>
              <w:rPr>
                <w:b w:val="0"/>
                <w:sz w:val="18"/>
              </w:rPr>
              <w:t>推荐“训练监督的可靠性→推理结构决策的一致性”；若增加可解释性主张，另定义解释对象、指标及人工/反事实评测。</w:t>
            </w:r>
          </w:p>
        </w:tc>
      </w:tr>
      <w:tr>
        <w:tc>
          <w:tcPr>
            <w:tcW w:type="dxa" w:w="3175"/>
            <w:tcBorders>
              <w:top w:val="nil" w:sz="6"/>
              <w:left w:val="nil" w:sz="6"/>
              <w:bottom w:val="nil" w:sz="6"/>
              <w:right w:val="nil" w:sz="6"/>
            </w:tcBorders>
          </w:tcPr>
          <w:p>
            <w:pPr>
              <w:spacing w:after="80"/>
            </w:pPr>
            <w:r>
              <w:rPr>
                <w:b w:val="0"/>
                <w:sz w:val="18"/>
              </w:rPr>
              <w:t>同数据集→只算一个工作</w:t>
            </w:r>
          </w:p>
        </w:tc>
        <w:tc>
          <w:tcPr>
            <w:tcW w:type="dxa" w:w="3175"/>
            <w:tcBorders>
              <w:top w:val="nil" w:sz="6"/>
              <w:left w:val="nil" w:sz="6"/>
              <w:bottom w:val="nil" w:sz="6"/>
              <w:right w:val="nil" w:sz="6"/>
            </w:tcBorders>
          </w:tcPr>
          <w:p>
            <w:pPr>
              <w:spacing w:after="80"/>
            </w:pPr>
            <w:r>
              <w:rPr>
                <w:b w:val="0"/>
                <w:sz w:val="18"/>
              </w:rPr>
              <w:t>两章的操作阶段、目标、变量和对照不同；四组合能检验独立增量与交互。</w:t>
            </w:r>
          </w:p>
        </w:tc>
        <w:tc>
          <w:tcPr>
            <w:tcW w:type="dxa" w:w="3175"/>
            <w:tcBorders>
              <w:top w:val="nil" w:sz="6"/>
              <w:left w:val="nil" w:sz="6"/>
              <w:bottom w:val="nil" w:sz="6"/>
              <w:right w:val="nil" w:sz="6"/>
            </w:tcBorders>
          </w:tcPr>
          <w:p>
            <w:pPr>
              <w:spacing w:after="80"/>
            </w:pPr>
            <w:r>
              <w:rPr>
                <w:b w:val="0"/>
                <w:sz w:val="18"/>
              </w:rPr>
              <w:t>同数据集并不抹去独立贡献。跨任务实验增强适用范围，但不能替代方法创新性论证。</w:t>
            </w:r>
          </w:p>
        </w:tc>
      </w:tr>
      <w:tr>
        <w:tc>
          <w:tcPr>
            <w:tcW w:type="dxa" w:w="3175"/>
            <w:tcBorders>
              <w:top w:val="nil" w:sz="6"/>
              <w:left w:val="nil" w:sz="6"/>
              <w:bottom w:val="single" w:sz="6"/>
              <w:right w:val="nil" w:sz="6"/>
            </w:tcBorders>
          </w:tcPr>
          <w:p>
            <w:pPr>
              <w:spacing w:after="80"/>
            </w:pPr>
            <w:r>
              <w:rPr>
                <w:b w:val="0"/>
                <w:sz w:val="18"/>
              </w:rPr>
              <w:t>改名→创新更强</w:t>
            </w:r>
          </w:p>
        </w:tc>
        <w:tc>
          <w:tcPr>
            <w:tcW w:type="dxa" w:w="3175"/>
            <w:tcBorders>
              <w:top w:val="nil" w:sz="6"/>
              <w:left w:val="nil" w:sz="6"/>
              <w:bottom w:val="single" w:sz="6"/>
              <w:right w:val="nil" w:sz="6"/>
            </w:tcBorders>
          </w:tcPr>
          <w:p>
            <w:pPr>
              <w:spacing w:after="80"/>
            </w:pPr>
            <w:r>
              <w:rPr>
                <w:b w:val="0"/>
                <w:sz w:val="18"/>
              </w:rPr>
              <w:t>整数规划联合推断和实体—关系互相约束已有较早研究；Re-Cent也有抽取修正机制。</w:t>
            </w:r>
          </w:p>
        </w:tc>
        <w:tc>
          <w:tcPr>
            <w:tcW w:type="dxa" w:w="3175"/>
            <w:tcBorders>
              <w:top w:val="nil" w:sz="6"/>
              <w:left w:val="nil" w:sz="6"/>
              <w:bottom w:val="single" w:sz="6"/>
              <w:right w:val="nil" w:sz="6"/>
            </w:tcBorders>
          </w:tcPr>
          <w:p>
            <w:pPr>
              <w:spacing w:after="80"/>
            </w:pPr>
            <w:r>
              <w:rPr>
                <w:b w:val="0"/>
                <w:sz w:val="18"/>
              </w:rPr>
              <w:t>贡献需落在当前具体的受影响域、事务接受、风险/预算与计数效用设计，逐项比较既有方法；不能声称首次联合处理对象与关系。[R4—R5、R10]</w:t>
            </w:r>
          </w:p>
        </w:tc>
      </w:tr>
    </w:tbl>
    <w:p/>
    <w:p>
      <w:r>
        <w:t>更稳妥的全文中心陈述：大语言模型能够统一生成论辩组件与关系，但组件变化会影响相应关系的语义或身份。针对训练数据改写与推理结果修正这两个阶段，分别研究可靠监督的构造与一致性学习，以及组件和关系的联合结构决策。前者改进学习信号，后者处理预测中的残余结构错误；组合实验用于检验两者是否互补。此处是拟定主线，不是已经完成的论文改写。</w:t>
      </w:r>
    </w:p>
    <w:p>
      <w:r>
        <w:t>“关系影响域”“事务”等术语可以在正文中定义，但首次出现先用一句普通技术语言解释对象和用途；避免把多个内部命名同时放进标题、摘要和章首。新方法允许提出新概念，要求是必要、准确、有定义，并与已有概念区分，而非禁止任何新名称。</w:t>
      </w:r>
    </w:p>
    <w:p>
      <w:pPr>
        <w:pStyle w:val="Heading1"/>
      </w:pPr>
      <w:r>
        <w:t>五、第四章跨任务扩展：先验证，再决定目录</w:t>
      </w:r>
    </w:p>
    <w:p>
      <w:r>
        <w:t>可迁移的核心有条件成立：输出能拆为有限对象及其关系；对象身份和依赖可明确描述；候选在本轮搜索中固定；对象得分可比较；合法性及预算可被求解器处理。在这些条件下，组件可换成实体/论元，关系可换成实体关系/事件角色，联合接受与预算求解的思路仍然适用。候选生成、语义评分和任务模式不会自动迁移。</w:t>
      </w:r>
    </w:p>
    <w:tbl>
      <w:tblPr>
        <w:tblW w:type="auto" w:w="0"/>
        <w:tblLayout w:type="autofit"/>
        <w:tblLook w:firstColumn="1" w:firstRow="1" w:lastColumn="0" w:lastRow="0" w:noHBand="0" w:noVBand="1" w:val="04A0"/>
      </w:tblPr>
      <w:tblGrid>
        <w:gridCol w:w="2381"/>
        <w:gridCol w:w="2381"/>
        <w:gridCol w:w="2381"/>
        <w:gridCol w:w="2381"/>
      </w:tblGrid>
      <w:tr>
        <w:trPr>
          <w:tblHeader/>
        </w:trPr>
        <w:tc>
          <w:tcPr>
            <w:tcW w:type="dxa" w:w="2381"/>
            <w:tcBorders>
              <w:top w:val="single" w:sz="6"/>
              <w:left w:val="nil" w:sz="6"/>
              <w:bottom w:val="single" w:sz="6"/>
              <w:right w:val="nil" w:sz="6"/>
            </w:tcBorders>
          </w:tcPr>
          <w:p>
            <w:pPr>
              <w:spacing w:after="80"/>
            </w:pPr>
            <w:r>
              <w:rPr>
                <w:b/>
                <w:sz w:val="18"/>
              </w:rPr>
              <w:t>候选任务</w:t>
            </w:r>
          </w:p>
        </w:tc>
        <w:tc>
          <w:tcPr>
            <w:tcW w:type="dxa" w:w="2381"/>
            <w:tcBorders>
              <w:top w:val="single" w:sz="6"/>
              <w:left w:val="nil" w:sz="6"/>
              <w:bottom w:val="single" w:sz="6"/>
              <w:right w:val="nil" w:sz="6"/>
            </w:tcBorders>
          </w:tcPr>
          <w:p>
            <w:pPr>
              <w:spacing w:after="80"/>
            </w:pPr>
            <w:r>
              <w:rPr>
                <w:b/>
                <w:sz w:val="18"/>
              </w:rPr>
              <w:t>保留部分</w:t>
            </w:r>
          </w:p>
        </w:tc>
        <w:tc>
          <w:tcPr>
            <w:tcW w:type="dxa" w:w="2381"/>
            <w:tcBorders>
              <w:top w:val="single" w:sz="6"/>
              <w:left w:val="nil" w:sz="6"/>
              <w:bottom w:val="single" w:sz="6"/>
              <w:right w:val="nil" w:sz="6"/>
            </w:tcBorders>
          </w:tcPr>
          <w:p>
            <w:pPr>
              <w:spacing w:after="80"/>
            </w:pPr>
            <w:r>
              <w:rPr>
                <w:b/>
                <w:sz w:val="18"/>
              </w:rPr>
              <w:t>必须改动与评价</w:t>
            </w:r>
          </w:p>
        </w:tc>
        <w:tc>
          <w:tcPr>
            <w:tcW w:type="dxa" w:w="2381"/>
            <w:tcBorders>
              <w:top w:val="single" w:sz="6"/>
              <w:left w:val="nil" w:sz="6"/>
              <w:bottom w:val="single" w:sz="6"/>
              <w:right w:val="nil" w:sz="6"/>
            </w:tcBorders>
          </w:tcPr>
          <w:p>
            <w:pPr>
              <w:spacing w:after="80"/>
            </w:pPr>
            <w:r>
              <w:rPr>
                <w:b/>
                <w:sz w:val="18"/>
              </w:rPr>
              <w:t>优先级</w:t>
            </w:r>
          </w:p>
        </w:tc>
      </w:tr>
      <w:tr>
        <w:tc>
          <w:tcPr>
            <w:tcW w:type="dxa" w:w="2381"/>
            <w:tcBorders>
              <w:top w:val="nil" w:sz="6"/>
              <w:left w:val="nil" w:sz="6"/>
              <w:bottom w:val="nil" w:sz="6"/>
              <w:right w:val="nil" w:sz="6"/>
            </w:tcBorders>
          </w:tcPr>
          <w:p>
            <w:pPr>
              <w:spacing w:after="80"/>
            </w:pPr>
            <w:r>
              <w:rPr>
                <w:b w:val="0"/>
                <w:sz w:val="18"/>
              </w:rPr>
              <w:t>联合实体关系抽取：SciERC等</w:t>
            </w:r>
          </w:p>
        </w:tc>
        <w:tc>
          <w:tcPr>
            <w:tcW w:type="dxa" w:w="2381"/>
            <w:tcBorders>
              <w:top w:val="nil" w:sz="6"/>
              <w:left w:val="nil" w:sz="6"/>
              <w:bottom w:val="nil" w:sz="6"/>
              <w:right w:val="nil" w:sz="6"/>
            </w:tcBorders>
          </w:tcPr>
          <w:p>
            <w:pPr>
              <w:spacing w:after="80"/>
            </w:pPr>
            <w:r>
              <w:rPr>
                <w:b w:val="0"/>
                <w:sz w:val="18"/>
              </w:rPr>
              <w:t>跨度对象、关系端点依赖、固定候选评分、联合选择</w:t>
            </w:r>
          </w:p>
        </w:tc>
        <w:tc>
          <w:tcPr>
            <w:tcW w:type="dxa" w:w="2381"/>
            <w:tcBorders>
              <w:top w:val="nil" w:sz="6"/>
              <w:left w:val="nil" w:sz="6"/>
              <w:bottom w:val="nil" w:sz="6"/>
              <w:right w:val="nil" w:sz="6"/>
            </w:tcBorders>
          </w:tcPr>
          <w:p>
            <w:pPr>
              <w:spacing w:after="80"/>
            </w:pPr>
            <w:r>
              <w:rPr>
                <w:b w:val="0"/>
                <w:sz w:val="18"/>
              </w:rPr>
              <w:t>采用真实任务标签与嵌套/方向规则；报告实体F1与官方关系F1；若加更严格含实体类型的指标，单独命名，不能替代官方口径。SciERC包含实体、关系与共指，不能把只做前两者写成覆盖全任务。[R6]</w:t>
            </w:r>
          </w:p>
        </w:tc>
        <w:tc>
          <w:tcPr>
            <w:tcW w:type="dxa" w:w="2381"/>
            <w:tcBorders>
              <w:top w:val="nil" w:sz="6"/>
              <w:left w:val="nil" w:sz="6"/>
              <w:bottom w:val="nil" w:sz="6"/>
              <w:right w:val="nil" w:sz="6"/>
            </w:tcBorders>
          </w:tcPr>
          <w:p>
            <w:pPr>
              <w:spacing w:after="80"/>
            </w:pPr>
            <w:r>
              <w:rPr>
                <w:b w:val="0"/>
                <w:sz w:val="18"/>
              </w:rPr>
              <w:t>第一优先</w:t>
            </w:r>
          </w:p>
        </w:tc>
      </w:tr>
      <w:tr>
        <w:tc>
          <w:tcPr>
            <w:tcW w:type="dxa" w:w="2381"/>
            <w:tcBorders>
              <w:top w:val="nil" w:sz="6"/>
              <w:left w:val="nil" w:sz="6"/>
              <w:bottom w:val="nil" w:sz="6"/>
              <w:right w:val="nil" w:sz="6"/>
            </w:tcBorders>
          </w:tcPr>
          <w:p>
            <w:pPr>
              <w:spacing w:after="80"/>
            </w:pPr>
            <w:r>
              <w:rPr>
                <w:b w:val="0"/>
                <w:sz w:val="18"/>
              </w:rPr>
              <w:t>事件论元抽取：RAMS等</w:t>
            </w:r>
          </w:p>
        </w:tc>
        <w:tc>
          <w:tcPr>
            <w:tcW w:type="dxa" w:w="2381"/>
            <w:tcBorders>
              <w:top w:val="nil" w:sz="6"/>
              <w:left w:val="nil" w:sz="6"/>
              <w:bottom w:val="nil" w:sz="6"/>
              <w:right w:val="nil" w:sz="6"/>
            </w:tcBorders>
          </w:tcPr>
          <w:p>
            <w:pPr>
              <w:spacing w:after="80"/>
            </w:pPr>
            <w:r>
              <w:rPr>
                <w:b w:val="0"/>
                <w:sz w:val="18"/>
              </w:rPr>
              <w:t>触发词/论元跨度、角色连接、对象变动后的依赖更新</w:t>
            </w:r>
          </w:p>
        </w:tc>
        <w:tc>
          <w:tcPr>
            <w:tcW w:type="dxa" w:w="2381"/>
            <w:tcBorders>
              <w:top w:val="nil" w:sz="6"/>
              <w:left w:val="nil" w:sz="6"/>
              <w:bottom w:val="nil" w:sz="6"/>
              <w:right w:val="nil" w:sz="6"/>
            </w:tcBorders>
          </w:tcPr>
          <w:p>
            <w:pPr>
              <w:spacing w:after="80"/>
            </w:pPr>
            <w:r>
              <w:rPr>
                <w:b w:val="0"/>
                <w:sz w:val="18"/>
              </w:rPr>
              <w:t>RAMS以事件角色跨度链接为核心；固定触发词设定下不应宣称实现联合事件检测。角色集合、重叠与数量限制从标注规范读取，不套用论辩约束。[R7]</w:t>
            </w:r>
          </w:p>
        </w:tc>
        <w:tc>
          <w:tcPr>
            <w:tcW w:type="dxa" w:w="2381"/>
            <w:tcBorders>
              <w:top w:val="nil" w:sz="6"/>
              <w:left w:val="nil" w:sz="6"/>
              <w:bottom w:val="nil" w:sz="6"/>
              <w:right w:val="nil" w:sz="6"/>
            </w:tcBorders>
          </w:tcPr>
          <w:p>
            <w:pPr>
              <w:spacing w:after="80"/>
            </w:pPr>
            <w:r>
              <w:rPr>
                <w:b w:val="0"/>
                <w:sz w:val="18"/>
              </w:rPr>
              <w:t>第二优先</w:t>
            </w:r>
          </w:p>
        </w:tc>
      </w:tr>
      <w:tr>
        <w:tc>
          <w:tcPr>
            <w:tcW w:type="dxa" w:w="2381"/>
            <w:tcBorders>
              <w:top w:val="nil" w:sz="6"/>
              <w:left w:val="nil" w:sz="6"/>
              <w:bottom w:val="nil" w:sz="6"/>
              <w:right w:val="nil" w:sz="6"/>
            </w:tcBorders>
          </w:tcPr>
          <w:p>
            <w:pPr>
              <w:spacing w:after="80"/>
            </w:pPr>
            <w:r>
              <w:rPr>
                <w:b w:val="0"/>
                <w:sz w:val="18"/>
              </w:rPr>
              <w:t>语义角色标注</w:t>
            </w:r>
          </w:p>
        </w:tc>
        <w:tc>
          <w:tcPr>
            <w:tcW w:type="dxa" w:w="2381"/>
            <w:tcBorders>
              <w:top w:val="nil" w:sz="6"/>
              <w:left w:val="nil" w:sz="6"/>
              <w:bottom w:val="nil" w:sz="6"/>
              <w:right w:val="nil" w:sz="6"/>
            </w:tcBorders>
          </w:tcPr>
          <w:p>
            <w:pPr>
              <w:spacing w:after="80"/>
            </w:pPr>
            <w:r>
              <w:rPr>
                <w:b w:val="0"/>
                <w:sz w:val="18"/>
              </w:rPr>
              <w:t>谓词—论元依赖与角色约束</w:t>
            </w:r>
          </w:p>
        </w:tc>
        <w:tc>
          <w:tcPr>
            <w:tcW w:type="dxa" w:w="2381"/>
            <w:tcBorders>
              <w:top w:val="nil" w:sz="6"/>
              <w:left w:val="nil" w:sz="6"/>
              <w:bottom w:val="nil" w:sz="6"/>
              <w:right w:val="nil" w:sz="6"/>
            </w:tcBorders>
          </w:tcPr>
          <w:p>
            <w:pPr>
              <w:spacing w:after="80"/>
            </w:pPr>
            <w:r>
              <w:rPr>
                <w:b w:val="0"/>
                <w:sz w:val="18"/>
              </w:rPr>
              <w:t>已有ILP推断研究；需考虑论元连续性、重复角色与共享情况。适合作补充验证，不宜当全新方法来源。[R5]</w:t>
            </w:r>
          </w:p>
        </w:tc>
        <w:tc>
          <w:tcPr>
            <w:tcW w:type="dxa" w:w="2381"/>
            <w:tcBorders>
              <w:top w:val="nil" w:sz="6"/>
              <w:left w:val="nil" w:sz="6"/>
              <w:bottom w:val="nil" w:sz="6"/>
              <w:right w:val="nil" w:sz="6"/>
            </w:tcBorders>
          </w:tcPr>
          <w:p>
            <w:pPr>
              <w:spacing w:after="80"/>
            </w:pPr>
            <w:r>
              <w:rPr>
                <w:b w:val="0"/>
                <w:sz w:val="18"/>
              </w:rPr>
              <w:t>备选</w:t>
            </w:r>
          </w:p>
        </w:tc>
      </w:tr>
      <w:tr>
        <w:tc>
          <w:tcPr>
            <w:tcW w:type="dxa" w:w="2381"/>
            <w:tcBorders>
              <w:top w:val="nil" w:sz="6"/>
              <w:left w:val="nil" w:sz="6"/>
              <w:bottom w:val="single" w:sz="6"/>
              <w:right w:val="nil" w:sz="6"/>
            </w:tcBorders>
          </w:tcPr>
          <w:p>
            <w:pPr>
              <w:spacing w:after="80"/>
            </w:pPr>
            <w:r>
              <w:rPr>
                <w:b w:val="0"/>
                <w:sz w:val="18"/>
              </w:rPr>
              <w:t>自由问答、摘要等开放生成</w:t>
            </w:r>
          </w:p>
        </w:tc>
        <w:tc>
          <w:tcPr>
            <w:tcW w:type="dxa" w:w="2381"/>
            <w:tcBorders>
              <w:top w:val="nil" w:sz="6"/>
              <w:left w:val="nil" w:sz="6"/>
              <w:bottom w:val="single" w:sz="6"/>
              <w:right w:val="nil" w:sz="6"/>
            </w:tcBorders>
          </w:tcPr>
          <w:p>
            <w:pPr>
              <w:spacing w:after="80"/>
            </w:pPr>
            <w:r>
              <w:rPr>
                <w:b w:val="0"/>
                <w:sz w:val="18"/>
              </w:rPr>
              <w:t>仅有一般“生成后修订”概念相似</w:t>
            </w:r>
          </w:p>
        </w:tc>
        <w:tc>
          <w:tcPr>
            <w:tcW w:type="dxa" w:w="2381"/>
            <w:tcBorders>
              <w:top w:val="nil" w:sz="6"/>
              <w:left w:val="nil" w:sz="6"/>
              <w:bottom w:val="single" w:sz="6"/>
              <w:right w:val="nil" w:sz="6"/>
            </w:tcBorders>
          </w:tcPr>
          <w:p>
            <w:pPr>
              <w:spacing w:after="80"/>
            </w:pPr>
            <w:r>
              <w:rPr>
                <w:b w:val="0"/>
                <w:sz w:val="18"/>
              </w:rPr>
              <w:t>缺少相同的有限对象身份与可核验关系约束；需额外定义语义表示和评估，已超出低成本迁移。</w:t>
            </w:r>
          </w:p>
        </w:tc>
        <w:tc>
          <w:tcPr>
            <w:tcW w:type="dxa" w:w="2381"/>
            <w:tcBorders>
              <w:top w:val="nil" w:sz="6"/>
              <w:left w:val="nil" w:sz="6"/>
              <w:bottom w:val="single" w:sz="6"/>
              <w:right w:val="nil" w:sz="6"/>
            </w:tcBorders>
          </w:tcPr>
          <w:p>
            <w:pPr>
              <w:spacing w:after="80"/>
            </w:pPr>
            <w:r>
              <w:rPr>
                <w:b w:val="0"/>
                <w:sz w:val="18"/>
              </w:rPr>
              <w:t>本轮不优先</w:t>
            </w:r>
          </w:p>
        </w:tc>
      </w:tr>
    </w:tbl>
    <w:p/>
    <w:p>
      <w:r>
        <w:t>现有代码的具体改造点：schema.py只接受aaec/cdcp并固定类型与关系表；graph_errors和MILP均施加跨度不重叠；repair.py含CDCP连续多源约束。应抽出TaskSchema接口，分别提供对象身份、冲突规则、关系可行性及约束生成器。保留“打分—依赖检查—预算内联合选择—提交日志”的共同求解流程。跨任务不是只给标签换名字。</w:t>
      </w:r>
    </w:p>
    <w:p>
      <w:r>
        <w:t>本轮已运行的模拟原型：两个简化任务模式×三种评分质量×两种候选保留设置×三个固定随机种子×30个样本，共1080个模拟结构实例；比较初始输出、仅修关系、先选对象后选关系、联合选择四种策略。共享同一MILP实现，事件模式额外加入角色互斥约束。所有方法固定候选和评分，限制4次对象增删、6次关系增删，并保持分项代理效用不下降。</w:t>
      </w:r>
    </w:p>
    <w:p>
      <w:r>
        <w:t>重要边界：样本没有真实自然语言语料，评分根据构造真值从Beta分布人工抽取；“informative/weak/reversed”分别表示正向、弱区分和反向评分。真值仅用于生成和评价，不直接传给求解接口。这是对结构依赖与约束接口的隔离检验，不是评分器已学会泛化，也不是原论文完整算法复现；没有真实SciERC/RAMS实验，没有LLM调用。</w:t>
      </w:r>
    </w:p>
    <w:tbl>
      <w:tblPr>
        <w:tblW w:type="auto" w:w="0"/>
        <w:tblLayout w:type="autofit"/>
        <w:tblLook w:firstColumn="1" w:firstRow="1" w:lastColumn="0" w:lastRow="0" w:noHBand="0" w:noVBand="1" w:val="04A0"/>
      </w:tblPr>
      <w:tblGrid>
        <w:gridCol w:w="1905"/>
        <w:gridCol w:w="1905"/>
        <w:gridCol w:w="1905"/>
        <w:gridCol w:w="1905"/>
        <w:gridCol w:w="1905"/>
      </w:tblGrid>
      <w:tr>
        <w:trPr>
          <w:tblHeader/>
        </w:trPr>
        <w:tc>
          <w:tcPr>
            <w:tcW w:type="dxa" w:w="1905"/>
            <w:tcBorders>
              <w:top w:val="single" w:sz="6"/>
              <w:left w:val="nil" w:sz="6"/>
              <w:bottom w:val="single" w:sz="6"/>
              <w:right w:val="nil" w:sz="6"/>
            </w:tcBorders>
          </w:tcPr>
          <w:p>
            <w:pPr>
              <w:spacing w:after="80"/>
            </w:pPr>
            <w:r>
              <w:rPr>
                <w:b/>
                <w:sz w:val="18"/>
              </w:rPr>
              <w:t>仅模拟：完整候选条件</w:t>
            </w:r>
          </w:p>
        </w:tc>
        <w:tc>
          <w:tcPr>
            <w:tcW w:type="dxa" w:w="1905"/>
            <w:tcBorders>
              <w:top w:val="single" w:sz="6"/>
              <w:left w:val="nil" w:sz="6"/>
              <w:bottom w:val="single" w:sz="6"/>
              <w:right w:val="nil" w:sz="6"/>
            </w:tcBorders>
          </w:tcPr>
          <w:p>
            <w:pPr>
              <w:spacing w:after="80"/>
            </w:pPr>
            <w:r>
              <w:rPr>
                <w:b/>
                <w:sz w:val="18"/>
              </w:rPr>
              <w:t>初始F1</w:t>
            </w:r>
          </w:p>
        </w:tc>
        <w:tc>
          <w:tcPr>
            <w:tcW w:type="dxa" w:w="1905"/>
            <w:tcBorders>
              <w:top w:val="single" w:sz="6"/>
              <w:left w:val="nil" w:sz="6"/>
              <w:bottom w:val="single" w:sz="6"/>
              <w:right w:val="nil" w:sz="6"/>
            </w:tcBorders>
          </w:tcPr>
          <w:p>
            <w:pPr>
              <w:spacing w:after="80"/>
            </w:pPr>
            <w:r>
              <w:rPr>
                <w:b/>
                <w:sz w:val="18"/>
              </w:rPr>
              <w:t>只修关系</w:t>
            </w:r>
          </w:p>
        </w:tc>
        <w:tc>
          <w:tcPr>
            <w:tcW w:type="dxa" w:w="1905"/>
            <w:tcBorders>
              <w:top w:val="single" w:sz="6"/>
              <w:left w:val="nil" w:sz="6"/>
              <w:bottom w:val="single" w:sz="6"/>
              <w:right w:val="nil" w:sz="6"/>
            </w:tcBorders>
          </w:tcPr>
          <w:p>
            <w:pPr>
              <w:spacing w:after="80"/>
            </w:pPr>
            <w:r>
              <w:rPr>
                <w:b/>
                <w:sz w:val="18"/>
              </w:rPr>
              <w:t>顺序选择</w:t>
            </w:r>
          </w:p>
        </w:tc>
        <w:tc>
          <w:tcPr>
            <w:tcW w:type="dxa" w:w="1905"/>
            <w:tcBorders>
              <w:top w:val="single" w:sz="6"/>
              <w:left w:val="nil" w:sz="6"/>
              <w:bottom w:val="single" w:sz="6"/>
              <w:right w:val="nil" w:sz="6"/>
            </w:tcBorders>
          </w:tcPr>
          <w:p>
            <w:pPr>
              <w:spacing w:after="80"/>
            </w:pPr>
            <w:r>
              <w:rPr>
                <w:b/>
                <w:sz w:val="18"/>
              </w:rPr>
              <w:t>联合选择</w:t>
            </w:r>
          </w:p>
        </w:tc>
      </w:tr>
      <w:tr>
        <w:tc>
          <w:tcPr>
            <w:tcW w:type="dxa" w:w="1905"/>
            <w:tcBorders>
              <w:top w:val="nil" w:sz="6"/>
              <w:left w:val="nil" w:sz="6"/>
              <w:bottom w:val="nil" w:sz="6"/>
              <w:right w:val="nil" w:sz="6"/>
            </w:tcBorders>
          </w:tcPr>
          <w:p>
            <w:pPr>
              <w:spacing w:after="80"/>
            </w:pPr>
            <w:r>
              <w:rPr>
                <w:b w:val="0"/>
                <w:sz w:val="18"/>
              </w:rPr>
              <w:t>实体关系模拟／正向评分</w:t>
            </w:r>
          </w:p>
        </w:tc>
        <w:tc>
          <w:tcPr>
            <w:tcW w:type="dxa" w:w="1905"/>
            <w:tcBorders>
              <w:top w:val="nil" w:sz="6"/>
              <w:left w:val="nil" w:sz="6"/>
              <w:bottom w:val="nil" w:sz="6"/>
              <w:right w:val="nil" w:sz="6"/>
            </w:tcBorders>
          </w:tcPr>
          <w:p>
            <w:pPr>
              <w:spacing w:after="80"/>
            </w:pPr>
            <w:r>
              <w:rPr>
                <w:b w:val="0"/>
                <w:sz w:val="18"/>
              </w:rPr>
              <w:t>32.35</w:t>
            </w:r>
          </w:p>
        </w:tc>
        <w:tc>
          <w:tcPr>
            <w:tcW w:type="dxa" w:w="1905"/>
            <w:tcBorders>
              <w:top w:val="nil" w:sz="6"/>
              <w:left w:val="nil" w:sz="6"/>
              <w:bottom w:val="nil" w:sz="6"/>
              <w:right w:val="nil" w:sz="6"/>
            </w:tcBorders>
          </w:tcPr>
          <w:p>
            <w:pPr>
              <w:spacing w:after="80"/>
            </w:pPr>
            <w:r>
              <w:rPr>
                <w:b w:val="0"/>
                <w:sz w:val="18"/>
              </w:rPr>
              <w:t>51.35</w:t>
            </w:r>
          </w:p>
        </w:tc>
        <w:tc>
          <w:tcPr>
            <w:tcW w:type="dxa" w:w="1905"/>
            <w:tcBorders>
              <w:top w:val="nil" w:sz="6"/>
              <w:left w:val="nil" w:sz="6"/>
              <w:bottom w:val="nil" w:sz="6"/>
              <w:right w:val="nil" w:sz="6"/>
            </w:tcBorders>
          </w:tcPr>
          <w:p>
            <w:pPr>
              <w:spacing w:after="80"/>
            </w:pPr>
            <w:r>
              <w:rPr>
                <w:b w:val="0"/>
                <w:sz w:val="18"/>
              </w:rPr>
              <w:t>94.53</w:t>
            </w:r>
          </w:p>
        </w:tc>
        <w:tc>
          <w:tcPr>
            <w:tcW w:type="dxa" w:w="1905"/>
            <w:tcBorders>
              <w:top w:val="nil" w:sz="6"/>
              <w:left w:val="nil" w:sz="6"/>
              <w:bottom w:val="nil" w:sz="6"/>
              <w:right w:val="nil" w:sz="6"/>
            </w:tcBorders>
          </w:tcPr>
          <w:p>
            <w:pPr>
              <w:spacing w:after="80"/>
            </w:pPr>
            <w:r>
              <w:rPr>
                <w:b w:val="0"/>
                <w:sz w:val="18"/>
              </w:rPr>
              <w:t>97.73</w:t>
            </w:r>
          </w:p>
        </w:tc>
      </w:tr>
      <w:tr>
        <w:tc>
          <w:tcPr>
            <w:tcW w:type="dxa" w:w="1905"/>
            <w:tcBorders>
              <w:top w:val="nil" w:sz="6"/>
              <w:left w:val="nil" w:sz="6"/>
              <w:bottom w:val="nil" w:sz="6"/>
              <w:right w:val="nil" w:sz="6"/>
            </w:tcBorders>
          </w:tcPr>
          <w:p>
            <w:pPr>
              <w:spacing w:after="80"/>
            </w:pPr>
            <w:r>
              <w:rPr>
                <w:b w:val="0"/>
                <w:sz w:val="18"/>
              </w:rPr>
              <w:t>实体关系模拟／弱评分</w:t>
            </w:r>
          </w:p>
        </w:tc>
        <w:tc>
          <w:tcPr>
            <w:tcW w:type="dxa" w:w="1905"/>
            <w:tcBorders>
              <w:top w:val="nil" w:sz="6"/>
              <w:left w:val="nil" w:sz="6"/>
              <w:bottom w:val="nil" w:sz="6"/>
              <w:right w:val="nil" w:sz="6"/>
            </w:tcBorders>
          </w:tcPr>
          <w:p>
            <w:pPr>
              <w:spacing w:after="80"/>
            </w:pPr>
            <w:r>
              <w:rPr>
                <w:b w:val="0"/>
                <w:sz w:val="18"/>
              </w:rPr>
              <w:t>32.35</w:t>
            </w:r>
          </w:p>
        </w:tc>
        <w:tc>
          <w:tcPr>
            <w:tcW w:type="dxa" w:w="1905"/>
            <w:tcBorders>
              <w:top w:val="nil" w:sz="6"/>
              <w:left w:val="nil" w:sz="6"/>
              <w:bottom w:val="nil" w:sz="6"/>
              <w:right w:val="nil" w:sz="6"/>
            </w:tcBorders>
          </w:tcPr>
          <w:p>
            <w:pPr>
              <w:spacing w:after="80"/>
            </w:pPr>
            <w:r>
              <w:rPr>
                <w:b w:val="0"/>
                <w:sz w:val="18"/>
              </w:rPr>
              <w:t>36.83</w:t>
            </w:r>
          </w:p>
        </w:tc>
        <w:tc>
          <w:tcPr>
            <w:tcW w:type="dxa" w:w="1905"/>
            <w:tcBorders>
              <w:top w:val="nil" w:sz="6"/>
              <w:left w:val="nil" w:sz="6"/>
              <w:bottom w:val="nil" w:sz="6"/>
              <w:right w:val="nil" w:sz="6"/>
            </w:tcBorders>
          </w:tcPr>
          <w:p>
            <w:pPr>
              <w:spacing w:after="80"/>
            </w:pPr>
            <w:r>
              <w:rPr>
                <w:b w:val="0"/>
                <w:sz w:val="18"/>
              </w:rPr>
              <w:t>40.10</w:t>
            </w:r>
          </w:p>
        </w:tc>
        <w:tc>
          <w:tcPr>
            <w:tcW w:type="dxa" w:w="1905"/>
            <w:tcBorders>
              <w:top w:val="nil" w:sz="6"/>
              <w:left w:val="nil" w:sz="6"/>
              <w:bottom w:val="nil" w:sz="6"/>
              <w:right w:val="nil" w:sz="6"/>
            </w:tcBorders>
          </w:tcPr>
          <w:p>
            <w:pPr>
              <w:spacing w:after="80"/>
            </w:pPr>
            <w:r>
              <w:rPr>
                <w:b w:val="0"/>
                <w:sz w:val="18"/>
              </w:rPr>
              <w:t>61.29</w:t>
            </w:r>
          </w:p>
        </w:tc>
      </w:tr>
      <w:tr>
        <w:tc>
          <w:tcPr>
            <w:tcW w:type="dxa" w:w="1905"/>
            <w:tcBorders>
              <w:top w:val="nil" w:sz="6"/>
              <w:left w:val="nil" w:sz="6"/>
              <w:bottom w:val="nil" w:sz="6"/>
              <w:right w:val="nil" w:sz="6"/>
            </w:tcBorders>
          </w:tcPr>
          <w:p>
            <w:pPr>
              <w:spacing w:after="80"/>
            </w:pPr>
            <w:r>
              <w:rPr>
                <w:b w:val="0"/>
                <w:sz w:val="18"/>
              </w:rPr>
              <w:t>实体关系模拟／反向评分</w:t>
            </w:r>
          </w:p>
        </w:tc>
        <w:tc>
          <w:tcPr>
            <w:tcW w:type="dxa" w:w="1905"/>
            <w:tcBorders>
              <w:top w:val="nil" w:sz="6"/>
              <w:left w:val="nil" w:sz="6"/>
              <w:bottom w:val="nil" w:sz="6"/>
              <w:right w:val="nil" w:sz="6"/>
            </w:tcBorders>
          </w:tcPr>
          <w:p>
            <w:pPr>
              <w:spacing w:after="80"/>
            </w:pPr>
            <w:r>
              <w:rPr>
                <w:b w:val="0"/>
                <w:sz w:val="18"/>
              </w:rPr>
              <w:t>32.35</w:t>
            </w:r>
          </w:p>
        </w:tc>
        <w:tc>
          <w:tcPr>
            <w:tcW w:type="dxa" w:w="1905"/>
            <w:tcBorders>
              <w:top w:val="nil" w:sz="6"/>
              <w:left w:val="nil" w:sz="6"/>
              <w:bottom w:val="nil" w:sz="6"/>
              <w:right w:val="nil" w:sz="6"/>
            </w:tcBorders>
          </w:tcPr>
          <w:p>
            <w:pPr>
              <w:spacing w:after="80"/>
            </w:pPr>
            <w:r>
              <w:rPr>
                <w:b w:val="0"/>
                <w:sz w:val="18"/>
              </w:rPr>
              <w:t>1.38</w:t>
            </w:r>
          </w:p>
        </w:tc>
        <w:tc>
          <w:tcPr>
            <w:tcW w:type="dxa" w:w="1905"/>
            <w:tcBorders>
              <w:top w:val="nil" w:sz="6"/>
              <w:left w:val="nil" w:sz="6"/>
              <w:bottom w:val="nil" w:sz="6"/>
              <w:right w:val="nil" w:sz="6"/>
            </w:tcBorders>
          </w:tcPr>
          <w:p>
            <w:pPr>
              <w:spacing w:after="80"/>
            </w:pPr>
            <w:r>
              <w:rPr>
                <w:b w:val="0"/>
                <w:sz w:val="18"/>
              </w:rPr>
              <w:t>0.40</w:t>
            </w:r>
          </w:p>
        </w:tc>
        <w:tc>
          <w:tcPr>
            <w:tcW w:type="dxa" w:w="1905"/>
            <w:tcBorders>
              <w:top w:val="nil" w:sz="6"/>
              <w:left w:val="nil" w:sz="6"/>
              <w:bottom w:val="nil" w:sz="6"/>
              <w:right w:val="nil" w:sz="6"/>
            </w:tcBorders>
          </w:tcPr>
          <w:p>
            <w:pPr>
              <w:spacing w:after="80"/>
            </w:pPr>
            <w:r>
              <w:rPr>
                <w:b w:val="0"/>
                <w:sz w:val="18"/>
              </w:rPr>
              <w:t>0.00</w:t>
            </w:r>
          </w:p>
        </w:tc>
      </w:tr>
      <w:tr>
        <w:tc>
          <w:tcPr>
            <w:tcW w:type="dxa" w:w="1905"/>
            <w:tcBorders>
              <w:top w:val="nil" w:sz="6"/>
              <w:left w:val="nil" w:sz="6"/>
              <w:bottom w:val="nil" w:sz="6"/>
              <w:right w:val="nil" w:sz="6"/>
            </w:tcBorders>
          </w:tcPr>
          <w:p>
            <w:pPr>
              <w:spacing w:after="80"/>
            </w:pPr>
            <w:r>
              <w:rPr>
                <w:b w:val="0"/>
                <w:sz w:val="18"/>
              </w:rPr>
              <w:t>事件论元模拟／正向评分</w:t>
            </w:r>
          </w:p>
        </w:tc>
        <w:tc>
          <w:tcPr>
            <w:tcW w:type="dxa" w:w="1905"/>
            <w:tcBorders>
              <w:top w:val="nil" w:sz="6"/>
              <w:left w:val="nil" w:sz="6"/>
              <w:bottom w:val="nil" w:sz="6"/>
              <w:right w:val="nil" w:sz="6"/>
            </w:tcBorders>
          </w:tcPr>
          <w:p>
            <w:pPr>
              <w:spacing w:after="80"/>
            </w:pPr>
            <w:r>
              <w:rPr>
                <w:b w:val="0"/>
                <w:sz w:val="18"/>
              </w:rPr>
              <w:t>33.87</w:t>
            </w:r>
          </w:p>
        </w:tc>
        <w:tc>
          <w:tcPr>
            <w:tcW w:type="dxa" w:w="1905"/>
            <w:tcBorders>
              <w:top w:val="nil" w:sz="6"/>
              <w:left w:val="nil" w:sz="6"/>
              <w:bottom w:val="nil" w:sz="6"/>
              <w:right w:val="nil" w:sz="6"/>
            </w:tcBorders>
          </w:tcPr>
          <w:p>
            <w:pPr>
              <w:spacing w:after="80"/>
            </w:pPr>
            <w:r>
              <w:rPr>
                <w:b w:val="0"/>
                <w:sz w:val="18"/>
              </w:rPr>
              <w:t>55.56</w:t>
            </w:r>
          </w:p>
        </w:tc>
        <w:tc>
          <w:tcPr>
            <w:tcW w:type="dxa" w:w="1905"/>
            <w:tcBorders>
              <w:top w:val="nil" w:sz="6"/>
              <w:left w:val="nil" w:sz="6"/>
              <w:bottom w:val="nil" w:sz="6"/>
              <w:right w:val="nil" w:sz="6"/>
            </w:tcBorders>
          </w:tcPr>
          <w:p>
            <w:pPr>
              <w:spacing w:after="80"/>
            </w:pPr>
            <w:r>
              <w:rPr>
                <w:b w:val="0"/>
                <w:sz w:val="18"/>
              </w:rPr>
              <w:t>95.65</w:t>
            </w:r>
          </w:p>
        </w:tc>
        <w:tc>
          <w:tcPr>
            <w:tcW w:type="dxa" w:w="1905"/>
            <w:tcBorders>
              <w:top w:val="nil" w:sz="6"/>
              <w:left w:val="nil" w:sz="6"/>
              <w:bottom w:val="nil" w:sz="6"/>
              <w:right w:val="nil" w:sz="6"/>
            </w:tcBorders>
          </w:tcPr>
          <w:p>
            <w:pPr>
              <w:spacing w:after="80"/>
            </w:pPr>
            <w:r>
              <w:rPr>
                <w:b w:val="0"/>
                <w:sz w:val="18"/>
              </w:rPr>
              <w:t>96.28</w:t>
            </w:r>
          </w:p>
        </w:tc>
      </w:tr>
      <w:tr>
        <w:tc>
          <w:tcPr>
            <w:tcW w:type="dxa" w:w="1905"/>
            <w:tcBorders>
              <w:top w:val="nil" w:sz="6"/>
              <w:left w:val="nil" w:sz="6"/>
              <w:bottom w:val="nil" w:sz="6"/>
              <w:right w:val="nil" w:sz="6"/>
            </w:tcBorders>
          </w:tcPr>
          <w:p>
            <w:pPr>
              <w:spacing w:after="80"/>
            </w:pPr>
            <w:r>
              <w:rPr>
                <w:b w:val="0"/>
                <w:sz w:val="18"/>
              </w:rPr>
              <w:t>事件论元模拟／弱评分</w:t>
            </w:r>
          </w:p>
        </w:tc>
        <w:tc>
          <w:tcPr>
            <w:tcW w:type="dxa" w:w="1905"/>
            <w:tcBorders>
              <w:top w:val="nil" w:sz="6"/>
              <w:left w:val="nil" w:sz="6"/>
              <w:bottom w:val="nil" w:sz="6"/>
              <w:right w:val="nil" w:sz="6"/>
            </w:tcBorders>
          </w:tcPr>
          <w:p>
            <w:pPr>
              <w:spacing w:after="80"/>
            </w:pPr>
            <w:r>
              <w:rPr>
                <w:b w:val="0"/>
                <w:sz w:val="18"/>
              </w:rPr>
              <w:t>33.87</w:t>
            </w:r>
          </w:p>
        </w:tc>
        <w:tc>
          <w:tcPr>
            <w:tcW w:type="dxa" w:w="1905"/>
            <w:tcBorders>
              <w:top w:val="nil" w:sz="6"/>
              <w:left w:val="nil" w:sz="6"/>
              <w:bottom w:val="nil" w:sz="6"/>
              <w:right w:val="nil" w:sz="6"/>
            </w:tcBorders>
          </w:tcPr>
          <w:p>
            <w:pPr>
              <w:spacing w:after="80"/>
            </w:pPr>
            <w:r>
              <w:rPr>
                <w:b w:val="0"/>
                <w:sz w:val="18"/>
              </w:rPr>
              <w:t>36.02</w:t>
            </w:r>
          </w:p>
        </w:tc>
        <w:tc>
          <w:tcPr>
            <w:tcW w:type="dxa" w:w="1905"/>
            <w:tcBorders>
              <w:top w:val="nil" w:sz="6"/>
              <w:left w:val="nil" w:sz="6"/>
              <w:bottom w:val="nil" w:sz="6"/>
              <w:right w:val="nil" w:sz="6"/>
            </w:tcBorders>
          </w:tcPr>
          <w:p>
            <w:pPr>
              <w:spacing w:after="80"/>
            </w:pPr>
            <w:r>
              <w:rPr>
                <w:b w:val="0"/>
                <w:sz w:val="18"/>
              </w:rPr>
              <w:t>41.38</w:t>
            </w:r>
          </w:p>
        </w:tc>
        <w:tc>
          <w:tcPr>
            <w:tcW w:type="dxa" w:w="1905"/>
            <w:tcBorders>
              <w:top w:val="nil" w:sz="6"/>
              <w:left w:val="nil" w:sz="6"/>
              <w:bottom w:val="nil" w:sz="6"/>
              <w:right w:val="nil" w:sz="6"/>
            </w:tcBorders>
          </w:tcPr>
          <w:p>
            <w:pPr>
              <w:spacing w:after="80"/>
            </w:pPr>
            <w:r>
              <w:rPr>
                <w:b w:val="0"/>
                <w:sz w:val="18"/>
              </w:rPr>
              <w:t>50.53</w:t>
            </w:r>
          </w:p>
        </w:tc>
      </w:tr>
      <w:tr>
        <w:tc>
          <w:tcPr>
            <w:tcW w:type="dxa" w:w="1905"/>
            <w:tcBorders>
              <w:top w:val="nil" w:sz="6"/>
              <w:left w:val="nil" w:sz="6"/>
              <w:bottom w:val="single" w:sz="6"/>
              <w:right w:val="nil" w:sz="6"/>
            </w:tcBorders>
          </w:tcPr>
          <w:p>
            <w:pPr>
              <w:spacing w:after="80"/>
            </w:pPr>
            <w:r>
              <w:rPr>
                <w:b w:val="0"/>
                <w:sz w:val="18"/>
              </w:rPr>
              <w:t>事件论元模拟／反向评分</w:t>
            </w:r>
          </w:p>
        </w:tc>
        <w:tc>
          <w:tcPr>
            <w:tcW w:type="dxa" w:w="1905"/>
            <w:tcBorders>
              <w:top w:val="nil" w:sz="6"/>
              <w:left w:val="nil" w:sz="6"/>
              <w:bottom w:val="single" w:sz="6"/>
              <w:right w:val="nil" w:sz="6"/>
            </w:tcBorders>
          </w:tcPr>
          <w:p>
            <w:pPr>
              <w:spacing w:after="80"/>
            </w:pPr>
            <w:r>
              <w:rPr>
                <w:b w:val="0"/>
                <w:sz w:val="18"/>
              </w:rPr>
              <w:t>33.87</w:t>
            </w:r>
          </w:p>
        </w:tc>
        <w:tc>
          <w:tcPr>
            <w:tcW w:type="dxa" w:w="1905"/>
            <w:tcBorders>
              <w:top w:val="nil" w:sz="6"/>
              <w:left w:val="nil" w:sz="6"/>
              <w:bottom w:val="single" w:sz="6"/>
              <w:right w:val="nil" w:sz="6"/>
            </w:tcBorders>
          </w:tcPr>
          <w:p>
            <w:pPr>
              <w:spacing w:after="80"/>
            </w:pPr>
            <w:r>
              <w:rPr>
                <w:b w:val="0"/>
                <w:sz w:val="18"/>
              </w:rPr>
              <w:t>0.64</w:t>
            </w:r>
          </w:p>
        </w:tc>
        <w:tc>
          <w:tcPr>
            <w:tcW w:type="dxa" w:w="1905"/>
            <w:tcBorders>
              <w:top w:val="nil" w:sz="6"/>
              <w:left w:val="nil" w:sz="6"/>
              <w:bottom w:val="single" w:sz="6"/>
              <w:right w:val="nil" w:sz="6"/>
            </w:tcBorders>
          </w:tcPr>
          <w:p>
            <w:pPr>
              <w:spacing w:after="80"/>
            </w:pPr>
            <w:r>
              <w:rPr>
                <w:b w:val="0"/>
                <w:sz w:val="18"/>
              </w:rPr>
              <w:t>0.00</w:t>
            </w:r>
          </w:p>
        </w:tc>
        <w:tc>
          <w:tcPr>
            <w:tcW w:type="dxa" w:w="1905"/>
            <w:tcBorders>
              <w:top w:val="nil" w:sz="6"/>
              <w:left w:val="nil" w:sz="6"/>
              <w:bottom w:val="single" w:sz="6"/>
              <w:right w:val="nil" w:sz="6"/>
            </w:tcBorders>
          </w:tcPr>
          <w:p>
            <w:pPr>
              <w:spacing w:after="80"/>
            </w:pPr>
            <w:r>
              <w:rPr>
                <w:b w:val="0"/>
                <w:sz w:val="18"/>
              </w:rPr>
              <w:t>0.00</w:t>
            </w:r>
          </w:p>
        </w:tc>
      </w:tr>
    </w:tbl>
    <w:p/>
    <w:p>
      <w:r>
        <w:t>上表为每条件90个实例汇总的关系micro-F1，采用0—100刻度。三种种子用于复现构造过程，不代表神经网络训练种子；未做显著性检验，也不宣称统计显著。初始输出故意包含较多对象错误，正向人工评分较强，因此高分和大幅增益不能用于预测真实任务收益。结构合法率100%由约束保证，不能替代F1。</w:t>
      </w:r>
    </w:p>
    <w:p>
      <w:r>
        <w:t>实体关系模拟的联合选择在完整候选下F1为97.73；对未进入初始图的正确候选以0.65概率保留时为72.64，实际可用正确关系比例为59.26%。0.65是构造保留概率，不是实测候选召回率。完整候选、正向评分下原有正确关系保留率为97.40%，也不能推出“全部正确关系不会被误改”。</w:t>
      </w:r>
    </w:p>
    <w:p>
      <w:r>
        <w:t>事件论元模拟的联合选择在完整候选下F1为96.28；对未进入初始图的正确候选以0.65概率保留时为70.50，实际可用正确关系比例为55.56%。0.65是构造保留概率，不是实测候选召回率。完整候选、正向评分下原有正确关系保留率为96.23%，也不能推出“全部正确关系不会被误改”。</w:t>
      </w:r>
    </w:p>
    <w:p>
      <w:r>
        <w:t>可得结论：同一决策求解逻辑能够在两个不同约束模式下运行；效果受到候选覆盖与评分质量制约。尚不能得出：真实跨任务有效、零样本迁移有效、原算法已完整泛化，或优于已有联合抽取系统。当前建议进入真实试验阶段，但暂不将论文题目扩大为覆盖全部结构化信息抽取。</w:t>
      </w:r>
    </w:p>
    <w:p>
      <w:pPr>
        <w:pStyle w:val="Heading2"/>
      </w:pPr>
      <w:r>
        <w:t>真实跨任务实验的最低可用方案</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阶段</w:t>
            </w:r>
          </w:p>
        </w:tc>
        <w:tc>
          <w:tcPr>
            <w:tcW w:type="dxa" w:w="3175"/>
            <w:tcBorders>
              <w:top w:val="single" w:sz="6"/>
              <w:left w:val="nil" w:sz="6"/>
              <w:bottom w:val="single" w:sz="6"/>
              <w:right w:val="nil" w:sz="6"/>
            </w:tcBorders>
          </w:tcPr>
          <w:p>
            <w:pPr>
              <w:spacing w:after="80"/>
            </w:pPr>
            <w:r>
              <w:rPr>
                <w:b/>
                <w:sz w:val="18"/>
              </w:rPr>
              <w:t>实验设计</w:t>
            </w:r>
          </w:p>
        </w:tc>
        <w:tc>
          <w:tcPr>
            <w:tcW w:type="dxa" w:w="3175"/>
            <w:tcBorders>
              <w:top w:val="single" w:sz="6"/>
              <w:left w:val="nil" w:sz="6"/>
              <w:bottom w:val="single" w:sz="6"/>
              <w:right w:val="nil" w:sz="6"/>
            </w:tcBorders>
          </w:tcPr>
          <w:p>
            <w:pPr>
              <w:spacing w:after="80"/>
            </w:pPr>
            <w:r>
              <w:rPr>
                <w:b/>
                <w:sz w:val="18"/>
              </w:rPr>
              <w:t>进入下一阶段的条件</w:t>
            </w:r>
          </w:p>
        </w:tc>
      </w:tr>
      <w:tr>
        <w:tc>
          <w:tcPr>
            <w:tcW w:type="dxa" w:w="3175"/>
            <w:tcBorders>
              <w:top w:val="nil" w:sz="6"/>
              <w:left w:val="nil" w:sz="6"/>
              <w:bottom w:val="nil" w:sz="6"/>
              <w:right w:val="nil" w:sz="6"/>
            </w:tcBorders>
          </w:tcPr>
          <w:p>
            <w:pPr>
              <w:spacing w:after="80"/>
            </w:pPr>
            <w:r>
              <w:rPr>
                <w:b w:val="0"/>
                <w:sz w:val="18"/>
              </w:rPr>
              <w:t>G1 接口可迁移性</w:t>
            </w:r>
          </w:p>
        </w:tc>
        <w:tc>
          <w:tcPr>
            <w:tcW w:type="dxa" w:w="3175"/>
            <w:tcBorders>
              <w:top w:val="nil" w:sz="6"/>
              <w:left w:val="nil" w:sz="6"/>
              <w:bottom w:val="nil" w:sz="6"/>
              <w:right w:val="nil" w:sz="6"/>
            </w:tcBorders>
          </w:tcPr>
          <w:p>
            <w:pPr>
              <w:spacing w:after="80"/>
            </w:pPr>
            <w:r>
              <w:rPr>
                <w:b w:val="0"/>
                <w:sz w:val="18"/>
              </w:rPr>
              <w:t>先在SciERC公开划分上实现任务适配器；核对嵌套跨度、方向、原始标签、官方评价器。抽查正常、边界错误、关系错配和共享实体案例。</w:t>
            </w:r>
          </w:p>
        </w:tc>
        <w:tc>
          <w:tcPr>
            <w:tcW w:type="dxa" w:w="3175"/>
            <w:tcBorders>
              <w:top w:val="nil" w:sz="6"/>
              <w:left w:val="nil" w:sz="6"/>
              <w:bottom w:val="nil" w:sz="6"/>
              <w:right w:val="nil" w:sz="6"/>
            </w:tcBorders>
          </w:tcPr>
          <w:p>
            <w:pPr>
              <w:spacing w:after="80"/>
            </w:pPr>
            <w:r>
              <w:rPr>
                <w:b w:val="0"/>
                <w:sz w:val="18"/>
              </w:rPr>
              <w:t>同一核心求解器可运行；任务条件均有规范依据；原输出能无损往返；金标不进入候选/打分/选择。</w:t>
            </w:r>
          </w:p>
        </w:tc>
      </w:tr>
      <w:tr>
        <w:tc>
          <w:tcPr>
            <w:tcW w:type="dxa" w:w="3175"/>
            <w:tcBorders>
              <w:top w:val="nil" w:sz="6"/>
              <w:left w:val="nil" w:sz="6"/>
              <w:bottom w:val="nil" w:sz="6"/>
              <w:right w:val="nil" w:sz="6"/>
            </w:tcBorders>
          </w:tcPr>
          <w:p>
            <w:pPr>
              <w:spacing w:after="80"/>
            </w:pPr>
            <w:r>
              <w:rPr>
                <w:b w:val="0"/>
                <w:sz w:val="18"/>
              </w:rPr>
              <w:t>G2 有监督的任务适配</w:t>
            </w:r>
          </w:p>
        </w:tc>
        <w:tc>
          <w:tcPr>
            <w:tcW w:type="dxa" w:w="3175"/>
            <w:tcBorders>
              <w:top w:val="nil" w:sz="6"/>
              <w:left w:val="nil" w:sz="6"/>
              <w:bottom w:val="nil" w:sz="6"/>
              <w:right w:val="nil" w:sz="6"/>
            </w:tcBorders>
          </w:tcPr>
          <w:p>
            <w:pPr>
              <w:spacing w:after="80"/>
            </w:pPr>
            <w:r>
              <w:rPr>
                <w:b w:val="0"/>
                <w:sz w:val="18"/>
              </w:rPr>
              <w:t>用目标任务训练部分拟合或校准评分器，开发集选择预算/风险门；与只修关系、顺序修正、普通约束ILP及同预算重新生成比较。</w:t>
            </w:r>
          </w:p>
        </w:tc>
        <w:tc>
          <w:tcPr>
            <w:tcW w:type="dxa" w:w="3175"/>
            <w:tcBorders>
              <w:top w:val="nil" w:sz="6"/>
              <w:left w:val="nil" w:sz="6"/>
              <w:bottom w:val="nil" w:sz="6"/>
              <w:right w:val="nil" w:sz="6"/>
            </w:tcBorders>
          </w:tcPr>
          <w:p>
            <w:pPr>
              <w:spacing w:after="80"/>
            </w:pPr>
            <w:r>
              <w:rPr>
                <w:b w:val="0"/>
                <w:sz w:val="18"/>
              </w:rPr>
              <w:t>保存逐文档输入、候选、评分、修改日志、评价计数；候选覆盖足够，先说明效果来自哪一步。此设定应称可适配，不称零样本。</w:t>
            </w:r>
          </w:p>
        </w:tc>
      </w:tr>
      <w:tr>
        <w:tc>
          <w:tcPr>
            <w:tcW w:type="dxa" w:w="3175"/>
            <w:tcBorders>
              <w:top w:val="nil" w:sz="6"/>
              <w:left w:val="nil" w:sz="6"/>
              <w:bottom w:val="nil" w:sz="6"/>
              <w:right w:val="nil" w:sz="6"/>
            </w:tcBorders>
          </w:tcPr>
          <w:p>
            <w:pPr>
              <w:spacing w:after="80"/>
            </w:pPr>
            <w:r>
              <w:rPr>
                <w:b w:val="0"/>
                <w:sz w:val="18"/>
              </w:rPr>
              <w:t>G3 效果与增量</w:t>
            </w:r>
          </w:p>
        </w:tc>
        <w:tc>
          <w:tcPr>
            <w:tcW w:type="dxa" w:w="3175"/>
            <w:tcBorders>
              <w:top w:val="nil" w:sz="6"/>
              <w:left w:val="nil" w:sz="6"/>
              <w:bottom w:val="nil" w:sz="6"/>
              <w:right w:val="nil" w:sz="6"/>
            </w:tcBorders>
          </w:tcPr>
          <w:p>
            <w:pPr>
              <w:spacing w:after="80"/>
            </w:pPr>
            <w:r>
              <w:rPr>
                <w:b w:val="0"/>
                <w:sz w:val="18"/>
              </w:rPr>
              <w:t>固定基础模型、候选池和总追加调用预算，报告实体/关系F1、正确关系保留、错误新增、合法率、时延与一次性训练成本。消融事务依赖、分项门、预算及局部/全局求解。</w:t>
            </w:r>
          </w:p>
        </w:tc>
        <w:tc>
          <w:tcPr>
            <w:tcW w:type="dxa" w:w="3175"/>
            <w:tcBorders>
              <w:top w:val="nil" w:sz="6"/>
              <w:left w:val="nil" w:sz="6"/>
              <w:bottom w:val="nil" w:sz="6"/>
              <w:right w:val="nil" w:sz="6"/>
            </w:tcBorders>
          </w:tcPr>
          <w:p>
            <w:pPr>
              <w:spacing w:after="80"/>
            </w:pPr>
            <w:r>
              <w:rPr>
                <w:b w:val="0"/>
                <w:sz w:val="18"/>
              </w:rPr>
              <w:t>完整B相对最强可比基线有稳定增量，或明确呈现无增益/成本过高的结果；不只对弱基线展示。</w:t>
            </w:r>
          </w:p>
        </w:tc>
      </w:tr>
      <w:tr>
        <w:tc>
          <w:tcPr>
            <w:tcW w:type="dxa" w:w="3175"/>
            <w:tcBorders>
              <w:top w:val="nil" w:sz="6"/>
              <w:left w:val="nil" w:sz="6"/>
              <w:bottom w:val="nil" w:sz="6"/>
              <w:right w:val="nil" w:sz="6"/>
            </w:tcBorders>
          </w:tcPr>
          <w:p>
            <w:pPr>
              <w:spacing w:after="80"/>
            </w:pPr>
            <w:r>
              <w:rPr>
                <w:b w:val="0"/>
                <w:sz w:val="18"/>
              </w:rPr>
              <w:t>G4 更远任务或迁移设定</w:t>
            </w:r>
          </w:p>
        </w:tc>
        <w:tc>
          <w:tcPr>
            <w:tcW w:type="dxa" w:w="3175"/>
            <w:tcBorders>
              <w:top w:val="nil" w:sz="6"/>
              <w:left w:val="nil" w:sz="6"/>
              <w:bottom w:val="nil" w:sz="6"/>
              <w:right w:val="nil" w:sz="6"/>
            </w:tcBorders>
          </w:tcPr>
          <w:p>
            <w:pPr>
              <w:spacing w:after="80"/>
            </w:pPr>
            <w:r>
              <w:rPr>
                <w:b w:val="0"/>
                <w:sz w:val="18"/>
              </w:rPr>
              <w:t>在RAMS任务定义下替换角色模式，固定官方给定的触发词；如检验零样本，训练/阈值选择均不得接触目标任务标签，并与目标任务校准设定分开。</w:t>
            </w:r>
          </w:p>
        </w:tc>
        <w:tc>
          <w:tcPr>
            <w:tcW w:type="dxa" w:w="3175"/>
            <w:tcBorders>
              <w:top w:val="nil" w:sz="6"/>
              <w:left w:val="nil" w:sz="6"/>
              <w:bottom w:val="nil" w:sz="6"/>
              <w:right w:val="nil" w:sz="6"/>
            </w:tcBorders>
          </w:tcPr>
          <w:p>
            <w:pPr>
              <w:spacing w:after="80"/>
            </w:pPr>
            <w:r>
              <w:rPr>
                <w:b w:val="0"/>
                <w:sz w:val="18"/>
              </w:rPr>
              <w:t>若仅目标任务重训后有效，结论限定为跨任务适配；若冻结评分器无效，保留失败分析。</w:t>
            </w:r>
          </w:p>
        </w:tc>
      </w:tr>
      <w:tr>
        <w:tc>
          <w:tcPr>
            <w:tcW w:type="dxa" w:w="3175"/>
            <w:tcBorders>
              <w:top w:val="nil" w:sz="6"/>
              <w:left w:val="nil" w:sz="6"/>
              <w:bottom w:val="single" w:sz="6"/>
              <w:right w:val="nil" w:sz="6"/>
            </w:tcBorders>
          </w:tcPr>
          <w:p>
            <w:pPr>
              <w:spacing w:after="80"/>
            </w:pPr>
            <w:r>
              <w:rPr>
                <w:b w:val="0"/>
                <w:sz w:val="18"/>
              </w:rPr>
              <w:t>G5 决定章节和标题</w:t>
            </w:r>
          </w:p>
        </w:tc>
        <w:tc>
          <w:tcPr>
            <w:tcW w:type="dxa" w:w="3175"/>
            <w:tcBorders>
              <w:top w:val="nil" w:sz="6"/>
              <w:left w:val="nil" w:sz="6"/>
              <w:bottom w:val="single" w:sz="6"/>
              <w:right w:val="nil" w:sz="6"/>
            </w:tcBorders>
          </w:tcPr>
          <w:p>
            <w:pPr>
              <w:spacing w:after="80"/>
            </w:pPr>
            <w:r>
              <w:rPr>
                <w:b w:val="0"/>
                <w:sz w:val="18"/>
              </w:rPr>
              <w:t>依据真实结果决定第四章设置“跨任务适配实验”还是仅“扩展讨论”；先完成G1—G3再扩大标题范围。</w:t>
            </w:r>
          </w:p>
        </w:tc>
        <w:tc>
          <w:tcPr>
            <w:tcW w:type="dxa" w:w="3175"/>
            <w:tcBorders>
              <w:top w:val="nil" w:sz="6"/>
              <w:left w:val="nil" w:sz="6"/>
              <w:bottom w:val="single" w:sz="6"/>
              <w:right w:val="nil" w:sz="6"/>
            </w:tcBorders>
          </w:tcPr>
          <w:p>
            <w:pPr>
              <w:spacing w:after="80"/>
            </w:pPr>
            <w:r>
              <w:rPr>
                <w:b w:val="0"/>
                <w:sz w:val="18"/>
              </w:rPr>
              <w:t>有真实结果才写“验证泛化”；仅有模拟则标明模拟，或把真实验证作为展望。</w:t>
            </w:r>
          </w:p>
        </w:tc>
      </w:tr>
    </w:tbl>
    <w:p/>
    <w:p>
      <w:r>
        <w:t>统计与公平性：以文档为单位分训练、开发、测试，原文和所有增强版本同组；评分器拟合、校准及策略选择保持隔离。主要比较预先确定，报告配对置信区间；多项主检验统一校正。模型调用预算相同不等于总成本相同，还需计入评分、求解及预处理。已有A×B四组合实验保留；新任务只验证B即可，不必为了结构对称强行把A也迁移。</w:t>
      </w:r>
    </w:p>
    <w:p>
      <w:r>
        <w:t>创新性补充检查：普通约束ILP本身已有成熟先例。跨任务部分必须说明相较“一次性全局约束解码”，当前方法在已有输出保护、依赖完整处理、预算与分项接受上增加了什么，既比较效果也比较误改和成本。[R4—R5]</w:t>
      </w:r>
    </w:p>
    <w:p>
      <w:pPr>
        <w:pStyle w:val="Heading1"/>
      </w:pPr>
      <w:r>
        <w:t>六、标题与五章结构方案</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建议</w:t>
            </w:r>
          </w:p>
        </w:tc>
        <w:tc>
          <w:tcPr>
            <w:tcW w:type="dxa" w:w="3175"/>
            <w:tcBorders>
              <w:top w:val="single" w:sz="6"/>
              <w:left w:val="nil" w:sz="6"/>
              <w:bottom w:val="single" w:sz="6"/>
              <w:right w:val="nil" w:sz="6"/>
            </w:tcBorders>
          </w:tcPr>
          <w:p>
            <w:pPr>
              <w:spacing w:after="80"/>
            </w:pPr>
            <w:r>
              <w:rPr>
                <w:b/>
                <w:sz w:val="18"/>
              </w:rPr>
              <w:t>候选标题</w:t>
            </w:r>
          </w:p>
        </w:tc>
        <w:tc>
          <w:tcPr>
            <w:tcW w:type="dxa" w:w="3175"/>
            <w:tcBorders>
              <w:top w:val="single" w:sz="6"/>
              <w:left w:val="nil" w:sz="6"/>
              <w:bottom w:val="single" w:sz="6"/>
              <w:right w:val="nil" w:sz="6"/>
            </w:tcBorders>
          </w:tcPr>
          <w:p>
            <w:pPr>
              <w:spacing w:after="80"/>
            </w:pPr>
            <w:r>
              <w:rPr>
                <w:b/>
                <w:sz w:val="18"/>
              </w:rPr>
              <w:t>取舍</w:t>
            </w:r>
          </w:p>
        </w:tc>
      </w:tr>
      <w:tr>
        <w:tc>
          <w:tcPr>
            <w:tcW w:type="dxa" w:w="3175"/>
            <w:tcBorders>
              <w:top w:val="nil" w:sz="6"/>
              <w:left w:val="nil" w:sz="6"/>
              <w:bottom w:val="nil" w:sz="6"/>
              <w:right w:val="nil" w:sz="6"/>
            </w:tcBorders>
          </w:tcPr>
          <w:p>
            <w:pPr>
              <w:spacing w:after="80"/>
            </w:pPr>
            <w:r>
              <w:rPr>
                <w:b w:val="0"/>
                <w:sz w:val="18"/>
              </w:rPr>
              <w:t>推荐暂定</w:t>
            </w:r>
          </w:p>
        </w:tc>
        <w:tc>
          <w:tcPr>
            <w:tcW w:type="dxa" w:w="3175"/>
            <w:tcBorders>
              <w:top w:val="nil" w:sz="6"/>
              <w:left w:val="nil" w:sz="6"/>
              <w:bottom w:val="nil" w:sz="6"/>
              <w:right w:val="nil" w:sz="6"/>
            </w:tcBorders>
          </w:tcPr>
          <w:p>
            <w:pPr>
              <w:spacing w:after="80"/>
            </w:pPr>
            <w:r>
              <w:rPr>
                <w:b w:val="0"/>
                <w:sz w:val="18"/>
              </w:rPr>
              <w:t>基于大语言模型的端到端论辩挖掘方法研究（19字）</w:t>
            </w:r>
          </w:p>
        </w:tc>
        <w:tc>
          <w:tcPr>
            <w:tcW w:type="dxa" w:w="3175"/>
            <w:tcBorders>
              <w:top w:val="nil" w:sz="6"/>
              <w:left w:val="nil" w:sz="6"/>
              <w:bottom w:val="nil" w:sz="6"/>
              <w:right w:val="nil" w:sz="6"/>
            </w:tcBorders>
          </w:tcPr>
          <w:p>
            <w:pPr>
              <w:spacing w:after="80"/>
            </w:pPr>
            <w:r>
              <w:rPr>
                <w:b w:val="0"/>
                <w:sz w:val="18"/>
              </w:rPr>
              <w:t>范围与现有证据相符，统一两章，避免内部机制并列；不足是较宽泛，需由摘要和章标题凸显新增内容。</w:t>
            </w:r>
          </w:p>
        </w:tc>
      </w:tr>
      <w:tr>
        <w:tc>
          <w:tcPr>
            <w:tcW w:type="dxa" w:w="3175"/>
            <w:tcBorders>
              <w:top w:val="nil" w:sz="6"/>
              <w:left w:val="nil" w:sz="6"/>
              <w:bottom w:val="nil" w:sz="6"/>
              <w:right w:val="nil" w:sz="6"/>
            </w:tcBorders>
          </w:tcPr>
          <w:p>
            <w:pPr>
              <w:spacing w:after="80"/>
            </w:pPr>
            <w:r>
              <w:rPr>
                <w:b w:val="0"/>
                <w:sz w:val="18"/>
              </w:rPr>
              <w:t>机制核准后可选</w:t>
            </w:r>
          </w:p>
        </w:tc>
        <w:tc>
          <w:tcPr>
            <w:tcW w:type="dxa" w:w="3175"/>
            <w:tcBorders>
              <w:top w:val="nil" w:sz="6"/>
              <w:left w:val="nil" w:sz="6"/>
              <w:bottom w:val="nil" w:sz="6"/>
              <w:right w:val="nil" w:sz="6"/>
            </w:tcBorders>
          </w:tcPr>
          <w:p>
            <w:pPr>
              <w:spacing w:after="80"/>
            </w:pPr>
            <w:r>
              <w:rPr>
                <w:b w:val="0"/>
                <w:sz w:val="18"/>
              </w:rPr>
              <w:t>融合一致性学习与结构约束的论辩挖掘方法研究（21字）</w:t>
            </w:r>
          </w:p>
        </w:tc>
        <w:tc>
          <w:tcPr>
            <w:tcW w:type="dxa" w:w="3175"/>
            <w:tcBorders>
              <w:top w:val="nil" w:sz="6"/>
              <w:left w:val="nil" w:sz="6"/>
              <w:bottom w:val="nil" w:sz="6"/>
              <w:right w:val="nil" w:sz="6"/>
            </w:tcBorders>
          </w:tcPr>
          <w:p>
            <w:pPr>
              <w:spacing w:after="80"/>
            </w:pPr>
            <w:r>
              <w:rPr>
                <w:b w:val="0"/>
                <w:sz w:val="18"/>
              </w:rPr>
              <w:t>直接对应训练与推理机制；仅当确认两项机制是正文核心时采用，不再用“成对=对比”的替换。</w:t>
            </w:r>
          </w:p>
        </w:tc>
      </w:tr>
      <w:tr>
        <w:tc>
          <w:tcPr>
            <w:tcW w:type="dxa" w:w="3175"/>
            <w:tcBorders>
              <w:top w:val="nil" w:sz="6"/>
              <w:left w:val="nil" w:sz="6"/>
              <w:bottom w:val="single" w:sz="6"/>
              <w:right w:val="nil" w:sz="6"/>
            </w:tcBorders>
          </w:tcPr>
          <w:p>
            <w:pPr>
              <w:spacing w:after="80"/>
            </w:pPr>
            <w:r>
              <w:rPr>
                <w:b w:val="0"/>
                <w:sz w:val="18"/>
              </w:rPr>
              <w:t>问题导向备选</w:t>
            </w:r>
          </w:p>
        </w:tc>
        <w:tc>
          <w:tcPr>
            <w:tcW w:type="dxa" w:w="3175"/>
            <w:tcBorders>
              <w:top w:val="nil" w:sz="6"/>
              <w:left w:val="nil" w:sz="6"/>
              <w:bottom w:val="single" w:sz="6"/>
              <w:right w:val="nil" w:sz="6"/>
            </w:tcBorders>
          </w:tcPr>
          <w:p>
            <w:pPr>
              <w:spacing w:after="80"/>
            </w:pPr>
            <w:r>
              <w:rPr>
                <w:b w:val="0"/>
                <w:sz w:val="18"/>
              </w:rPr>
              <w:t>面向结构一致性的端到端论辩挖掘方法研究（19字）</w:t>
            </w:r>
          </w:p>
        </w:tc>
        <w:tc>
          <w:tcPr>
            <w:tcW w:type="dxa" w:w="3175"/>
            <w:tcBorders>
              <w:top w:val="nil" w:sz="6"/>
              <w:left w:val="nil" w:sz="6"/>
              <w:bottom w:val="single" w:sz="6"/>
              <w:right w:val="nil" w:sz="6"/>
            </w:tcBorders>
          </w:tcPr>
          <w:p>
            <w:pPr>
              <w:spacing w:after="80"/>
            </w:pPr>
            <w:r>
              <w:rPr>
                <w:b w:val="0"/>
                <w:sz w:val="18"/>
              </w:rPr>
              <w:t>强调共同对象，但需要解释训练阶段的语义保持如何与结构一致性相关，避免只覆盖第四章。</w:t>
            </w:r>
          </w:p>
        </w:tc>
      </w:tr>
    </w:tbl>
    <w:p/>
    <w:p>
      <w:r>
        <w:t>当前不建议《基于思维链与对比学习的……》：现有两个机制均不足以支持这两个术语。也不建议现在扩大为《……结构化信息抽取方法研究》：仅有B的模拟迁移，A仍服务论辩任务，会再次造成标题与两章范围不一致。题目可在真实跨任务实验后复议，而不是为了标题临时创造实验结论。</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新章节</w:t>
            </w:r>
          </w:p>
        </w:tc>
        <w:tc>
          <w:tcPr>
            <w:tcW w:type="dxa" w:w="3175"/>
            <w:tcBorders>
              <w:top w:val="single" w:sz="6"/>
              <w:left w:val="nil" w:sz="6"/>
              <w:bottom w:val="single" w:sz="6"/>
              <w:right w:val="nil" w:sz="6"/>
            </w:tcBorders>
          </w:tcPr>
          <w:p>
            <w:pPr>
              <w:spacing w:after="80"/>
            </w:pPr>
            <w:r>
              <w:rPr>
                <w:b/>
                <w:sz w:val="18"/>
              </w:rPr>
              <w:t>建议小节（参照蒋梓浩组织方式）</w:t>
            </w:r>
          </w:p>
        </w:tc>
        <w:tc>
          <w:tcPr>
            <w:tcW w:type="dxa" w:w="3175"/>
            <w:tcBorders>
              <w:top w:val="single" w:sz="6"/>
              <w:left w:val="nil" w:sz="6"/>
              <w:bottom w:val="single" w:sz="6"/>
              <w:right w:val="nil" w:sz="6"/>
            </w:tcBorders>
          </w:tcPr>
          <w:p>
            <w:pPr>
              <w:spacing w:after="80"/>
            </w:pPr>
            <w:r>
              <w:rPr>
                <w:b/>
                <w:sz w:val="18"/>
              </w:rPr>
              <w:t>原材料去向</w:t>
            </w:r>
          </w:p>
        </w:tc>
      </w:tr>
      <w:tr>
        <w:tc>
          <w:tcPr>
            <w:tcW w:type="dxa" w:w="3175"/>
            <w:tcBorders>
              <w:top w:val="nil" w:sz="6"/>
              <w:left w:val="nil" w:sz="6"/>
              <w:bottom w:val="nil" w:sz="6"/>
              <w:right w:val="nil" w:sz="6"/>
            </w:tcBorders>
          </w:tcPr>
          <w:p>
            <w:pPr>
              <w:spacing w:after="80"/>
            </w:pPr>
            <w:r>
              <w:rPr>
                <w:b w:val="0"/>
                <w:sz w:val="18"/>
              </w:rPr>
              <w:t>第一章 绪论</w:t>
            </w:r>
          </w:p>
        </w:tc>
        <w:tc>
          <w:tcPr>
            <w:tcW w:type="dxa" w:w="3175"/>
            <w:tcBorders>
              <w:top w:val="nil" w:sz="6"/>
              <w:left w:val="nil" w:sz="6"/>
              <w:bottom w:val="nil" w:sz="6"/>
              <w:right w:val="nil" w:sz="6"/>
            </w:tcBorders>
          </w:tcPr>
          <w:p>
            <w:pPr>
              <w:spacing w:after="80"/>
            </w:pPr>
            <w:r>
              <w:rPr>
                <w:b w:val="0"/>
                <w:sz w:val="18"/>
              </w:rPr>
              <w:t>1.1背景与意义；1.2国内外研究现状；1.3主要研究内容；1.4组织结构</w:t>
            </w:r>
          </w:p>
        </w:tc>
        <w:tc>
          <w:tcPr>
            <w:tcW w:type="dxa" w:w="3175"/>
            <w:tcBorders>
              <w:top w:val="nil" w:sz="6"/>
              <w:left w:val="nil" w:sz="6"/>
              <w:bottom w:val="nil" w:sz="6"/>
              <w:right w:val="nil" w:sz="6"/>
            </w:tcBorders>
          </w:tcPr>
          <w:p>
            <w:pPr>
              <w:spacing w:after="80"/>
            </w:pPr>
            <w:r>
              <w:rPr>
                <w:b w:val="0"/>
                <w:sz w:val="18"/>
              </w:rPr>
              <w:t>合并原1.3/1.4的重复贡献，压缩表1-1/1-2；保留清楚的继承归属。</w:t>
            </w:r>
          </w:p>
        </w:tc>
      </w:tr>
      <w:tr>
        <w:tc>
          <w:tcPr>
            <w:tcW w:type="dxa" w:w="3175"/>
            <w:tcBorders>
              <w:top w:val="nil" w:sz="6"/>
              <w:left w:val="nil" w:sz="6"/>
              <w:bottom w:val="nil" w:sz="6"/>
              <w:right w:val="nil" w:sz="6"/>
            </w:tcBorders>
          </w:tcPr>
          <w:p>
            <w:pPr>
              <w:spacing w:after="80"/>
            </w:pPr>
            <w:r>
              <w:rPr>
                <w:b w:val="0"/>
                <w:sz w:val="18"/>
              </w:rPr>
              <w:t>第二章 相关理论与技术</w:t>
            </w:r>
          </w:p>
        </w:tc>
        <w:tc>
          <w:tcPr>
            <w:tcW w:type="dxa" w:w="3175"/>
            <w:tcBorders>
              <w:top w:val="nil" w:sz="6"/>
              <w:left w:val="nil" w:sz="6"/>
              <w:bottom w:val="nil" w:sz="6"/>
              <w:right w:val="nil" w:sz="6"/>
            </w:tcBorders>
          </w:tcPr>
          <w:p>
            <w:pPr>
              <w:spacing w:after="80"/>
            </w:pPr>
            <w:r>
              <w:rPr>
                <w:b w:val="0"/>
                <w:sz w:val="18"/>
              </w:rPr>
              <w:t>2.1任务与结构表示；2.2大语言模型与参数高效微调；2.3增强与一致性学习；2.4结构化预测与约束推断；2.5小结</w:t>
            </w:r>
          </w:p>
        </w:tc>
        <w:tc>
          <w:tcPr>
            <w:tcW w:type="dxa" w:w="3175"/>
            <w:tcBorders>
              <w:top w:val="nil" w:sz="6"/>
              <w:left w:val="nil" w:sz="6"/>
              <w:bottom w:val="nil" w:sz="6"/>
              <w:right w:val="nil" w:sz="6"/>
            </w:tcBorders>
          </w:tcPr>
          <w:p>
            <w:pPr>
              <w:spacing w:after="80"/>
            </w:pPr>
            <w:r>
              <w:rPr>
                <w:b w:val="0"/>
                <w:sz w:val="18"/>
              </w:rPr>
              <w:t>保留后文必要定义，删教材式重复；详细实验、硬件、超参数和统计说明移入方法章。</w:t>
            </w:r>
          </w:p>
        </w:tc>
      </w:tr>
      <w:tr>
        <w:tc>
          <w:tcPr>
            <w:tcW w:type="dxa" w:w="3175"/>
            <w:tcBorders>
              <w:top w:val="nil" w:sz="6"/>
              <w:left w:val="nil" w:sz="6"/>
              <w:bottom w:val="nil" w:sz="6"/>
              <w:right w:val="nil" w:sz="6"/>
            </w:tcBorders>
          </w:tcPr>
          <w:p>
            <w:pPr>
              <w:spacing w:after="80"/>
            </w:pPr>
            <w:r>
              <w:rPr>
                <w:b w:val="0"/>
                <w:sz w:val="18"/>
              </w:rPr>
              <w:t>第三章 基于可靠监督与一致性学习的论辩挖掘方法</w:t>
            </w:r>
          </w:p>
        </w:tc>
        <w:tc>
          <w:tcPr>
            <w:tcW w:type="dxa" w:w="3175"/>
            <w:tcBorders>
              <w:top w:val="nil" w:sz="6"/>
              <w:left w:val="nil" w:sz="6"/>
              <w:bottom w:val="nil" w:sz="6"/>
              <w:right w:val="nil" w:sz="6"/>
            </w:tcBorders>
          </w:tcPr>
          <w:p>
            <w:pPr>
              <w:spacing w:after="80"/>
            </w:pPr>
            <w:r>
              <w:rPr>
                <w:b w:val="0"/>
                <w:sz w:val="18"/>
              </w:rPr>
              <w:t>3.1引言；3.2问题定义；3.3可靠增强数据构造；3.4一致性学习模型与训练；3.5实验与分析；3.6小结</w:t>
            </w:r>
          </w:p>
        </w:tc>
        <w:tc>
          <w:tcPr>
            <w:tcW w:type="dxa" w:w="3175"/>
            <w:tcBorders>
              <w:top w:val="nil" w:sz="6"/>
              <w:left w:val="nil" w:sz="6"/>
              <w:bottom w:val="nil" w:sz="6"/>
              <w:right w:val="nil" w:sz="6"/>
            </w:tcBorders>
          </w:tcPr>
          <w:p>
            <w:pPr>
              <w:spacing w:after="80"/>
            </w:pPr>
            <w:r>
              <w:rPr>
                <w:b w:val="0"/>
                <w:sz w:val="18"/>
              </w:rPr>
              <w:t>整合原第三章、第二章训练设置、附录训练/审核信息；跨骨干中A的结果在此分析。</w:t>
            </w:r>
          </w:p>
        </w:tc>
      </w:tr>
      <w:tr>
        <w:tc>
          <w:tcPr>
            <w:tcW w:type="dxa" w:w="3175"/>
            <w:tcBorders>
              <w:top w:val="nil" w:sz="6"/>
              <w:left w:val="nil" w:sz="6"/>
              <w:bottom w:val="nil" w:sz="6"/>
              <w:right w:val="nil" w:sz="6"/>
            </w:tcBorders>
          </w:tcPr>
          <w:p>
            <w:pPr>
              <w:spacing w:after="80"/>
            </w:pPr>
            <w:r>
              <w:rPr>
                <w:b w:val="0"/>
                <w:sz w:val="18"/>
              </w:rPr>
              <w:t>第四章 基于结构约束的论辩图联合修正方法</w:t>
            </w:r>
          </w:p>
        </w:tc>
        <w:tc>
          <w:tcPr>
            <w:tcW w:type="dxa" w:w="3175"/>
            <w:tcBorders>
              <w:top w:val="nil" w:sz="6"/>
              <w:left w:val="nil" w:sz="6"/>
              <w:bottom w:val="nil" w:sz="6"/>
              <w:right w:val="nil" w:sz="6"/>
            </w:tcBorders>
          </w:tcPr>
          <w:p>
            <w:pPr>
              <w:spacing w:after="80"/>
            </w:pPr>
            <w:r>
              <w:rPr>
                <w:b w:val="0"/>
                <w:sz w:val="18"/>
              </w:rPr>
              <w:t>4.1引言；4.2问题定义与总体框架；4.3候选、评分与联合修正；4.4求解算法及性质；4.5实验与分析；4.6小结</w:t>
            </w:r>
          </w:p>
        </w:tc>
        <w:tc>
          <w:tcPr>
            <w:tcW w:type="dxa" w:w="3175"/>
            <w:tcBorders>
              <w:top w:val="nil" w:sz="6"/>
              <w:left w:val="nil" w:sz="6"/>
              <w:bottom w:val="nil" w:sz="6"/>
              <w:right w:val="nil" w:sz="6"/>
            </w:tcBorders>
          </w:tcPr>
          <w:p>
            <w:pPr>
              <w:spacing w:after="80"/>
            </w:pPr>
            <w:r>
              <w:rPr>
                <w:b w:val="0"/>
                <w:sz w:val="18"/>
              </w:rPr>
              <w:t>整合原第四章、第五章主要组合分析及推理附录；4.5内部按设置、结果、消融、风险/效率、组合、跨任务、案例组织。</w:t>
            </w:r>
          </w:p>
        </w:tc>
      </w:tr>
      <w:tr>
        <w:tc>
          <w:tcPr>
            <w:tcW w:type="dxa" w:w="3175"/>
            <w:tcBorders>
              <w:top w:val="nil" w:sz="6"/>
              <w:left w:val="nil" w:sz="6"/>
              <w:bottom w:val="single" w:sz="6"/>
              <w:right w:val="nil" w:sz="6"/>
            </w:tcBorders>
          </w:tcPr>
          <w:p>
            <w:pPr>
              <w:spacing w:after="80"/>
            </w:pPr>
            <w:r>
              <w:rPr>
                <w:b w:val="0"/>
                <w:sz w:val="18"/>
              </w:rPr>
              <w:t>第五章 总结与展望</w:t>
            </w:r>
          </w:p>
        </w:tc>
        <w:tc>
          <w:tcPr>
            <w:tcW w:type="dxa" w:w="3175"/>
            <w:tcBorders>
              <w:top w:val="nil" w:sz="6"/>
              <w:left w:val="nil" w:sz="6"/>
              <w:bottom w:val="single" w:sz="6"/>
              <w:right w:val="nil" w:sz="6"/>
            </w:tcBorders>
          </w:tcPr>
          <w:p>
            <w:pPr>
              <w:spacing w:after="80"/>
            </w:pPr>
            <w:r>
              <w:rPr>
                <w:b w:val="0"/>
                <w:sz w:val="18"/>
              </w:rPr>
              <w:t>5.1全文总结；5.2局限与未来工作</w:t>
            </w:r>
          </w:p>
        </w:tc>
        <w:tc>
          <w:tcPr>
            <w:tcW w:type="dxa" w:w="3175"/>
            <w:tcBorders>
              <w:top w:val="nil" w:sz="6"/>
              <w:left w:val="nil" w:sz="6"/>
              <w:bottom w:val="single" w:sz="6"/>
              <w:right w:val="nil" w:sz="6"/>
            </w:tcBorders>
          </w:tcPr>
          <w:p>
            <w:pPr>
              <w:spacing w:after="80"/>
            </w:pPr>
            <w:r>
              <w:rPr>
                <w:b w:val="0"/>
                <w:sz w:val="18"/>
              </w:rPr>
              <w:t>原第六章压缩重组；模拟与真实实验分清，不把拟做内容写成已完成。</w:t>
            </w:r>
          </w:p>
        </w:tc>
      </w:tr>
    </w:tbl>
    <w:p/>
    <w:p>
      <w:r>
        <w:t>第四章的跨任务部分为有条件的位置预留：若真实验证完成，可改用“基于结构约束的结构化输出联合修正方法”这一更宽的章名，并以论辩挖掘为主应用；若只有模拟，则维持论辩图章名，将模拟作为机制适用性讨论，不作为主要实证贡献。两种方案均保留五章结构。</w:t>
      </w:r>
    </w:p>
    <w:p>
      <w:r>
        <w:t>第三章实验按3.5.1数据与指标、3.5.2基线、3.5.3设置、3.5.4主结果、3.5.5消融、3.5.6增强审核与成本等展开；第四章同样先设置再结果，组合效果与跨任务实验各自成小节。标题长度和小节数量服从实际内容，不照抄参考论文的九个分析小节。</w:t>
      </w:r>
    </w:p>
    <w:p>
      <w:pPr>
        <w:pStyle w:val="Heading1"/>
      </w:pPr>
      <w:r>
        <w:t>七、原有图表与附录的具体处理清单</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现有对象</w:t>
            </w:r>
          </w:p>
        </w:tc>
        <w:tc>
          <w:tcPr>
            <w:tcW w:type="dxa" w:w="3175"/>
            <w:tcBorders>
              <w:top w:val="single" w:sz="6"/>
              <w:left w:val="nil" w:sz="6"/>
              <w:bottom w:val="single" w:sz="6"/>
              <w:right w:val="nil" w:sz="6"/>
            </w:tcBorders>
          </w:tcPr>
          <w:p>
            <w:pPr>
              <w:spacing w:after="80"/>
            </w:pPr>
            <w:r>
              <w:rPr>
                <w:b/>
                <w:sz w:val="18"/>
              </w:rPr>
              <w:t>拟处理</w:t>
            </w:r>
          </w:p>
        </w:tc>
        <w:tc>
          <w:tcPr>
            <w:tcW w:type="dxa" w:w="3175"/>
            <w:tcBorders>
              <w:top w:val="single" w:sz="6"/>
              <w:left w:val="nil" w:sz="6"/>
              <w:bottom w:val="single" w:sz="6"/>
              <w:right w:val="nil" w:sz="6"/>
            </w:tcBorders>
          </w:tcPr>
          <w:p>
            <w:pPr>
              <w:spacing w:after="80"/>
            </w:pPr>
            <w:r>
              <w:rPr>
                <w:b/>
                <w:sz w:val="18"/>
              </w:rPr>
              <w:t>保留的信息</w:t>
            </w:r>
          </w:p>
        </w:tc>
      </w:tr>
      <w:tr>
        <w:tc>
          <w:tcPr>
            <w:tcW w:type="dxa" w:w="3175"/>
            <w:tcBorders>
              <w:top w:val="nil" w:sz="6"/>
              <w:left w:val="nil" w:sz="6"/>
              <w:bottom w:val="nil" w:sz="6"/>
              <w:right w:val="nil" w:sz="6"/>
            </w:tcBorders>
          </w:tcPr>
          <w:p>
            <w:pPr>
              <w:spacing w:after="80"/>
            </w:pPr>
            <w:r>
              <w:rPr>
                <w:b w:val="0"/>
                <w:sz w:val="18"/>
              </w:rPr>
              <w:t>表1-1、表1-2</w:t>
            </w:r>
          </w:p>
        </w:tc>
        <w:tc>
          <w:tcPr>
            <w:tcW w:type="dxa" w:w="3175"/>
            <w:tcBorders>
              <w:top w:val="nil" w:sz="6"/>
              <w:left w:val="nil" w:sz="6"/>
              <w:bottom w:val="nil" w:sz="6"/>
              <w:right w:val="nil" w:sz="6"/>
            </w:tcBorders>
          </w:tcPr>
          <w:p>
            <w:pPr>
              <w:spacing w:after="80"/>
            </w:pPr>
            <w:r>
              <w:rPr>
                <w:b w:val="0"/>
                <w:sz w:val="18"/>
              </w:rPr>
              <w:t>转为相关研究比较与方法继承两处文字，取消整表优先</w:t>
            </w:r>
          </w:p>
        </w:tc>
        <w:tc>
          <w:tcPr>
            <w:tcW w:type="dxa" w:w="3175"/>
            <w:tcBorders>
              <w:top w:val="nil" w:sz="6"/>
              <w:left w:val="nil" w:sz="6"/>
              <w:bottom w:val="nil" w:sz="6"/>
              <w:right w:val="nil" w:sz="6"/>
            </w:tcBorders>
          </w:tcPr>
          <w:p>
            <w:pPr>
              <w:spacing w:after="80"/>
            </w:pPr>
            <w:r>
              <w:rPr>
                <w:b w:val="0"/>
                <w:sz w:val="18"/>
              </w:rPr>
              <w:t>输入条件、先前工作的归属、本文新增机制。</w:t>
            </w:r>
          </w:p>
        </w:tc>
      </w:tr>
      <w:tr>
        <w:tc>
          <w:tcPr>
            <w:tcW w:type="dxa" w:w="3175"/>
            <w:tcBorders>
              <w:top w:val="nil" w:sz="6"/>
              <w:left w:val="nil" w:sz="6"/>
              <w:bottom w:val="nil" w:sz="6"/>
              <w:right w:val="nil" w:sz="6"/>
            </w:tcBorders>
          </w:tcPr>
          <w:p>
            <w:pPr>
              <w:spacing w:after="80"/>
            </w:pPr>
            <w:r>
              <w:rPr>
                <w:b w:val="0"/>
                <w:sz w:val="18"/>
              </w:rPr>
              <w:t>表2-1</w:t>
            </w:r>
          </w:p>
        </w:tc>
        <w:tc>
          <w:tcPr>
            <w:tcW w:type="dxa" w:w="3175"/>
            <w:tcBorders>
              <w:top w:val="nil" w:sz="6"/>
              <w:left w:val="nil" w:sz="6"/>
              <w:bottom w:val="nil" w:sz="6"/>
              <w:right w:val="nil" w:sz="6"/>
            </w:tcBorders>
          </w:tcPr>
          <w:p>
            <w:pPr>
              <w:spacing w:after="80"/>
            </w:pPr>
            <w:r>
              <w:rPr>
                <w:b w:val="0"/>
                <w:sz w:val="18"/>
              </w:rPr>
              <w:t>简化并移到第三章数据与任务设置；中文显示原标签映射</w:t>
            </w:r>
          </w:p>
        </w:tc>
        <w:tc>
          <w:tcPr>
            <w:tcW w:type="dxa" w:w="3175"/>
            <w:tcBorders>
              <w:top w:val="nil" w:sz="6"/>
              <w:left w:val="nil" w:sz="6"/>
              <w:bottom w:val="nil" w:sz="6"/>
              <w:right w:val="nil" w:sz="6"/>
            </w:tcBorders>
          </w:tcPr>
          <w:p>
            <w:pPr>
              <w:spacing w:after="80"/>
            </w:pPr>
            <w:r>
              <w:rPr>
                <w:b w:val="0"/>
                <w:sz w:val="18"/>
              </w:rPr>
              <w:t>两语料的任务差异、多前提关系边界、立场的处理。</w:t>
            </w:r>
          </w:p>
        </w:tc>
      </w:tr>
      <w:tr>
        <w:tc>
          <w:tcPr>
            <w:tcW w:type="dxa" w:w="3175"/>
            <w:tcBorders>
              <w:top w:val="nil" w:sz="6"/>
              <w:left w:val="nil" w:sz="6"/>
              <w:bottom w:val="nil" w:sz="6"/>
              <w:right w:val="nil" w:sz="6"/>
            </w:tcBorders>
          </w:tcPr>
          <w:p>
            <w:pPr>
              <w:spacing w:after="80"/>
            </w:pPr>
            <w:r>
              <w:rPr>
                <w:b w:val="0"/>
                <w:sz w:val="18"/>
              </w:rPr>
              <w:t>表2-2、表2-3</w:t>
            </w:r>
          </w:p>
        </w:tc>
        <w:tc>
          <w:tcPr>
            <w:tcW w:type="dxa" w:w="3175"/>
            <w:tcBorders>
              <w:top w:val="nil" w:sz="6"/>
              <w:left w:val="nil" w:sz="6"/>
              <w:bottom w:val="nil" w:sz="6"/>
              <w:right w:val="nil" w:sz="6"/>
            </w:tcBorders>
          </w:tcPr>
          <w:p>
            <w:pPr>
              <w:spacing w:after="80"/>
            </w:pPr>
            <w:r>
              <w:rPr>
                <w:b w:val="0"/>
                <w:sz w:val="18"/>
              </w:rPr>
              <w:t>边界差异留一个短例；预测层次改为文字</w:t>
            </w:r>
          </w:p>
        </w:tc>
        <w:tc>
          <w:tcPr>
            <w:tcW w:type="dxa" w:w="3175"/>
            <w:tcBorders>
              <w:top w:val="nil" w:sz="6"/>
              <w:left w:val="nil" w:sz="6"/>
              <w:bottom w:val="nil" w:sz="6"/>
              <w:right w:val="nil" w:sz="6"/>
            </w:tcBorders>
          </w:tcPr>
          <w:p>
            <w:pPr>
              <w:spacing w:after="80"/>
            </w:pPr>
            <w:r>
              <w:rPr>
                <w:b w:val="0"/>
                <w:sz w:val="18"/>
              </w:rPr>
              <w:t>完整对象身份与严格评价，不用表格重复概念。</w:t>
            </w:r>
          </w:p>
        </w:tc>
      </w:tr>
      <w:tr>
        <w:tc>
          <w:tcPr>
            <w:tcW w:type="dxa" w:w="3175"/>
            <w:tcBorders>
              <w:top w:val="nil" w:sz="6"/>
              <w:left w:val="nil" w:sz="6"/>
              <w:bottom w:val="nil" w:sz="6"/>
              <w:right w:val="nil" w:sz="6"/>
            </w:tcBorders>
          </w:tcPr>
          <w:p>
            <w:pPr>
              <w:spacing w:after="80"/>
            </w:pPr>
            <w:r>
              <w:rPr>
                <w:b w:val="0"/>
                <w:sz w:val="18"/>
              </w:rPr>
              <w:t>表2-4—2-7</w:t>
            </w:r>
          </w:p>
        </w:tc>
        <w:tc>
          <w:tcPr>
            <w:tcW w:type="dxa" w:w="3175"/>
            <w:tcBorders>
              <w:top w:val="nil" w:sz="6"/>
              <w:left w:val="nil" w:sz="6"/>
              <w:bottom w:val="nil" w:sz="6"/>
              <w:right w:val="nil" w:sz="6"/>
            </w:tcBorders>
          </w:tcPr>
          <w:p>
            <w:pPr>
              <w:spacing w:after="80"/>
            </w:pPr>
            <w:r>
              <w:rPr>
                <w:b w:val="0"/>
                <w:sz w:val="18"/>
              </w:rPr>
              <w:t>按第三/四章的实验设置拆分，合并重复参数</w:t>
            </w:r>
          </w:p>
        </w:tc>
        <w:tc>
          <w:tcPr>
            <w:tcW w:type="dxa" w:w="3175"/>
            <w:tcBorders>
              <w:top w:val="nil" w:sz="6"/>
              <w:left w:val="nil" w:sz="6"/>
              <w:bottom w:val="nil" w:sz="6"/>
              <w:right w:val="nil" w:sz="6"/>
            </w:tcBorders>
          </w:tcPr>
          <w:p>
            <w:pPr>
              <w:spacing w:after="80"/>
            </w:pPr>
            <w:r>
              <w:rPr>
                <w:b w:val="0"/>
                <w:sz w:val="18"/>
              </w:rPr>
              <w:t>数据划分、骨干、五类模块职责、训练与评分配置、预算。</w:t>
            </w:r>
          </w:p>
        </w:tc>
      </w:tr>
      <w:tr>
        <w:tc>
          <w:tcPr>
            <w:tcW w:type="dxa" w:w="3175"/>
            <w:tcBorders>
              <w:top w:val="nil" w:sz="6"/>
              <w:left w:val="nil" w:sz="6"/>
              <w:bottom w:val="nil" w:sz="6"/>
              <w:right w:val="nil" w:sz="6"/>
            </w:tcBorders>
          </w:tcPr>
          <w:p>
            <w:pPr>
              <w:spacing w:after="80"/>
            </w:pPr>
            <w:r>
              <w:rPr>
                <w:b w:val="0"/>
                <w:sz w:val="18"/>
              </w:rPr>
              <w:t>表3-1—3-4</w:t>
            </w:r>
          </w:p>
        </w:tc>
        <w:tc>
          <w:tcPr>
            <w:tcW w:type="dxa" w:w="3175"/>
            <w:tcBorders>
              <w:top w:val="nil" w:sz="6"/>
              <w:left w:val="nil" w:sz="6"/>
              <w:bottom w:val="nil" w:sz="6"/>
              <w:right w:val="nil" w:sz="6"/>
            </w:tcBorders>
          </w:tcPr>
          <w:p>
            <w:pPr>
              <w:spacing w:after="80"/>
            </w:pPr>
            <w:r>
              <w:rPr>
                <w:b w:val="0"/>
                <w:sz w:val="18"/>
              </w:rPr>
              <w:t>合成一个贯穿的增强案例，必要时一图一表</w:t>
            </w:r>
          </w:p>
        </w:tc>
        <w:tc>
          <w:tcPr>
            <w:tcW w:type="dxa" w:w="3175"/>
            <w:tcBorders>
              <w:top w:val="nil" w:sz="6"/>
              <w:left w:val="nil" w:sz="6"/>
              <w:bottom w:val="nil" w:sz="6"/>
              <w:right w:val="nil" w:sz="6"/>
            </w:tcBorders>
          </w:tcPr>
          <w:p>
            <w:pPr>
              <w:spacing w:after="80"/>
            </w:pPr>
            <w:r>
              <w:rPr>
                <w:b w:val="0"/>
                <w:sz w:val="18"/>
              </w:rPr>
              <w:t>原文/改写、坐标迁移、审核与掩码的因果，不丢掉语义失败例。</w:t>
            </w:r>
          </w:p>
        </w:tc>
      </w:tr>
      <w:tr>
        <w:tc>
          <w:tcPr>
            <w:tcW w:type="dxa" w:w="3175"/>
            <w:tcBorders>
              <w:top w:val="nil" w:sz="6"/>
              <w:left w:val="nil" w:sz="6"/>
              <w:bottom w:val="nil" w:sz="6"/>
              <w:right w:val="nil" w:sz="6"/>
            </w:tcBorders>
          </w:tcPr>
          <w:p>
            <w:pPr>
              <w:spacing w:after="80"/>
            </w:pPr>
            <w:r>
              <w:rPr>
                <w:b w:val="0"/>
                <w:sz w:val="18"/>
              </w:rPr>
              <w:t>表3-5—3-7</w:t>
            </w:r>
          </w:p>
        </w:tc>
        <w:tc>
          <w:tcPr>
            <w:tcW w:type="dxa" w:w="3175"/>
            <w:tcBorders>
              <w:top w:val="nil" w:sz="6"/>
              <w:left w:val="nil" w:sz="6"/>
              <w:bottom w:val="nil" w:sz="6"/>
              <w:right w:val="nil" w:sz="6"/>
            </w:tcBorders>
          </w:tcPr>
          <w:p>
            <w:pPr>
              <w:spacing w:after="80"/>
            </w:pPr>
            <w:r>
              <w:rPr>
                <w:b w:val="0"/>
                <w:sz w:val="18"/>
              </w:rPr>
              <w:t>对照组用短段落或紧凑配置表；保留主结果，统计差值合并表注/分析</w:t>
            </w:r>
          </w:p>
        </w:tc>
        <w:tc>
          <w:tcPr>
            <w:tcW w:type="dxa" w:w="3175"/>
            <w:tcBorders>
              <w:top w:val="nil" w:sz="6"/>
              <w:left w:val="nil" w:sz="6"/>
              <w:bottom w:val="nil" w:sz="6"/>
              <w:right w:val="nil" w:sz="6"/>
            </w:tcBorders>
          </w:tcPr>
          <w:p>
            <w:pPr>
              <w:spacing w:after="80"/>
            </w:pPr>
            <w:r>
              <w:rPr>
                <w:b w:val="0"/>
                <w:sz w:val="18"/>
              </w:rPr>
              <w:t>相同数据与预算的消融，差值、置信区间及校正口径。</w:t>
            </w:r>
          </w:p>
        </w:tc>
      </w:tr>
      <w:tr>
        <w:tc>
          <w:tcPr>
            <w:tcW w:type="dxa" w:w="3175"/>
            <w:tcBorders>
              <w:top w:val="nil" w:sz="6"/>
              <w:left w:val="nil" w:sz="6"/>
              <w:bottom w:val="nil" w:sz="6"/>
              <w:right w:val="nil" w:sz="6"/>
            </w:tcBorders>
          </w:tcPr>
          <w:p>
            <w:pPr>
              <w:spacing w:after="80"/>
            </w:pPr>
            <w:r>
              <w:rPr>
                <w:b w:val="0"/>
                <w:sz w:val="18"/>
              </w:rPr>
              <w:t>表3-8—3-11、B-3/B-4</w:t>
            </w:r>
          </w:p>
        </w:tc>
        <w:tc>
          <w:tcPr>
            <w:tcW w:type="dxa" w:w="3175"/>
            <w:tcBorders>
              <w:top w:val="nil" w:sz="6"/>
              <w:left w:val="nil" w:sz="6"/>
              <w:bottom w:val="nil" w:sz="6"/>
              <w:right w:val="nil" w:sz="6"/>
            </w:tcBorders>
          </w:tcPr>
          <w:p>
            <w:pPr>
              <w:spacing w:after="80"/>
            </w:pPr>
            <w:r>
              <w:rPr>
                <w:b w:val="0"/>
                <w:sz w:val="18"/>
              </w:rPr>
              <w:t>按审核质量、危险类别与成本整合为少量自足表</w:t>
            </w:r>
          </w:p>
        </w:tc>
        <w:tc>
          <w:tcPr>
            <w:tcW w:type="dxa" w:w="3175"/>
            <w:tcBorders>
              <w:top w:val="nil" w:sz="6"/>
              <w:left w:val="nil" w:sz="6"/>
              <w:bottom w:val="nil" w:sz="6"/>
              <w:right w:val="nil" w:sz="6"/>
            </w:tcBorders>
          </w:tcPr>
          <w:p>
            <w:pPr>
              <w:spacing w:after="80"/>
            </w:pPr>
            <w:r>
              <w:rPr>
                <w:b w:val="0"/>
                <w:sz w:val="18"/>
              </w:rPr>
              <w:t>分层/加权统计、未通过审核的比例、一次性成本。</w:t>
            </w:r>
          </w:p>
        </w:tc>
      </w:tr>
      <w:tr>
        <w:tc>
          <w:tcPr>
            <w:tcW w:type="dxa" w:w="3175"/>
            <w:tcBorders>
              <w:top w:val="nil" w:sz="6"/>
              <w:left w:val="nil" w:sz="6"/>
              <w:bottom w:val="nil" w:sz="6"/>
              <w:right w:val="nil" w:sz="6"/>
            </w:tcBorders>
          </w:tcPr>
          <w:p>
            <w:pPr>
              <w:spacing w:after="80"/>
            </w:pPr>
            <w:r>
              <w:rPr>
                <w:b w:val="0"/>
                <w:sz w:val="18"/>
              </w:rPr>
              <w:t>表4-1/4-2</w:t>
            </w:r>
          </w:p>
        </w:tc>
        <w:tc>
          <w:tcPr>
            <w:tcW w:type="dxa" w:w="3175"/>
            <w:tcBorders>
              <w:top w:val="nil" w:sz="6"/>
              <w:left w:val="nil" w:sz="6"/>
              <w:bottom w:val="nil" w:sz="6"/>
              <w:right w:val="nil" w:sz="6"/>
            </w:tcBorders>
          </w:tcPr>
          <w:p>
            <w:pPr>
              <w:spacing w:after="80"/>
            </w:pPr>
            <w:r>
              <w:rPr>
                <w:b w:val="0"/>
                <w:sz w:val="18"/>
              </w:rPr>
              <w:t>合并为一次完整事务案例，图示前后依赖</w:t>
            </w:r>
          </w:p>
        </w:tc>
        <w:tc>
          <w:tcPr>
            <w:tcW w:type="dxa" w:w="3175"/>
            <w:tcBorders>
              <w:top w:val="nil" w:sz="6"/>
              <w:left w:val="nil" w:sz="6"/>
              <w:bottom w:val="nil" w:sz="6"/>
              <w:right w:val="nil" w:sz="6"/>
            </w:tcBorders>
          </w:tcPr>
          <w:p>
            <w:pPr>
              <w:spacing w:after="80"/>
            </w:pPr>
            <w:r>
              <w:rPr>
                <w:b w:val="0"/>
                <w:sz w:val="18"/>
              </w:rPr>
              <w:t>修改对象、失效关系、重建关系、分项效用及拒绝条件。</w:t>
            </w:r>
          </w:p>
        </w:tc>
      </w:tr>
      <w:tr>
        <w:tc>
          <w:tcPr>
            <w:tcW w:type="dxa" w:w="3175"/>
            <w:tcBorders>
              <w:top w:val="nil" w:sz="6"/>
              <w:left w:val="nil" w:sz="6"/>
              <w:bottom w:val="nil" w:sz="6"/>
              <w:right w:val="nil" w:sz="6"/>
            </w:tcBorders>
          </w:tcPr>
          <w:p>
            <w:pPr>
              <w:spacing w:after="80"/>
            </w:pPr>
            <w:r>
              <w:rPr>
                <w:b w:val="0"/>
                <w:sz w:val="18"/>
              </w:rPr>
              <w:t>表4-3</w:t>
            </w:r>
          </w:p>
        </w:tc>
        <w:tc>
          <w:tcPr>
            <w:tcW w:type="dxa" w:w="3175"/>
            <w:tcBorders>
              <w:top w:val="nil" w:sz="6"/>
              <w:left w:val="nil" w:sz="6"/>
              <w:bottom w:val="nil" w:sz="6"/>
              <w:right w:val="nil" w:sz="6"/>
            </w:tcBorders>
          </w:tcPr>
          <w:p>
            <w:pPr>
              <w:spacing w:after="80"/>
            </w:pPr>
            <w:r>
              <w:rPr>
                <w:b w:val="0"/>
                <w:sz w:val="18"/>
              </w:rPr>
              <w:t>优先改求解方式对照段落</w:t>
            </w:r>
          </w:p>
        </w:tc>
        <w:tc>
          <w:tcPr>
            <w:tcW w:type="dxa" w:w="3175"/>
            <w:tcBorders>
              <w:top w:val="nil" w:sz="6"/>
              <w:left w:val="nil" w:sz="6"/>
              <w:bottom w:val="nil" w:sz="6"/>
              <w:right w:val="nil" w:sz="6"/>
            </w:tcBorders>
          </w:tcPr>
          <w:p>
            <w:pPr>
              <w:spacing w:after="80"/>
            </w:pPr>
            <w:r>
              <w:rPr>
                <w:b w:val="0"/>
                <w:sz w:val="18"/>
              </w:rPr>
              <w:t>局部/全局的候选、可行域、最优性和成本差异，避免泛称全局总优。</w:t>
            </w:r>
          </w:p>
        </w:tc>
      </w:tr>
      <w:tr>
        <w:tc>
          <w:tcPr>
            <w:tcW w:type="dxa" w:w="3175"/>
            <w:tcBorders>
              <w:top w:val="nil" w:sz="6"/>
              <w:left w:val="nil" w:sz="6"/>
              <w:bottom w:val="nil" w:sz="6"/>
              <w:right w:val="nil" w:sz="6"/>
            </w:tcBorders>
          </w:tcPr>
          <w:p>
            <w:pPr>
              <w:spacing w:after="80"/>
            </w:pPr>
            <w:r>
              <w:rPr>
                <w:b w:val="0"/>
                <w:sz w:val="18"/>
              </w:rPr>
              <w:t>表4-4—4-6</w:t>
            </w:r>
          </w:p>
        </w:tc>
        <w:tc>
          <w:tcPr>
            <w:tcW w:type="dxa" w:w="3175"/>
            <w:tcBorders>
              <w:top w:val="nil" w:sz="6"/>
              <w:left w:val="nil" w:sz="6"/>
              <w:bottom w:val="nil" w:sz="6"/>
              <w:right w:val="nil" w:sz="6"/>
            </w:tcBorders>
          </w:tcPr>
          <w:p>
            <w:pPr>
              <w:spacing w:after="80"/>
            </w:pPr>
            <w:r>
              <w:rPr>
                <w:b w:val="0"/>
                <w:sz w:val="18"/>
              </w:rPr>
              <w:t>与主结果和消融整合</w:t>
            </w:r>
          </w:p>
        </w:tc>
        <w:tc>
          <w:tcPr>
            <w:tcW w:type="dxa" w:w="3175"/>
            <w:tcBorders>
              <w:top w:val="nil" w:sz="6"/>
              <w:left w:val="nil" w:sz="6"/>
              <w:bottom w:val="nil" w:sz="6"/>
              <w:right w:val="nil" w:sz="6"/>
            </w:tcBorders>
          </w:tcPr>
          <w:p>
            <w:pPr>
              <w:spacing w:after="80"/>
            </w:pPr>
            <w:r>
              <w:rPr>
                <w:b w:val="0"/>
                <w:sz w:val="18"/>
              </w:rPr>
              <w:t>同训练检查点、候选、评分和追加预算；核心配对比较。</w:t>
            </w:r>
          </w:p>
        </w:tc>
      </w:tr>
      <w:tr>
        <w:tc>
          <w:tcPr>
            <w:tcW w:type="dxa" w:w="3175"/>
            <w:tcBorders>
              <w:top w:val="nil" w:sz="6"/>
              <w:left w:val="nil" w:sz="6"/>
              <w:bottom w:val="nil" w:sz="6"/>
              <w:right w:val="nil" w:sz="6"/>
            </w:tcBorders>
          </w:tcPr>
          <w:p>
            <w:pPr>
              <w:spacing w:after="80"/>
            </w:pPr>
            <w:r>
              <w:rPr>
                <w:b w:val="0"/>
                <w:sz w:val="18"/>
              </w:rPr>
              <w:t>表4-7—4-12</w:t>
            </w:r>
          </w:p>
        </w:tc>
        <w:tc>
          <w:tcPr>
            <w:tcW w:type="dxa" w:w="3175"/>
            <w:tcBorders>
              <w:top w:val="nil" w:sz="6"/>
              <w:left w:val="nil" w:sz="6"/>
              <w:bottom w:val="nil" w:sz="6"/>
              <w:right w:val="nil" w:sz="6"/>
            </w:tcBorders>
          </w:tcPr>
          <w:p>
            <w:pPr>
              <w:spacing w:after="80"/>
            </w:pPr>
            <w:r>
              <w:rPr>
                <w:b w:val="0"/>
                <w:sz w:val="18"/>
              </w:rPr>
              <w:t>保留候选覆盖、误改风险和成本；开发/测试评分质量可合表分面</w:t>
            </w:r>
          </w:p>
        </w:tc>
        <w:tc>
          <w:tcPr>
            <w:tcW w:type="dxa" w:w="3175"/>
            <w:tcBorders>
              <w:top w:val="nil" w:sz="6"/>
              <w:left w:val="nil" w:sz="6"/>
              <w:bottom w:val="nil" w:sz="6"/>
              <w:right w:val="nil" w:sz="6"/>
            </w:tcBorders>
          </w:tcPr>
          <w:p>
            <w:pPr>
              <w:spacing w:after="80"/>
            </w:pPr>
            <w:r>
              <w:rPr>
                <w:b w:val="0"/>
                <w:sz w:val="18"/>
              </w:rPr>
              <w:t>逐环节阻断、正确关系保留、校准误差、测试不调参、时延。</w:t>
            </w:r>
          </w:p>
        </w:tc>
      </w:tr>
      <w:tr>
        <w:tc>
          <w:tcPr>
            <w:tcW w:type="dxa" w:w="3175"/>
            <w:tcBorders>
              <w:top w:val="nil" w:sz="6"/>
              <w:left w:val="nil" w:sz="6"/>
              <w:bottom w:val="nil" w:sz="6"/>
              <w:right w:val="nil" w:sz="6"/>
            </w:tcBorders>
          </w:tcPr>
          <w:p>
            <w:pPr>
              <w:spacing w:after="80"/>
            </w:pPr>
            <w:r>
              <w:rPr>
                <w:b w:val="0"/>
                <w:sz w:val="18"/>
              </w:rPr>
              <w:t>表4-13与表5-6</w:t>
            </w:r>
          </w:p>
        </w:tc>
        <w:tc>
          <w:tcPr>
            <w:tcW w:type="dxa" w:w="3175"/>
            <w:tcBorders>
              <w:top w:val="nil" w:sz="6"/>
              <w:left w:val="nil" w:sz="6"/>
              <w:bottom w:val="nil" w:sz="6"/>
              <w:right w:val="nil" w:sz="6"/>
            </w:tcBorders>
          </w:tcPr>
          <w:p>
            <w:pPr>
              <w:spacing w:after="80"/>
            </w:pPr>
            <w:r>
              <w:rPr>
                <w:b w:val="0"/>
                <w:sz w:val="18"/>
              </w:rPr>
              <w:t>并入多前提关系案例及分组评价</w:t>
            </w:r>
          </w:p>
        </w:tc>
        <w:tc>
          <w:tcPr>
            <w:tcW w:type="dxa" w:w="3175"/>
            <w:tcBorders>
              <w:top w:val="nil" w:sz="6"/>
              <w:left w:val="nil" w:sz="6"/>
              <w:bottom w:val="nil" w:sz="6"/>
              <w:right w:val="nil" w:sz="6"/>
            </w:tcBorders>
          </w:tcPr>
          <w:p>
            <w:pPr>
              <w:spacing w:after="80"/>
            </w:pPr>
            <w:r>
              <w:rPr>
                <w:b w:val="0"/>
                <w:sz w:val="18"/>
              </w:rPr>
              <w:t>多源关系完整性、样本量及细粒度结论限制。</w:t>
            </w:r>
          </w:p>
        </w:tc>
      </w:tr>
      <w:tr>
        <w:tc>
          <w:tcPr>
            <w:tcW w:type="dxa" w:w="3175"/>
            <w:tcBorders>
              <w:top w:val="nil" w:sz="6"/>
              <w:left w:val="nil" w:sz="6"/>
              <w:bottom w:val="nil" w:sz="6"/>
              <w:right w:val="nil" w:sz="6"/>
            </w:tcBorders>
          </w:tcPr>
          <w:p>
            <w:pPr>
              <w:spacing w:after="80"/>
            </w:pPr>
            <w:r>
              <w:rPr>
                <w:b w:val="0"/>
                <w:sz w:val="18"/>
              </w:rPr>
              <w:t>表5-1—5-3</w:t>
            </w:r>
          </w:p>
        </w:tc>
        <w:tc>
          <w:tcPr>
            <w:tcW w:type="dxa" w:w="3175"/>
            <w:tcBorders>
              <w:top w:val="nil" w:sz="6"/>
              <w:left w:val="nil" w:sz="6"/>
              <w:bottom w:val="nil" w:sz="6"/>
              <w:right w:val="nil" w:sz="6"/>
            </w:tcBorders>
          </w:tcPr>
          <w:p>
            <w:pPr>
              <w:spacing w:after="80"/>
            </w:pPr>
            <w:r>
              <w:rPr>
                <w:b w:val="0"/>
                <w:sz w:val="18"/>
              </w:rPr>
              <w:t>取消重复设置表；四组合主结果与交互留在第四章</w:t>
            </w:r>
          </w:p>
        </w:tc>
        <w:tc>
          <w:tcPr>
            <w:tcW w:type="dxa" w:w="3175"/>
            <w:tcBorders>
              <w:top w:val="nil" w:sz="6"/>
              <w:left w:val="nil" w:sz="6"/>
              <w:bottom w:val="nil" w:sz="6"/>
              <w:right w:val="nil" w:sz="6"/>
            </w:tcBorders>
          </w:tcPr>
          <w:p>
            <w:pPr>
              <w:spacing w:after="80"/>
            </w:pPr>
            <w:r>
              <w:rPr>
                <w:b w:val="0"/>
                <w:sz w:val="18"/>
              </w:rPr>
              <w:t>A/B独立增量、交互项、组合比较口径。</w:t>
            </w:r>
          </w:p>
        </w:tc>
      </w:tr>
      <w:tr>
        <w:tc>
          <w:tcPr>
            <w:tcW w:type="dxa" w:w="3175"/>
            <w:tcBorders>
              <w:top w:val="nil" w:sz="6"/>
              <w:left w:val="nil" w:sz="6"/>
              <w:bottom w:val="nil" w:sz="6"/>
              <w:right w:val="nil" w:sz="6"/>
            </w:tcBorders>
          </w:tcPr>
          <w:p>
            <w:pPr>
              <w:spacing w:after="80"/>
            </w:pPr>
            <w:r>
              <w:rPr>
                <w:b w:val="0"/>
                <w:sz w:val="18"/>
              </w:rPr>
              <w:t>表5-4、5-5a、5-5b</w:t>
            </w:r>
          </w:p>
        </w:tc>
        <w:tc>
          <w:tcPr>
            <w:tcW w:type="dxa" w:w="3175"/>
            <w:tcBorders>
              <w:top w:val="nil" w:sz="6"/>
              <w:left w:val="nil" w:sz="6"/>
              <w:bottom w:val="nil" w:sz="6"/>
              <w:right w:val="nil" w:sz="6"/>
            </w:tcBorders>
          </w:tcPr>
          <w:p>
            <w:pPr>
              <w:spacing w:after="80"/>
            </w:pPr>
            <w:r>
              <w:rPr>
                <w:b w:val="0"/>
                <w:sz w:val="18"/>
              </w:rPr>
              <w:t>合并关系恢复与漏检分析，放第四章</w:t>
            </w:r>
          </w:p>
        </w:tc>
        <w:tc>
          <w:tcPr>
            <w:tcW w:type="dxa" w:w="3175"/>
            <w:tcBorders>
              <w:top w:val="nil" w:sz="6"/>
              <w:left w:val="nil" w:sz="6"/>
              <w:bottom w:val="nil" w:sz="6"/>
              <w:right w:val="nil" w:sz="6"/>
            </w:tcBorders>
          </w:tcPr>
          <w:p>
            <w:pPr>
              <w:spacing w:after="80"/>
            </w:pPr>
            <w:r>
              <w:rPr>
                <w:b w:val="0"/>
                <w:sz w:val="18"/>
              </w:rPr>
              <w:t>重叠/互补恢复、首次阻断位置，不只给有利案例。</w:t>
            </w:r>
          </w:p>
        </w:tc>
      </w:tr>
      <w:tr>
        <w:tc>
          <w:tcPr>
            <w:tcW w:type="dxa" w:w="3175"/>
            <w:tcBorders>
              <w:top w:val="nil" w:sz="6"/>
              <w:left w:val="nil" w:sz="6"/>
              <w:bottom w:val="nil" w:sz="6"/>
              <w:right w:val="nil" w:sz="6"/>
            </w:tcBorders>
          </w:tcPr>
          <w:p>
            <w:pPr>
              <w:spacing w:after="80"/>
            </w:pPr>
            <w:r>
              <w:rPr>
                <w:b w:val="0"/>
                <w:sz w:val="18"/>
              </w:rPr>
              <w:t>表5-7—5-9</w:t>
            </w:r>
          </w:p>
        </w:tc>
        <w:tc>
          <w:tcPr>
            <w:tcW w:type="dxa" w:w="3175"/>
            <w:tcBorders>
              <w:top w:val="nil" w:sz="6"/>
              <w:left w:val="nil" w:sz="6"/>
              <w:bottom w:val="nil" w:sz="6"/>
              <w:right w:val="nil" w:sz="6"/>
            </w:tcBorders>
          </w:tcPr>
          <w:p>
            <w:pPr>
              <w:spacing w:after="80"/>
            </w:pPr>
            <w:r>
              <w:rPr>
                <w:b w:val="0"/>
                <w:sz w:val="18"/>
              </w:rPr>
              <w:t>参数移设置；跨骨干结果按A、B与组合分配分析</w:t>
            </w:r>
          </w:p>
        </w:tc>
        <w:tc>
          <w:tcPr>
            <w:tcW w:type="dxa" w:w="3175"/>
            <w:tcBorders>
              <w:top w:val="nil" w:sz="6"/>
              <w:left w:val="nil" w:sz="6"/>
              <w:bottom w:val="nil" w:sz="6"/>
              <w:right w:val="nil" w:sz="6"/>
            </w:tcBorders>
          </w:tcPr>
          <w:p>
            <w:pPr>
              <w:spacing w:after="80"/>
            </w:pPr>
            <w:r>
              <w:rPr>
                <w:b w:val="0"/>
                <w:sz w:val="18"/>
              </w:rPr>
              <w:t>完整四组合表只放一次，第三章用回引或对应子结果，避免重复计算。</w:t>
            </w:r>
          </w:p>
        </w:tc>
      </w:tr>
      <w:tr>
        <w:tc>
          <w:tcPr>
            <w:tcW w:type="dxa" w:w="3175"/>
            <w:tcBorders>
              <w:top w:val="nil" w:sz="6"/>
              <w:left w:val="nil" w:sz="6"/>
              <w:bottom w:val="nil" w:sz="6"/>
              <w:right w:val="nil" w:sz="6"/>
            </w:tcBorders>
          </w:tcPr>
          <w:p>
            <w:pPr>
              <w:spacing w:after="80"/>
            </w:pPr>
            <w:r>
              <w:rPr>
                <w:b w:val="0"/>
                <w:sz w:val="18"/>
              </w:rPr>
              <w:t>表5-10—5-12</w:t>
            </w:r>
          </w:p>
        </w:tc>
        <w:tc>
          <w:tcPr>
            <w:tcW w:type="dxa" w:w="3175"/>
            <w:tcBorders>
              <w:top w:val="nil" w:sz="6"/>
              <w:left w:val="nil" w:sz="6"/>
              <w:bottom w:val="nil" w:sz="6"/>
              <w:right w:val="nil" w:sz="6"/>
            </w:tcBorders>
          </w:tcPr>
          <w:p>
            <w:pPr>
              <w:spacing w:after="80"/>
            </w:pPr>
            <w:r>
              <w:rPr>
                <w:b w:val="0"/>
                <w:sz w:val="18"/>
              </w:rPr>
              <w:t>同协议外部比较保留；异协议已发表结果仅作背景参照</w:t>
            </w:r>
          </w:p>
        </w:tc>
        <w:tc>
          <w:tcPr>
            <w:tcW w:type="dxa" w:w="3175"/>
            <w:tcBorders>
              <w:top w:val="nil" w:sz="6"/>
              <w:left w:val="nil" w:sz="6"/>
              <w:bottom w:val="nil" w:sz="6"/>
              <w:right w:val="nil" w:sz="6"/>
            </w:tcBorders>
          </w:tcPr>
          <w:p>
            <w:pPr>
              <w:spacing w:after="80"/>
            </w:pPr>
            <w:r>
              <w:rPr>
                <w:b w:val="0"/>
                <w:sz w:val="18"/>
              </w:rPr>
              <w:t>不同输入粒度、匹配脚本、骨干和oracle条件必须可见。</w:t>
            </w:r>
          </w:p>
        </w:tc>
      </w:tr>
      <w:tr>
        <w:tc>
          <w:tcPr>
            <w:tcW w:type="dxa" w:w="3175"/>
            <w:tcBorders>
              <w:top w:val="nil" w:sz="6"/>
              <w:left w:val="nil" w:sz="6"/>
              <w:bottom w:val="nil" w:sz="6"/>
              <w:right w:val="nil" w:sz="6"/>
            </w:tcBorders>
          </w:tcPr>
          <w:p>
            <w:pPr>
              <w:spacing w:after="80"/>
            </w:pPr>
            <w:r>
              <w:rPr>
                <w:b w:val="0"/>
                <w:sz w:val="18"/>
              </w:rPr>
              <w:t>附录A.1—A.4、表A-1</w:t>
            </w:r>
          </w:p>
        </w:tc>
        <w:tc>
          <w:tcPr>
            <w:tcW w:type="dxa" w:w="3175"/>
            <w:tcBorders>
              <w:top w:val="nil" w:sz="6"/>
              <w:left w:val="nil" w:sz="6"/>
              <w:bottom w:val="nil" w:sz="6"/>
              <w:right w:val="nil" w:sz="6"/>
            </w:tcBorders>
          </w:tcPr>
          <w:p>
            <w:pPr>
              <w:spacing w:after="80"/>
            </w:pPr>
            <w:r>
              <w:rPr>
                <w:b w:val="0"/>
                <w:sz w:val="18"/>
              </w:rPr>
              <w:t>确定性规则移求解；模型版本移设置；核心接口移方法</w:t>
            </w:r>
          </w:p>
        </w:tc>
        <w:tc>
          <w:tcPr>
            <w:tcW w:type="dxa" w:w="3175"/>
            <w:tcBorders>
              <w:top w:val="nil" w:sz="6"/>
              <w:left w:val="nil" w:sz="6"/>
              <w:bottom w:val="nil" w:sz="6"/>
              <w:right w:val="nil" w:sz="6"/>
            </w:tcBorders>
          </w:tcPr>
          <w:p>
            <w:pPr>
              <w:spacing w:after="80"/>
            </w:pPr>
            <w:r>
              <w:rPr>
                <w:b w:val="0"/>
                <w:sz w:val="18"/>
              </w:rPr>
              <w:t>复现文件索引可用随附材料，核心假设不能只藏在索引中。</w:t>
            </w:r>
          </w:p>
        </w:tc>
      </w:tr>
      <w:tr>
        <w:tc>
          <w:tcPr>
            <w:tcW w:type="dxa" w:w="3175"/>
            <w:tcBorders>
              <w:top w:val="nil" w:sz="6"/>
              <w:left w:val="nil" w:sz="6"/>
              <w:bottom w:val="nil" w:sz="6"/>
              <w:right w:val="nil" w:sz="6"/>
            </w:tcBorders>
          </w:tcPr>
          <w:p>
            <w:pPr>
              <w:spacing w:after="80"/>
            </w:pPr>
            <w:r>
              <w:rPr>
                <w:b w:val="0"/>
                <w:sz w:val="18"/>
              </w:rPr>
              <w:t>表B-1/B-2、B-5/B-6</w:t>
            </w:r>
          </w:p>
        </w:tc>
        <w:tc>
          <w:tcPr>
            <w:tcW w:type="dxa" w:w="3175"/>
            <w:tcBorders>
              <w:top w:val="nil" w:sz="6"/>
              <w:left w:val="nil" w:sz="6"/>
              <w:bottom w:val="nil" w:sz="6"/>
              <w:right w:val="nil" w:sz="6"/>
            </w:tcBorders>
          </w:tcPr>
          <w:p>
            <w:pPr>
              <w:spacing w:after="80"/>
            </w:pPr>
            <w:r>
              <w:rPr>
                <w:b w:val="0"/>
                <w:sz w:val="18"/>
              </w:rPr>
              <w:t>开发选择移设置/风险分析，运行成本与规模测试移效率分析</w:t>
            </w:r>
          </w:p>
        </w:tc>
        <w:tc>
          <w:tcPr>
            <w:tcW w:type="dxa" w:w="3175"/>
            <w:tcBorders>
              <w:top w:val="nil" w:sz="6"/>
              <w:left w:val="nil" w:sz="6"/>
              <w:bottom w:val="nil" w:sz="6"/>
              <w:right w:val="nil" w:sz="6"/>
            </w:tcBorders>
          </w:tcPr>
          <w:p>
            <w:pPr>
              <w:spacing w:after="80"/>
            </w:pPr>
            <w:r>
              <w:rPr>
                <w:b w:val="0"/>
                <w:sz w:val="18"/>
              </w:rPr>
              <w:t>阈值来源、模型特定校准、一次性/逐文档成本、超时与退化策略。</w:t>
            </w:r>
          </w:p>
        </w:tc>
      </w:tr>
      <w:tr>
        <w:tc>
          <w:tcPr>
            <w:tcW w:type="dxa" w:w="3175"/>
            <w:tcBorders>
              <w:top w:val="nil" w:sz="6"/>
              <w:left w:val="nil" w:sz="6"/>
              <w:bottom w:val="single" w:sz="6"/>
              <w:right w:val="nil" w:sz="6"/>
            </w:tcBorders>
          </w:tcPr>
          <w:p>
            <w:pPr>
              <w:spacing w:after="80"/>
            </w:pPr>
            <w:r>
              <w:rPr>
                <w:b w:val="0"/>
                <w:sz w:val="18"/>
              </w:rPr>
              <w:t>原附录C—E及致谢</w:t>
            </w:r>
          </w:p>
        </w:tc>
        <w:tc>
          <w:tcPr>
            <w:tcW w:type="dxa" w:w="3175"/>
            <w:tcBorders>
              <w:top w:val="nil" w:sz="6"/>
              <w:left w:val="nil" w:sz="6"/>
              <w:bottom w:val="single" w:sz="6"/>
              <w:right w:val="nil" w:sz="6"/>
            </w:tcBorders>
          </w:tcPr>
          <w:p>
            <w:pPr>
              <w:spacing w:after="80"/>
            </w:pPr>
            <w:r>
              <w:rPr>
                <w:b w:val="0"/>
                <w:sz w:val="18"/>
              </w:rPr>
              <w:t>按学校模板和盲审要求处理</w:t>
            </w:r>
          </w:p>
        </w:tc>
        <w:tc>
          <w:tcPr>
            <w:tcW w:type="dxa" w:w="3175"/>
            <w:tcBorders>
              <w:top w:val="nil" w:sz="6"/>
              <w:left w:val="nil" w:sz="6"/>
              <w:bottom w:val="single" w:sz="6"/>
              <w:right w:val="nil" w:sz="6"/>
            </w:tcBorders>
          </w:tcPr>
          <w:p>
            <w:pPr>
              <w:spacing w:after="80"/>
            </w:pPr>
            <w:r>
              <w:rPr>
                <w:b w:val="0"/>
                <w:sz w:val="18"/>
              </w:rPr>
              <w:t>不在技术精简时误删必需后置材料或恢复匿名身份。</w:t>
            </w:r>
          </w:p>
        </w:tc>
      </w:tr>
    </w:tbl>
    <w:p/>
    <w:p>
      <w:r>
        <w:t>图的改造：保留任务示例图、全文研究框架图、第三章训练图、第四章修正图及有必要的数据分析图。先检查现有可编辑SVG素材能否直接复用，再重画不准确部分。颜色统一表示相同对象或阶段，实线表示数据流、虚线表示监督/评分关系并配图例；不用视觉效果暗示实际不存在的串行依赖。不能仅凭画风断言旧图由AI生成，验收依据是内容正确、可编辑、清晰及与正文一致。</w:t>
      </w:r>
    </w:p>
    <w:p>
      <w:pPr>
        <w:pStyle w:val="Heading1"/>
      </w:pPr>
      <w:r>
        <w:t>八、中文学术表达的修改方式</w:t>
      </w:r>
    </w:p>
    <w:p>
      <w:r>
        <w:t>按段落的任务编辑：先确定本段要解释的问题或结论，保留支持它的必要条件与例子，再处理句间关系和句长。常见问题包括一句一个小点、主语连续切换、用“此外”堆叠事实、在技术概念尚未解释时连续引入缩写。段落不按固定句数或“长句比例”验收，也不把多层因果压进一个难读的长句。</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位置</w:t>
            </w:r>
          </w:p>
        </w:tc>
        <w:tc>
          <w:tcPr>
            <w:tcW w:type="dxa" w:w="3175"/>
            <w:tcBorders>
              <w:top w:val="single" w:sz="6"/>
              <w:left w:val="nil" w:sz="6"/>
              <w:bottom w:val="single" w:sz="6"/>
              <w:right w:val="nil" w:sz="6"/>
            </w:tcBorders>
          </w:tcPr>
          <w:p>
            <w:pPr>
              <w:spacing w:after="80"/>
            </w:pPr>
            <w:r>
              <w:rPr>
                <w:b/>
                <w:sz w:val="18"/>
              </w:rPr>
              <w:t>现有写法的症结</w:t>
            </w:r>
          </w:p>
        </w:tc>
        <w:tc>
          <w:tcPr>
            <w:tcW w:type="dxa" w:w="3175"/>
            <w:tcBorders>
              <w:top w:val="single" w:sz="6"/>
              <w:left w:val="nil" w:sz="6"/>
              <w:bottom w:val="single" w:sz="6"/>
              <w:right w:val="nil" w:sz="6"/>
            </w:tcBorders>
          </w:tcPr>
          <w:p>
            <w:pPr>
              <w:spacing w:after="80"/>
            </w:pPr>
            <w:r>
              <w:rPr>
                <w:b/>
                <w:sz w:val="18"/>
              </w:rPr>
              <w:t>示意改法（未替换正文）</w:t>
            </w:r>
          </w:p>
        </w:tc>
      </w:tr>
      <w:tr>
        <w:tc>
          <w:tcPr>
            <w:tcW w:type="dxa" w:w="3175"/>
            <w:tcBorders>
              <w:top w:val="nil" w:sz="6"/>
              <w:left w:val="nil" w:sz="6"/>
              <w:bottom w:val="nil" w:sz="6"/>
              <w:right w:val="nil" w:sz="6"/>
            </w:tcBorders>
          </w:tcPr>
          <w:p>
            <w:pPr>
              <w:spacing w:after="80"/>
            </w:pPr>
            <w:r>
              <w:rPr>
                <w:b w:val="0"/>
                <w:sz w:val="18"/>
              </w:rPr>
              <w:t>图1-1说明</w:t>
            </w:r>
          </w:p>
        </w:tc>
        <w:tc>
          <w:tcPr>
            <w:tcW w:type="dxa" w:w="3175"/>
            <w:tcBorders>
              <w:top w:val="nil" w:sz="6"/>
              <w:left w:val="nil" w:sz="6"/>
              <w:bottom w:val="nil" w:sz="6"/>
              <w:right w:val="nil" w:sz="6"/>
            </w:tcBorders>
          </w:tcPr>
          <w:p>
            <w:pPr>
              <w:spacing w:after="80"/>
            </w:pPr>
            <w:r>
              <w:rPr>
                <w:b w:val="0"/>
                <w:sz w:val="18"/>
              </w:rPr>
              <w:t>先抽象总结“都离不开上下文”，再补图中关系，读者顺序倒置</w:t>
            </w:r>
          </w:p>
        </w:tc>
        <w:tc>
          <w:tcPr>
            <w:tcW w:type="dxa" w:w="3175"/>
            <w:tcBorders>
              <w:top w:val="nil" w:sz="6"/>
              <w:left w:val="nil" w:sz="6"/>
              <w:bottom w:val="nil" w:sz="6"/>
              <w:right w:val="nil" w:sz="6"/>
            </w:tcBorders>
          </w:tcPr>
          <w:p>
            <w:pPr>
              <w:spacing w:after="80"/>
            </w:pPr>
            <w:r>
              <w:rPr>
                <w:b w:val="0"/>
                <w:sz w:val="18"/>
              </w:rPr>
              <w:t>如图1-1所示，T3为观点，T4、T5和T6为支持该观点的理由。该例表明，组件的论辩角色需要结合上下文识别，角色判断又与组件间的关系判断相互关联。</w:t>
            </w:r>
          </w:p>
        </w:tc>
      </w:tr>
      <w:tr>
        <w:tc>
          <w:tcPr>
            <w:tcW w:type="dxa" w:w="3175"/>
            <w:tcBorders>
              <w:top w:val="nil" w:sz="6"/>
              <w:left w:val="nil" w:sz="6"/>
              <w:bottom w:val="nil" w:sz="6"/>
              <w:right w:val="nil" w:sz="6"/>
            </w:tcBorders>
          </w:tcPr>
          <w:p>
            <w:pPr>
              <w:spacing w:after="80"/>
            </w:pPr>
            <w:r>
              <w:rPr>
                <w:b w:val="0"/>
                <w:sz w:val="18"/>
              </w:rPr>
              <w:t>一致性目标</w:t>
            </w:r>
          </w:p>
        </w:tc>
        <w:tc>
          <w:tcPr>
            <w:tcW w:type="dxa" w:w="3175"/>
            <w:tcBorders>
              <w:top w:val="nil" w:sz="6"/>
              <w:left w:val="nil" w:sz="6"/>
              <w:bottom w:val="nil" w:sz="6"/>
              <w:right w:val="nil" w:sz="6"/>
            </w:tcBorders>
          </w:tcPr>
          <w:p>
            <w:pPr>
              <w:spacing w:after="80"/>
            </w:pPr>
            <w:r>
              <w:rPr>
                <w:b w:val="0"/>
                <w:sz w:val="18"/>
              </w:rPr>
              <w:t>“仅靠对齐是不够的，因为两个视图可能犯同样的错误……”偏口头化</w:t>
            </w:r>
          </w:p>
        </w:tc>
        <w:tc>
          <w:tcPr>
            <w:tcW w:type="dxa" w:w="3175"/>
            <w:tcBorders>
              <w:top w:val="nil" w:sz="6"/>
              <w:left w:val="nil" w:sz="6"/>
              <w:bottom w:val="nil" w:sz="6"/>
              <w:right w:val="nil" w:sz="6"/>
            </w:tcBorders>
          </w:tcPr>
          <w:p>
            <w:pPr>
              <w:spacing w:after="80"/>
            </w:pPr>
            <w:r>
              <w:rPr>
                <w:b w:val="0"/>
                <w:sz w:val="18"/>
              </w:rPr>
              <w:t>仅约束两个视图的预测分布接近，无法保证预测符合金标：当两个视图产生相同错误时，JS散度仍可能很小。因此，训练目标还需结合因素级监督，分别约束预测的一致性与正确性。</w:t>
            </w:r>
          </w:p>
        </w:tc>
      </w:tr>
      <w:tr>
        <w:tc>
          <w:tcPr>
            <w:tcW w:type="dxa" w:w="3175"/>
            <w:tcBorders>
              <w:top w:val="nil" w:sz="6"/>
              <w:left w:val="nil" w:sz="6"/>
              <w:bottom w:val="nil" w:sz="6"/>
              <w:right w:val="nil" w:sz="6"/>
            </w:tcBorders>
          </w:tcPr>
          <w:p>
            <w:pPr>
              <w:spacing w:after="80"/>
            </w:pPr>
            <w:r>
              <w:rPr>
                <w:b w:val="0"/>
                <w:sz w:val="18"/>
              </w:rPr>
              <w:t>边界迁移解释</w:t>
            </w:r>
          </w:p>
        </w:tc>
        <w:tc>
          <w:tcPr>
            <w:tcW w:type="dxa" w:w="3175"/>
            <w:tcBorders>
              <w:top w:val="nil" w:sz="6"/>
              <w:left w:val="nil" w:sz="6"/>
              <w:bottom w:val="nil" w:sz="6"/>
              <w:right w:val="nil" w:sz="6"/>
            </w:tcBorders>
          </w:tcPr>
          <w:p>
            <w:pPr>
              <w:spacing w:after="80"/>
            </w:pPr>
            <w:r>
              <w:rPr>
                <w:b w:val="0"/>
                <w:sz w:val="18"/>
              </w:rPr>
              <w:t>直接给token、字符区间和残差，缺少读者问题</w:t>
            </w:r>
          </w:p>
        </w:tc>
        <w:tc>
          <w:tcPr>
            <w:tcW w:type="dxa" w:w="3175"/>
            <w:tcBorders>
              <w:top w:val="nil" w:sz="6"/>
              <w:left w:val="nil" w:sz="6"/>
              <w:bottom w:val="nil" w:sz="6"/>
              <w:right w:val="nil" w:sz="6"/>
            </w:tcBorders>
          </w:tcPr>
          <w:p>
            <w:pPr>
              <w:spacing w:after="80"/>
            </w:pPr>
            <w:r>
              <w:rPr>
                <w:b w:val="0"/>
                <w:sz w:val="18"/>
              </w:rPr>
              <w:t>局部改写改变文本长度后，未改写组件在全文中的字符位置也可能发生偏移，因此需要先建立改写前后的跨度对应，再检查原标签是否仍然成立。坐标可迁移解决的是对象定位，语义审核解决的是监督是否可沿用。</w:t>
            </w:r>
          </w:p>
        </w:tc>
      </w:tr>
      <w:tr>
        <w:tc>
          <w:tcPr>
            <w:tcW w:type="dxa" w:w="3175"/>
            <w:tcBorders>
              <w:top w:val="nil" w:sz="6"/>
              <w:left w:val="nil" w:sz="6"/>
              <w:bottom w:val="single" w:sz="6"/>
              <w:right w:val="nil" w:sz="6"/>
            </w:tcBorders>
          </w:tcPr>
          <w:p>
            <w:pPr>
              <w:spacing w:after="80"/>
            </w:pPr>
            <w:r>
              <w:rPr>
                <w:b w:val="0"/>
                <w:sz w:val="18"/>
              </w:rPr>
              <w:t>两章承接</w:t>
            </w:r>
          </w:p>
        </w:tc>
        <w:tc>
          <w:tcPr>
            <w:tcW w:type="dxa" w:w="3175"/>
            <w:tcBorders>
              <w:top w:val="nil" w:sz="6"/>
              <w:left w:val="nil" w:sz="6"/>
              <w:bottom w:val="single" w:sz="6"/>
              <w:right w:val="nil" w:sz="6"/>
            </w:tcBorders>
          </w:tcPr>
          <w:p>
            <w:pPr>
              <w:spacing w:after="80"/>
            </w:pPr>
            <w:r>
              <w:rPr>
                <w:b w:val="0"/>
                <w:sz w:val="18"/>
              </w:rPr>
              <w:t>用“研究两项方法之间的关系”代替共同目标</w:t>
            </w:r>
          </w:p>
        </w:tc>
        <w:tc>
          <w:tcPr>
            <w:tcW w:type="dxa" w:w="3175"/>
            <w:tcBorders>
              <w:top w:val="nil" w:sz="6"/>
              <w:left w:val="nil" w:sz="6"/>
              <w:bottom w:val="single" w:sz="6"/>
              <w:right w:val="nil" w:sz="6"/>
            </w:tcBorders>
          </w:tcPr>
          <w:p>
            <w:pPr>
              <w:spacing w:after="80"/>
            </w:pPr>
            <w:r>
              <w:rPr>
                <w:b w:val="0"/>
                <w:sz w:val="18"/>
              </w:rPr>
              <w:t>第三章通过筛选可靠的增强监督改善模型训练，但生成结果仍可能包含边界或类型错误。第四章进一步研究这些对象错误发生后，如何同时调整受影响的关系，以获得满足任务约束的输出结构。</w:t>
            </w:r>
          </w:p>
        </w:tc>
      </w:tr>
    </w:tbl>
    <w:p/>
    <w:p>
      <w:r>
        <w:t>示意改写只展示组织方式。正式改稿时仍需逐句与公式、数据和原引文核对，避免把“可能影响”加强成“必然导致”，或把人工审核估计写成总体真值。算法段优先交代输入、操作、输出和设计理由；实验段优先给结论及关键对照，再解释条件、例外和成本。</w:t>
      </w:r>
    </w:p>
    <w:p>
      <w:r>
        <w:t>摘要具体规则：第一段交代任务、模型优势与两项困难；随后两项工作分别给关键机制和代表结果；末尾只用一句说明共同价值。具体骨干型号移至实验，保留数值时写清比较对象与百分点。中英文摘要在内容改定后同步核对，不将中文短句逐字翻译成英文再回译。</w:t>
      </w:r>
    </w:p>
    <w:p>
      <w:pPr>
        <w:pStyle w:val="Heading1"/>
      </w:pPr>
      <w:r>
        <w:t>九、会议建议逐项覆盖与采纳判断</w:t>
      </w:r>
    </w:p>
    <w:p>
      <w:pPr>
        <w:pStyle w:val="Heading2"/>
      </w:pPr>
      <w:r>
        <w:t>M01 统一标题、避免生造术语｜调整后采纳</w:t>
      </w:r>
    </w:p>
    <w:p>
      <w:r>
        <w:t>标题围绕大模型论辩挖掘；术语按公式与实现定，不直接换为对比学习/思维链。 对应：A01、A05；本报告四、六。</w:t>
      </w:r>
    </w:p>
    <w:p>
      <w:pPr>
        <w:pStyle w:val="Heading2"/>
      </w:pPr>
      <w:r>
        <w:t>M02 两项工作有明确关联｜采纳</w:t>
      </w:r>
    </w:p>
    <w:p>
      <w:r>
        <w:t>用训练监督可靠性与推理结构一致性统领，四组合是证据。 对应：A22；四、六。</w:t>
      </w:r>
    </w:p>
    <w:p>
      <w:pPr>
        <w:pStyle w:val="Heading2"/>
      </w:pPr>
      <w:r>
        <w:t>M03 取消附录、迁回实验｜调整后采纳</w:t>
      </w:r>
    </w:p>
    <w:p>
      <w:r>
        <w:t>技术A/B迁回正文，学校规定的后置材料及匿名要求另行保留。 对应：A25；七。</w:t>
      </w:r>
    </w:p>
    <w:p>
      <w:pPr>
        <w:pStyle w:val="Heading2"/>
      </w:pPr>
      <w:r>
        <w:t>M04 大幅精简无意义图表｜采纳</w:t>
      </w:r>
    </w:p>
    <w:p>
      <w:r>
        <w:t>逐表决定转文、合并、移动或保留；不按数量指标删关键结果。 对应：A20、A23、A26；七。</w:t>
      </w:r>
    </w:p>
    <w:p>
      <w:pPr>
        <w:pStyle w:val="Heading2"/>
      </w:pPr>
      <w:r>
        <w:t>M05 第三章参数化、第四章非参数化｜调整后采纳</w:t>
      </w:r>
    </w:p>
    <w:p>
      <w:r>
        <w:t>采用参数学习阶段与固定抽取模型的结构修正阶段；注明独立评分器仍需训练和校准。 对应：四、五。</w:t>
      </w:r>
    </w:p>
    <w:p>
      <w:pPr>
        <w:pStyle w:val="Heading2"/>
      </w:pPr>
      <w:r>
        <w:t>M06 从准确性提升到可解释性｜暂不作为已证结论</w:t>
      </w:r>
    </w:p>
    <w:p>
      <w:r>
        <w:t>修改日志只证明决策可追溯，尚未证明解释忠实性。严格参照蒋文的论证方法，而非照搬其结论。 对应：三、四。</w:t>
      </w:r>
    </w:p>
    <w:p>
      <w:pPr>
        <w:pStyle w:val="Heading2"/>
      </w:pPr>
      <w:r>
        <w:t>M07 第四章换任务并补泛化｜有条件采纳</w:t>
      </w:r>
    </w:p>
    <w:p>
      <w:r>
        <w:t>优先补实体关系任务，不为区分章数强制更换主任务；根据真实试验决定范围。 对应：五。</w:t>
      </w:r>
    </w:p>
    <w:p>
      <w:pPr>
        <w:pStyle w:val="Heading2"/>
      </w:pPr>
      <w:r>
        <w:t>M08 A、B融合解决更复杂场景｜有条件采纳</w:t>
      </w:r>
    </w:p>
    <w:p>
      <w:r>
        <w:t>保留组合结果；先验证B适配性，再决定是否有必要把A迁入目标任务。 对应：五、六。</w:t>
      </w:r>
    </w:p>
    <w:p>
      <w:pPr>
        <w:pStyle w:val="Heading2"/>
      </w:pPr>
      <w:r>
        <w:t>M09 各方法章独立实验设置｜采纳</w:t>
      </w:r>
    </w:p>
    <w:p>
      <w:r>
        <w:t>按蒋文数据/指标、基线、设置、结果的顺序组织，公共设置回引。 对应：A24、A32；三、六。</w:t>
      </w:r>
    </w:p>
    <w:p>
      <w:pPr>
        <w:pStyle w:val="Heading2"/>
      </w:pPr>
      <w:r>
        <w:t>M10 摘要不写具体骨干名｜采纳</w:t>
      </w:r>
    </w:p>
    <w:p>
      <w:r>
        <w:t>用模型类别概括，型号及其差异移实验；保留摘要必要的比较限定。 对应：A06；八。</w:t>
      </w:r>
    </w:p>
    <w:p>
      <w:pPr>
        <w:pStyle w:val="Heading2"/>
      </w:pPr>
      <w:r>
        <w:t>M11 摘要用符号给提升百分比｜调整后采纳</w:t>
      </w:r>
    </w:p>
    <w:p>
      <w:r>
        <w:t>百分比、百分点、F1点数严格区分，不能把3.38个百分点改成3.38%。 对应：A07。</w:t>
      </w:r>
    </w:p>
    <w:p>
      <w:pPr>
        <w:pStyle w:val="Heading2"/>
      </w:pPr>
      <w:r>
        <w:t>M12 模型图体现两阶段递进与融合｜采纳</w:t>
      </w:r>
    </w:p>
    <w:p>
      <w:r>
        <w:t>输入输出接通、共享对象同名；A/B可独立运行也须如实表现。 对应：A09；七。</w:t>
      </w:r>
    </w:p>
    <w:p>
      <w:pPr>
        <w:pStyle w:val="Heading2"/>
      </w:pPr>
      <w:r>
        <w:t>M13 不用AI生成图，手工绘制矢量图｜采纳可执行要求</w:t>
      </w:r>
    </w:p>
    <w:p>
      <w:r>
        <w:t>提供可编辑矢量源文件，检查逻辑、中文与可读性；不依据外观推定来源。 对应：A09；七。</w:t>
      </w:r>
    </w:p>
    <w:p>
      <w:pPr>
        <w:pStyle w:val="Heading2"/>
      </w:pPr>
      <w:r>
        <w:t>M14 首次全称和引用，统一模型名｜调整后采纳</w:t>
      </w:r>
    </w:p>
    <w:p>
      <w:r>
        <w:t>方法名就近引文；无官方模型名则用准确描述，两个ARGUS消歧。 对应：A08、A10、A15—A19、A28。</w:t>
      </w:r>
    </w:p>
    <w:p>
      <w:pPr>
        <w:pStyle w:val="Heading2"/>
      </w:pPr>
      <w:r>
        <w:t>M15 图表英文能中文则中文｜调整后采纳</w:t>
      </w:r>
    </w:p>
    <w:p>
      <w:r>
        <w:t>显示标签中文化，保留原始任务标签映射、模型名和真实英文案例。 对应：A27；七。</w:t>
      </w:r>
    </w:p>
    <w:p>
      <w:pPr>
        <w:pStyle w:val="Heading2"/>
      </w:pPr>
      <w:r>
        <w:t>M16 公式逗号、“其中”顶格｜采纳</w:t>
      </w:r>
    </w:p>
    <w:p>
      <w:r>
        <w:t>按句法决定标点，版面连续；不改变公式内容和变量定义。 对应：A29、A30。</w:t>
      </w:r>
    </w:p>
    <w:p>
      <w:pPr>
        <w:pStyle w:val="Heading2"/>
      </w:pPr>
      <w:r>
        <w:t>M17 表格三线表、实验设置简洁｜采纳</w:t>
      </w:r>
    </w:p>
    <w:p>
      <w:r>
        <w:t>参照蒋文p42的环境/参数表，线型和字体最终依学校模板。 对应：三、七。</w:t>
      </w:r>
    </w:p>
    <w:p>
      <w:pPr>
        <w:pStyle w:val="Heading2"/>
      </w:pPr>
      <w:r>
        <w:t>M18 总分结构、合并碎片短句｜采纳</w:t>
      </w:r>
    </w:p>
    <w:p>
      <w:r>
        <w:t>先明确段落中心，再合并相关信息，不以长句数量代替中文表达质量。 对应：A02—A04、A11—A14；八。</w:t>
      </w:r>
    </w:p>
    <w:p>
      <w:pPr>
        <w:pStyle w:val="Heading2"/>
      </w:pPr>
      <w:r>
        <w:t>M19 旧论文内容直接删除｜部分采纳</w:t>
      </w:r>
    </w:p>
    <w:p>
      <w:r>
        <w:t>删重复说明和不相关内容；依赖原模块、基础方法与引用不可隐去。 对应：A23。</w:t>
      </w:r>
    </w:p>
    <w:p>
      <w:pPr>
        <w:pStyle w:val="Heading2"/>
      </w:pPr>
      <w:r>
        <w:t>M20 研究现状按领域演进分类｜采纳</w:t>
      </w:r>
    </w:p>
    <w:p>
      <w:r>
        <w:t>先定义分类轴，类别内讲机制与利弊，避免时间、模型和输入条件混类。 对应：A14；八。</w:t>
      </w:r>
    </w:p>
    <w:p>
      <w:pPr>
        <w:pStyle w:val="Heading2"/>
      </w:pPr>
      <w:r>
        <w:t>M21 第五章拆并入第三、四章｜采纳</w:t>
      </w:r>
    </w:p>
    <w:p>
      <w:r>
        <w:t>组合、跨骨干、外部比较按证据职责归位，保留完整主表一次。 对应：六、七。</w:t>
      </w:r>
    </w:p>
    <w:p>
      <w:pPr>
        <w:pStyle w:val="Heading2"/>
      </w:pPr>
      <w:r>
        <w:t>M22 损失系数、参数和符号沿用原文｜调整后采纳</w:t>
      </w:r>
    </w:p>
    <w:p>
      <w:r>
        <w:t>引用的方法尊重原符号定义；全文同名异义则可显式映射并统一，不能为了照抄导致冲突。核对论文、公式、配置和实现。 对应：四；十。</w:t>
      </w:r>
    </w:p>
    <w:p>
      <w:pPr>
        <w:pStyle w:val="Heading2"/>
      </w:pPr>
      <w:r>
        <w:t>M23 站在外行视角解释坐标变化｜采纳</w:t>
      </w:r>
    </w:p>
    <w:p>
      <w:r>
        <w:t>先讲改写改变位置及为何影响关系，再给映射公式和一例；不要删掉核心边界定义。 对应：A26；八。</w:t>
      </w:r>
    </w:p>
    <w:p>
      <w:pPr>
        <w:pStyle w:val="Heading2"/>
      </w:pPr>
      <w:r>
        <w:t>M24 先保格式，再抠细节；次日交稿｜采纳推进原则，按依赖排期</w:t>
      </w:r>
    </w:p>
    <w:p>
      <w:r>
        <w:t>模板和样式可先统一；技术术语、泛化结论与章节范围需先核准，真实实验不承诺次日完成。 对应：十。</w:t>
      </w:r>
    </w:p>
    <w:p>
      <w:pPr>
        <w:pStyle w:val="Heading2"/>
      </w:pPr>
      <w:r>
        <w:t>M25 补中文文献与90+条来源｜按相关性推进</w:t>
      </w:r>
    </w:p>
    <w:p>
      <w:r>
        <w:t>净增至少31条才能从60达到91；本轮提供核准来源与补充方向，尚未完成91条文献库。 对应：A33；十一。</w:t>
      </w:r>
    </w:p>
    <w:p>
      <w:pPr>
        <w:pStyle w:val="Heading2"/>
      </w:pPr>
      <w:r>
        <w:t>M26 主要严格参照蒋梓浩一篇｜采纳</w:t>
      </w:r>
    </w:p>
    <w:p>
      <w:r>
        <w:t>已定位原文，逐页形成写作与格式映射；学校硬性格式与研究事实优先。 对应：三。</w:t>
      </w:r>
    </w:p>
    <w:p>
      <w:pPr>
        <w:pStyle w:val="Heading1"/>
      </w:pPr>
      <w:r>
        <w:t>十、修改次序、交付物与验收</w:t>
      </w:r>
    </w:p>
    <w:tbl>
      <w:tblPr>
        <w:tblW w:type="auto" w:w="0"/>
        <w:tblLayout w:type="autofit"/>
        <w:tblLook w:firstColumn="1" w:firstRow="1" w:lastColumn="0" w:lastRow="0" w:noHBand="0" w:noVBand="1" w:val="04A0"/>
      </w:tblPr>
      <w:tblGrid>
        <w:gridCol w:w="3175"/>
        <w:gridCol w:w="3175"/>
        <w:gridCol w:w="3175"/>
      </w:tblGrid>
      <w:tr>
        <w:trPr>
          <w:tblHeader/>
        </w:trPr>
        <w:tc>
          <w:tcPr>
            <w:tcW w:type="dxa" w:w="3175"/>
            <w:tcBorders>
              <w:top w:val="single" w:sz="6"/>
              <w:left w:val="nil" w:sz="6"/>
              <w:bottom w:val="single" w:sz="6"/>
              <w:right w:val="nil" w:sz="6"/>
            </w:tcBorders>
          </w:tcPr>
          <w:p>
            <w:pPr>
              <w:spacing w:after="80"/>
            </w:pPr>
            <w:r>
              <w:rPr>
                <w:b/>
                <w:sz w:val="18"/>
              </w:rPr>
              <w:t>优先级/阶段</w:t>
            </w:r>
          </w:p>
        </w:tc>
        <w:tc>
          <w:tcPr>
            <w:tcW w:type="dxa" w:w="3175"/>
            <w:tcBorders>
              <w:top w:val="single" w:sz="6"/>
              <w:left w:val="nil" w:sz="6"/>
              <w:bottom w:val="single" w:sz="6"/>
              <w:right w:val="nil" w:sz="6"/>
            </w:tcBorders>
          </w:tcPr>
          <w:p>
            <w:pPr>
              <w:spacing w:after="80"/>
            </w:pPr>
            <w:r>
              <w:rPr>
                <w:b/>
                <w:sz w:val="18"/>
              </w:rPr>
              <w:t>工作项</w:t>
            </w:r>
          </w:p>
        </w:tc>
        <w:tc>
          <w:tcPr>
            <w:tcW w:type="dxa" w:w="3175"/>
            <w:tcBorders>
              <w:top w:val="single" w:sz="6"/>
              <w:left w:val="nil" w:sz="6"/>
              <w:bottom w:val="single" w:sz="6"/>
              <w:right w:val="nil" w:sz="6"/>
            </w:tcBorders>
          </w:tcPr>
          <w:p>
            <w:pPr>
              <w:spacing w:after="80"/>
            </w:pPr>
            <w:r>
              <w:rPr>
                <w:b/>
                <w:sz w:val="18"/>
              </w:rPr>
              <w:t>完成标准</w:t>
            </w:r>
          </w:p>
        </w:tc>
      </w:tr>
      <w:tr>
        <w:tc>
          <w:tcPr>
            <w:tcW w:type="dxa" w:w="3175"/>
            <w:tcBorders>
              <w:top w:val="nil" w:sz="6"/>
              <w:left w:val="nil" w:sz="6"/>
              <w:bottom w:val="nil" w:sz="6"/>
              <w:right w:val="nil" w:sz="6"/>
            </w:tcBorders>
          </w:tcPr>
          <w:p>
            <w:pPr>
              <w:spacing w:after="80"/>
            </w:pPr>
            <w:r>
              <w:rPr>
                <w:b w:val="0"/>
                <w:sz w:val="18"/>
              </w:rPr>
              <w:t>P0 研究定位</w:t>
            </w:r>
          </w:p>
        </w:tc>
        <w:tc>
          <w:tcPr>
            <w:tcW w:type="dxa" w:w="3175"/>
            <w:tcBorders>
              <w:top w:val="nil" w:sz="6"/>
              <w:left w:val="nil" w:sz="6"/>
              <w:bottom w:val="nil" w:sz="6"/>
              <w:right w:val="nil" w:sz="6"/>
            </w:tcBorders>
          </w:tcPr>
          <w:p>
            <w:pPr>
              <w:spacing w:after="80"/>
            </w:pPr>
            <w:r>
              <w:rPr>
                <w:b w:val="0"/>
                <w:sz w:val="18"/>
              </w:rPr>
              <w:t>核对A损失、B评分训练、当前方法和既有工作的差异；定临时标题与两章关系。</w:t>
            </w:r>
          </w:p>
        </w:tc>
        <w:tc>
          <w:tcPr>
            <w:tcW w:type="dxa" w:w="3175"/>
            <w:tcBorders>
              <w:top w:val="nil" w:sz="6"/>
              <w:left w:val="nil" w:sz="6"/>
              <w:bottom w:val="nil" w:sz="6"/>
              <w:right w:val="nil" w:sz="6"/>
            </w:tcBorders>
          </w:tcPr>
          <w:p>
            <w:pPr>
              <w:spacing w:after="80"/>
            </w:pPr>
            <w:r>
              <w:rPr>
                <w:b w:val="0"/>
                <w:sz w:val="18"/>
              </w:rPr>
              <w:t>术语和实现相符；摘要不混淆百分点、基线与消融；继承归属保留。</w:t>
            </w:r>
          </w:p>
        </w:tc>
      </w:tr>
      <w:tr>
        <w:tc>
          <w:tcPr>
            <w:tcW w:type="dxa" w:w="3175"/>
            <w:tcBorders>
              <w:top w:val="nil" w:sz="6"/>
              <w:left w:val="nil" w:sz="6"/>
              <w:bottom w:val="nil" w:sz="6"/>
              <w:right w:val="nil" w:sz="6"/>
            </w:tcBorders>
          </w:tcPr>
          <w:p>
            <w:pPr>
              <w:spacing w:after="80"/>
            </w:pPr>
            <w:r>
              <w:rPr>
                <w:b w:val="0"/>
                <w:sz w:val="18"/>
              </w:rPr>
              <w:t>P0 扩展验证</w:t>
            </w:r>
          </w:p>
        </w:tc>
        <w:tc>
          <w:tcPr>
            <w:tcW w:type="dxa" w:w="3175"/>
            <w:tcBorders>
              <w:top w:val="nil" w:sz="6"/>
              <w:left w:val="nil" w:sz="6"/>
              <w:bottom w:val="nil" w:sz="6"/>
              <w:right w:val="nil" w:sz="6"/>
            </w:tcBorders>
          </w:tcPr>
          <w:p>
            <w:pPr>
              <w:spacing w:after="80"/>
            </w:pPr>
            <w:r>
              <w:rPr>
                <w:b w:val="0"/>
                <w:sz w:val="18"/>
              </w:rPr>
              <w:t>先完成任务适配和开发试验，再决定跨任务小节及章名。</w:t>
            </w:r>
          </w:p>
        </w:tc>
        <w:tc>
          <w:tcPr>
            <w:tcW w:type="dxa" w:w="3175"/>
            <w:tcBorders>
              <w:top w:val="nil" w:sz="6"/>
              <w:left w:val="nil" w:sz="6"/>
              <w:bottom w:val="nil" w:sz="6"/>
              <w:right w:val="nil" w:sz="6"/>
            </w:tcBorders>
          </w:tcPr>
          <w:p>
            <w:pPr>
              <w:spacing w:after="80"/>
            </w:pPr>
            <w:r>
              <w:rPr>
                <w:b w:val="0"/>
                <w:sz w:val="18"/>
              </w:rPr>
              <w:t>明确区分模拟、目标任务训练、零样本设定；有真实候选/评分/评价日志才写实证结论。</w:t>
            </w:r>
          </w:p>
        </w:tc>
      </w:tr>
      <w:tr>
        <w:tc>
          <w:tcPr>
            <w:tcW w:type="dxa" w:w="3175"/>
            <w:tcBorders>
              <w:top w:val="nil" w:sz="6"/>
              <w:left w:val="nil" w:sz="6"/>
              <w:bottom w:val="nil" w:sz="6"/>
              <w:right w:val="nil" w:sz="6"/>
            </w:tcBorders>
          </w:tcPr>
          <w:p>
            <w:pPr>
              <w:spacing w:after="80"/>
            </w:pPr>
            <w:r>
              <w:rPr>
                <w:b w:val="0"/>
                <w:sz w:val="18"/>
              </w:rPr>
              <w:t>P1 结构重排</w:t>
            </w:r>
          </w:p>
        </w:tc>
        <w:tc>
          <w:tcPr>
            <w:tcW w:type="dxa" w:w="3175"/>
            <w:tcBorders>
              <w:top w:val="nil" w:sz="6"/>
              <w:left w:val="nil" w:sz="6"/>
              <w:bottom w:val="nil" w:sz="6"/>
              <w:right w:val="nil" w:sz="6"/>
            </w:tcBorders>
          </w:tcPr>
          <w:p>
            <w:pPr>
              <w:spacing w:after="80"/>
            </w:pPr>
            <w:r>
              <w:rPr>
                <w:b w:val="0"/>
                <w:sz w:val="18"/>
              </w:rPr>
              <w:t>按蒋文五章结构搬迁实验设置、原第五章及技术附录。</w:t>
            </w:r>
          </w:p>
        </w:tc>
        <w:tc>
          <w:tcPr>
            <w:tcW w:type="dxa" w:w="3175"/>
            <w:tcBorders>
              <w:top w:val="nil" w:sz="6"/>
              <w:left w:val="nil" w:sz="6"/>
              <w:bottom w:val="nil" w:sz="6"/>
              <w:right w:val="nil" w:sz="6"/>
            </w:tcBorders>
          </w:tcPr>
          <w:p>
            <w:pPr>
              <w:spacing w:after="80"/>
            </w:pPr>
            <w:r>
              <w:rPr>
                <w:b w:val="0"/>
                <w:sz w:val="18"/>
              </w:rPr>
              <w:t>每段/表/公式有确定去向；不遗漏关键参数与失败条件；目录和交叉引用一致。</w:t>
            </w:r>
          </w:p>
        </w:tc>
      </w:tr>
      <w:tr>
        <w:tc>
          <w:tcPr>
            <w:tcW w:type="dxa" w:w="3175"/>
            <w:tcBorders>
              <w:top w:val="nil" w:sz="6"/>
              <w:left w:val="nil" w:sz="6"/>
              <w:bottom w:val="nil" w:sz="6"/>
              <w:right w:val="nil" w:sz="6"/>
            </w:tcBorders>
          </w:tcPr>
          <w:p>
            <w:pPr>
              <w:spacing w:after="80"/>
            </w:pPr>
            <w:r>
              <w:rPr>
                <w:b w:val="0"/>
                <w:sz w:val="18"/>
              </w:rPr>
              <w:t>P1 中文重写</w:t>
            </w:r>
          </w:p>
        </w:tc>
        <w:tc>
          <w:tcPr>
            <w:tcW w:type="dxa" w:w="3175"/>
            <w:tcBorders>
              <w:top w:val="nil" w:sz="6"/>
              <w:left w:val="nil" w:sz="6"/>
              <w:bottom w:val="nil" w:sz="6"/>
              <w:right w:val="nil" w:sz="6"/>
            </w:tcBorders>
          </w:tcPr>
          <w:p>
            <w:pPr>
              <w:spacing w:after="80"/>
            </w:pPr>
            <w:r>
              <w:rPr>
                <w:b w:val="0"/>
                <w:sz w:val="18"/>
              </w:rPr>
              <w:t>先摘要、绪论和两章引言，再方法解释、实验分析及总结。</w:t>
            </w:r>
          </w:p>
        </w:tc>
        <w:tc>
          <w:tcPr>
            <w:tcW w:type="dxa" w:w="3175"/>
            <w:tcBorders>
              <w:top w:val="nil" w:sz="6"/>
              <w:left w:val="nil" w:sz="6"/>
              <w:bottom w:val="nil" w:sz="6"/>
              <w:right w:val="nil" w:sz="6"/>
            </w:tcBorders>
          </w:tcPr>
          <w:p>
            <w:pPr>
              <w:spacing w:after="80"/>
            </w:pPr>
            <w:r>
              <w:rPr>
                <w:b w:val="0"/>
                <w:sz w:val="18"/>
              </w:rPr>
              <w:t>段首中心明确，解释顺着问题展开；数字、公式含义、条件及引文保持。以段落功能验收，不打短句分数。</w:t>
            </w:r>
          </w:p>
        </w:tc>
      </w:tr>
      <w:tr>
        <w:tc>
          <w:tcPr>
            <w:tcW w:type="dxa" w:w="3175"/>
            <w:tcBorders>
              <w:top w:val="nil" w:sz="6"/>
              <w:left w:val="nil" w:sz="6"/>
              <w:bottom w:val="nil" w:sz="6"/>
              <w:right w:val="nil" w:sz="6"/>
            </w:tcBorders>
          </w:tcPr>
          <w:p>
            <w:pPr>
              <w:spacing w:after="80"/>
            </w:pPr>
            <w:r>
              <w:rPr>
                <w:b w:val="0"/>
                <w:sz w:val="18"/>
              </w:rPr>
              <w:t>P1 图表与文献</w:t>
            </w:r>
          </w:p>
        </w:tc>
        <w:tc>
          <w:tcPr>
            <w:tcW w:type="dxa" w:w="3175"/>
            <w:tcBorders>
              <w:top w:val="nil" w:sz="6"/>
              <w:left w:val="nil" w:sz="6"/>
              <w:bottom w:val="nil" w:sz="6"/>
              <w:right w:val="nil" w:sz="6"/>
            </w:tcBorders>
          </w:tcPr>
          <w:p>
            <w:pPr>
              <w:spacing w:after="80"/>
            </w:pPr>
            <w:r>
              <w:rPr>
                <w:b w:val="0"/>
                <w:sz w:val="18"/>
              </w:rPr>
              <w:t>合并重复表、重画矢量图、统一中文标签；建立参考文献缺口清单。</w:t>
            </w:r>
          </w:p>
        </w:tc>
        <w:tc>
          <w:tcPr>
            <w:tcW w:type="dxa" w:w="3175"/>
            <w:tcBorders>
              <w:top w:val="nil" w:sz="6"/>
              <w:left w:val="nil" w:sz="6"/>
              <w:bottom w:val="nil" w:sz="6"/>
              <w:right w:val="nil" w:sz="6"/>
            </w:tcBorders>
          </w:tcPr>
          <w:p>
            <w:pPr>
              <w:spacing w:after="80"/>
            </w:pPr>
            <w:r>
              <w:rPr>
                <w:b w:val="0"/>
                <w:sz w:val="18"/>
              </w:rPr>
              <w:t>每图有正文引入，每表有比较目的；全文术语一致；参考文献真实且被使用。</w:t>
            </w:r>
          </w:p>
        </w:tc>
      </w:tr>
      <w:tr>
        <w:tc>
          <w:tcPr>
            <w:tcW w:type="dxa" w:w="3175"/>
            <w:tcBorders>
              <w:top w:val="nil" w:sz="6"/>
              <w:left w:val="nil" w:sz="6"/>
              <w:bottom w:val="single" w:sz="6"/>
              <w:right w:val="nil" w:sz="6"/>
            </w:tcBorders>
          </w:tcPr>
          <w:p>
            <w:pPr>
              <w:spacing w:after="80"/>
            </w:pPr>
            <w:r>
              <w:rPr>
                <w:b w:val="0"/>
                <w:sz w:val="18"/>
              </w:rPr>
              <w:t>P2 全文格式</w:t>
            </w:r>
          </w:p>
        </w:tc>
        <w:tc>
          <w:tcPr>
            <w:tcW w:type="dxa" w:w="3175"/>
            <w:tcBorders>
              <w:top w:val="nil" w:sz="6"/>
              <w:left w:val="nil" w:sz="6"/>
              <w:bottom w:val="single" w:sz="6"/>
              <w:right w:val="nil" w:sz="6"/>
            </w:tcBorders>
          </w:tcPr>
          <w:p>
            <w:pPr>
              <w:spacing w:after="80"/>
            </w:pPr>
            <w:r>
              <w:rPr>
                <w:b w:val="0"/>
                <w:sz w:val="18"/>
              </w:rPr>
              <w:t>在最终结构上检查字体字号、段间距/行距、三线表、公式、页眉页脚、目录和分页。</w:t>
            </w:r>
          </w:p>
        </w:tc>
        <w:tc>
          <w:tcPr>
            <w:tcW w:type="dxa" w:w="3175"/>
            <w:tcBorders>
              <w:top w:val="nil" w:sz="6"/>
              <w:left w:val="nil" w:sz="6"/>
              <w:bottom w:val="single" w:sz="6"/>
              <w:right w:val="nil" w:sz="6"/>
            </w:tcBorders>
          </w:tcPr>
          <w:p>
            <w:pPr>
              <w:spacing w:after="80"/>
            </w:pPr>
            <w:r>
              <w:rPr>
                <w:b w:val="0"/>
                <w:sz w:val="18"/>
              </w:rPr>
              <w:t>Word与最终PDF逐页检查，无孤标题、截表、错页码、失效交叉引用；盲审信息按要求隐藏。</w:t>
            </w:r>
          </w:p>
        </w:tc>
      </w:tr>
    </w:tbl>
    <w:p/>
    <w:p>
      <w:r>
        <w:t>建议排期（以开始正式修改之日为D1）：D1完成术语与贡献边界核准、临时题目、五章骨架及一个目标任务的数据接口；D2完成摘要/绪论/章首示范稿、已有实验材料迁移和图表草图；D3—D4完成全文中文改写、图表与文献整理，结合真实试验进度收敛第四章；最后预留至少半天做Word/PDF交叉检查。真实模型训练及跨任务基线的工期依硬件和数据处理情况另定，不用模拟结果冒充次日可交的真实结果。</w:t>
      </w:r>
    </w:p>
    <w:p>
      <w:r>
        <w:t>若必须次日给导师一版：提交已修正标题与主线、按蒋文重排的结构、摘要和核心章首，以及单独标记的“跨任务实验计划/模拟机制验证”。正文只写当前已有证据；待验证内容不填入正式结果表。模板参数、三线表和图中文字可同步处理，不必等待真实实验结束。</w:t>
      </w:r>
    </w:p>
    <w:p>
      <w:r>
        <w:t>本轮尚未完成的事项：完整真实跨任务试验、既有论文所有数值的逐日志复现、全部60条参考文献的全文核验、91条最终文献库、论文正文改写与最终版式验收。这些属于下一阶段具体修改/实验工作；本轮已完成33条批注分析、会议意见覆盖、蒋文主要页锚核对、术语调研、代码适配分析和模拟原型。</w:t>
      </w:r>
    </w:p>
    <w:p>
      <w:pPr>
        <w:pStyle w:val="Heading1"/>
      </w:pPr>
      <w:r>
        <w:t>十一、已核对的调研来源与使用位置</w:t>
      </w:r>
    </w:p>
    <w:p>
      <w:pPr>
        <w:pStyle w:val="Heading2"/>
      </w:pPr>
      <w:r>
        <w:t>R1 Xie等：Unsupervised Data Augmentation for Consistency Training（2020）</w:t>
      </w:r>
    </w:p>
    <w:p>
      <w:r>
        <w:t>增强与一致性训练的相关机制；用于界定A的术语，不据此宣称本文复现了UDA。</w:t>
      </w:r>
    </w:p>
    <w:p>
      <w:r>
        <w:t>https://arxiv.org/abs/1904.12848</w:t>
      </w:r>
    </w:p>
    <w:p>
      <w:pPr>
        <w:pStyle w:val="Heading2"/>
      </w:pPr>
      <w:r>
        <w:t>R2 Gao等：SimCSE: Simple Contrastive Learning of Sentence Embeddings（EMNLP 2021）</w:t>
      </w:r>
    </w:p>
    <w:p>
      <w:r>
        <w:t>代表性的对比目标；用于区分“有成对视图”与对比学习。</w:t>
      </w:r>
    </w:p>
    <w:p>
      <w:r>
        <w:t>https://aclanthology.org/2021.emnlp-main.552/</w:t>
      </w:r>
    </w:p>
    <w:p>
      <w:pPr>
        <w:pStyle w:val="Heading2"/>
      </w:pPr>
      <w:r>
        <w:t>R3 Wei等：Chain-of-Thought Prompting Elicits Reasoning in Large Language Models（2022）</w:t>
      </w:r>
    </w:p>
    <w:p>
      <w:r>
        <w:t>思维链涉及中间推理步骤；不能把结构约束求解直接改名为CoT。</w:t>
      </w:r>
    </w:p>
    <w:p>
      <w:r>
        <w:t>https://arxiv.org/abs/2201.11903</w:t>
      </w:r>
    </w:p>
    <w:p>
      <w:pPr>
        <w:pStyle w:val="Heading2"/>
      </w:pPr>
      <w:r>
        <w:t>R4 Roth与Yih：A Linear Programming Formulation for Global Inference in Natural Language Tasks（CoNLL 2004）</w:t>
      </w:r>
    </w:p>
    <w:p>
      <w:r>
        <w:t>已用全局推断处理实体与关系约束；提示跨任务迁移有依据，也提示联合约束思想本身不是本论文独有。</w:t>
      </w:r>
    </w:p>
    <w:p>
      <w:r>
        <w:t>https://aclanthology.org/W04-2401/</w:t>
      </w:r>
    </w:p>
    <w:p>
      <w:pPr>
        <w:pStyle w:val="Heading2"/>
      </w:pPr>
      <w:r>
        <w:t>R5 Punyakanok等：Semantic Role Labeling Via Integer Linear Programming Inference（COLING 2004）</w:t>
      </w:r>
    </w:p>
    <w:p>
      <w:r>
        <w:t>角色标注中约束推断的既有研究，作为迁移路线和比较背景。</w:t>
      </w:r>
    </w:p>
    <w:p>
      <w:r>
        <w:t>https://aclanthology.org/C04-1197/</w:t>
      </w:r>
    </w:p>
    <w:p>
      <w:pPr>
        <w:pStyle w:val="Heading2"/>
      </w:pPr>
      <w:r>
        <w:t>R6 Luan等：Multi-Task Identification of Entities, Relations, and Coreference for Scientific Knowledge Graph Construction（EMNLP 2018）</w:t>
      </w:r>
    </w:p>
    <w:p>
      <w:r>
        <w:t>SciERC原始研究；支持实体/关系/共指任务区分和目标数据选择。项目页：https://nlp.cs.washington.edu/sciIE/</w:t>
      </w:r>
    </w:p>
    <w:p>
      <w:r>
        <w:t>https://aclanthology.org/D18-1360/</w:t>
      </w:r>
    </w:p>
    <w:p>
      <w:pPr>
        <w:pStyle w:val="Heading2"/>
      </w:pPr>
      <w:r>
        <w:t>R7 Ebner等：Multi-Sentence Argument Linking（ACL 2020）</w:t>
      </w:r>
    </w:p>
    <w:p>
      <w:r>
        <w:t>RAMS原始论文；任务为跨句事件角色跨度链接，需明确给定触发词等输入条件。</w:t>
      </w:r>
    </w:p>
    <w:p>
      <w:r>
        <w:t>https://aclanthology.org/2020.acl-main.718/</w:t>
      </w:r>
    </w:p>
    <w:p>
      <w:pPr>
        <w:pStyle w:val="Heading2"/>
      </w:pPr>
      <w:r>
        <w:t>R8 Madaan等：Self-Refine: Iterative Refinement with Self-Feedback（2023）</w:t>
      </w:r>
    </w:p>
    <w:p>
      <w:r>
        <w:t>用反馈迭代改善输出的参照；不能把开放文本自修订和本论文对象级决策视为同一机制。</w:t>
      </w:r>
    </w:p>
    <w:p>
      <w:r>
        <w:t>https://arxiv.org/abs/2303.17651</w:t>
      </w:r>
    </w:p>
    <w:p>
      <w:pPr>
        <w:pStyle w:val="Heading2"/>
      </w:pPr>
      <w:r>
        <w:t>R9 Das等：End-to-End Argument Mining through Autoregressive Argumentative Structure Prediction（2025）</w:t>
      </w:r>
    </w:p>
    <w:p>
      <w:r>
        <w:t>AASP预定义受约束动作；支持A15的命名与引用检查。</w:t>
      </w:r>
    </w:p>
    <w:p>
      <w:r>
        <w:t>https://arxiv.org/abs/2510.16363</w:t>
      </w:r>
    </w:p>
    <w:p>
      <w:pPr>
        <w:pStyle w:val="Heading2"/>
      </w:pPr>
      <w:r>
        <w:t>R10 Li等：Re-Cent: A Relation-Centric Framework for Joint Zero-Shot Relation Triplet Extraction（COLING 2025）</w:t>
      </w:r>
    </w:p>
    <w:p>
      <w:r>
        <w:t>跨任务相关工作；需比较关系中心抽取/修正与本论文依赖事务、预算和接受条件。</w:t>
      </w:r>
    </w:p>
    <w:p>
      <w:r>
        <w:t>https://aclanthology.org/2025.coling-main.491/</w:t>
      </w:r>
    </w:p>
    <w:p>
      <w:pPr>
        <w:pStyle w:val="Heading2"/>
      </w:pPr>
      <w:r>
        <w:t>R11 Xiao与Li：ARGUS: Argumentation-Based Minimal-Change Repair for Verifiable LLM Self-Explanations（UAI 2026）</w:t>
      </w:r>
    </w:p>
    <w:p>
      <w:r>
        <w:t>核对A17涉及的ARGUS与另一同名抽取系统的差异，不将形式解释修复等同于当前论辩图修正。</w:t>
      </w:r>
    </w:p>
    <w:p>
      <w:r>
        <w:t>https://proceedings.mlr.press/v337/xiao26a.html</w:t>
      </w:r>
    </w:p>
    <w:p>
      <w:pPr>
        <w:pStyle w:val="Heading2"/>
      </w:pPr>
      <w:r>
        <w:t>R12 《论辩挖掘研究综述》，图书情报工作，2020，64(19):128—139</w:t>
      </w:r>
    </w:p>
    <w:p>
      <w:r>
        <w:t>中文研究候选，期刊检索结果可核对题名、期次、页码和DOI；本次正文页打开失败，作者全表及详细观点需下载原文再核，不直接作为完成著录的条目。</w:t>
      </w:r>
    </w:p>
    <w:p>
      <w:r>
        <w:t>https://www.lis.ac.cn/CN/10.13266/j.issn.0252-3116.2020.19.014</w:t>
      </w:r>
    </w:p>
    <w:p>
      <w:r>
        <w:t>补充文献的执行办法：先在现有60条中去重、核版本与正文引文；再分别补训练一致性/标签保持、结构化预测/风险控制、实体关系/事件抽取、中文论辩研究等实际缺口。可按8—10、8—10、8—10、5—8篇建立约29—38篇候选池，再筛选净增至少31篇真正使用的来源；若去重后不足，应继续检索，不能把候选篇数等同于最终条目数。不要为了中文数量引用无关研究；中文作者写的英文论文不等于中文文献。</w:t>
      </w:r>
    </w:p>
    <w:p>
      <w:r>
        <w:br w:type="page"/>
      </w:r>
    </w:p>
    <w:p>
      <w:pPr>
        <w:pStyle w:val="Heading1"/>
      </w:pPr>
      <w:r>
        <w:t>十二、导师PDF的33个批注逐条分析</w:t>
      </w:r>
    </w:p>
    <w:p>
      <w:r>
        <w:t>每个编号均对应evidence/annotations_raw.json和同编号截图。无文字的9个对象单独注明，解释不冒充导师原话。“采纳/调整后采纳/不按原句采纳”是本报告的分析结论，尚未应用到论文正文。P0影响技术结论或主线，P1影响组织与可读性，P2主要为局部格式。</w:t>
      </w:r>
    </w:p>
    <w:p>
      <w:pPr>
        <w:pStyle w:val="Heading2"/>
      </w:pPr>
      <w:r>
        <w:t>A01｜PDF第1页｜Highlight｜调整后采纳｜P0</w:t>
      </w:r>
    </w:p>
    <w:p>
      <w:r>
        <w:t>标注对象：面向关系感知学习与依赖闭合修正</w:t>
      </w:r>
    </w:p>
    <w:p>
      <w:r>
        <w:t>导师批注原文：这是一个方法还是一个场景？面向后面接的应该是场景，而方法最开始应该是基于</w:t>
        <w:br/>
        <w:br/>
        <w:t>关系感知 依赖闭合修正 两个方法看起来没有那么专业化</w:t>
      </w:r>
    </w:p>
    <w:p>
      <w:r>
        <w:t>对应v2位置：封面、摘要、1.3—1.4、第三/四章标题。</w:t>
      </w:r>
    </w:p>
    <w:p>
      <w:r>
        <w:t>分析：接受“标题要有统一对象、术语应准确”的判断。当前标题将两个内部机制并列，读者难以判断研究中心；但“面向”并非语言学上绝不能接问题或目标，“基于”也不能弥补机制不实。先核对方法，再在论辩挖掘这一共同任务下命名。</w:t>
      </w:r>
    </w:p>
    <w:p>
      <w:r>
        <w:t>处理与验收：暂用《基于大语言模型的端到端论辩挖掘方法研究》；第三章改用“一致性学习”，第四章用“结构约束/联合修正”等可解释的通用描述，具体新概念留在正文定义。验收：题目、摘要两项工作和目录共用一个研究对象。</w:t>
      </w:r>
    </w:p>
    <w:p>
      <w:pPr>
        <w:pStyle w:val="Heading2"/>
      </w:pPr>
      <w:r>
        <w:t>A02｜PDF第2页｜Highlight｜采纳｜P1</w:t>
      </w:r>
    </w:p>
    <w:p>
      <w:r>
        <w:t>标注对象：是自然语言理解的重要研究方向，可服务于写作评价、舆情分析等应用</w:t>
      </w:r>
    </w:p>
    <w:p>
      <w:r>
        <w:t>导师批注原文：直接给价值和意义，合成一句话 中文的句子尽量精炼，不冗余，后面同理</w:t>
      </w:r>
    </w:p>
    <w:p>
      <w:r>
        <w:t>对应v2位置：中文摘要首句。</w:t>
      </w:r>
    </w:p>
    <w:p>
      <w:r>
        <w:t>分析：该句连续给出领域地位与应用，信息重叠而技术指向弱。问题不在短句本身，而在没有把任务能力与用途连接起来。</w:t>
      </w:r>
    </w:p>
    <w:p>
      <w:r>
        <w:t>处理与验收：合并为任务定义与具体用途的一句，删去没有证据支撑的泛化评价。验收：读者能同时理解识别什么、支持什么应用，原有事实不变。</w:t>
      </w:r>
    </w:p>
    <w:p>
      <w:pPr>
        <w:pStyle w:val="Heading2"/>
      </w:pPr>
      <w:r>
        <w:t>A03｜PDF第2页｜Highlight｜调整后采纳｜P1</w:t>
      </w:r>
    </w:p>
    <w:p>
      <w:r>
        <w:t>标注对象：近年 来，基于大语言模型的生成式方法能够直接从原始文本生成完整的论辩结构</w:t>
      </w:r>
    </w:p>
    <w:p>
      <w:r>
        <w:t>导师批注原文：可以说一下大模型做这个任务的优势？类似表述如下：</w:t>
        <w:br/>
        <w:br/>
        <w:t>近年来，大模型因其xxx能力被广泛应用于论辩挖掘领域，然而现有的方法存在xxx问题</w:t>
      </w:r>
    </w:p>
    <w:p>
      <w:r>
        <w:t>对应v2位置：中文摘要背景与转折。</w:t>
      </w:r>
    </w:p>
    <w:p>
      <w:r>
        <w:t>分析：应说明大模型的上下文建模、语义理解与统一生成能力如何服务该任务，再指出限制。“广泛应用”属于范围判断，不因导师示例而无依据增写。</w:t>
      </w:r>
    </w:p>
    <w:p>
      <w:r>
        <w:t>处理与验收：采用“优势—仍存困难”的衔接；不把能生成合法格式写成能保证论辩语义正确。摘要不新增引文，相关证据在绪论给出。</w:t>
      </w:r>
    </w:p>
    <w:p>
      <w:pPr>
        <w:pStyle w:val="Heading2"/>
      </w:pPr>
      <w:r>
        <w:t>A04｜PDF第2页｜Highlight｜采纳｜P0</w:t>
      </w:r>
    </w:p>
    <w:p>
      <w:r>
        <w:t>标注对象：对文本做 局部改写可能改变组件的论辩角色或组件之间的关系，直接沿用原标注会引入错误监 督；</w:t>
      </w:r>
    </w:p>
    <w:p>
      <w:r>
        <w:t>导师批注原文：为什么要提本文？这个的意思应该是现有的方法用数据增强的局限性吧？你是解决他们这种数据增强没解决的内容的</w:t>
        <w:br/>
        <w:br/>
        <w:t>然后最后用总分的形式（2句话）。 第一句话概括挑战+第二句话具体描述挑战，下面挑战二同理</w:t>
      </w:r>
    </w:p>
    <w:p>
      <w:r>
        <w:t>对应v2位置：中文摘要两项挑战。</w:t>
      </w:r>
    </w:p>
    <w:p>
      <w:r>
        <w:t>分析：现有论述应从增强方法继承原标签这一假设失效讲起，再解释角色/关系变化引入错误监督。训练困难与推理困难需同层级、各自对应后文方法。</w:t>
      </w:r>
    </w:p>
    <w:p>
      <w:r>
        <w:t>处理与验收：每个挑战先概括缺口，再解释发生机制；允许自然的两句或一句复句，不硬套字数。验收：两项挑战能一一映射到第三、四章新增设计。</w:t>
      </w:r>
    </w:p>
    <w:p>
      <w:pPr>
        <w:pStyle w:val="Heading2"/>
      </w:pPr>
      <w:r>
        <w:t>A05｜PDF第2页｜Highlight｜调整后采纳｜P0</w:t>
      </w:r>
    </w:p>
    <w:p>
      <w:r>
        <w:t>标注对象：多候选重排序与有界修正方法（MCR-BR）为基础</w:t>
      </w:r>
    </w:p>
    <w:p>
      <w:r>
        <w:t>导师批注原文：这个太局限了，这里应该是你论文标题的核心主体 ，提出了xxxx框架</w:t>
        <w:br/>
        <w:br/>
        <w:t xml:space="preserve">三段论写法： </w:t>
        <w:br/>
        <w:t>为解决xxx问题，提出xxx方法。</w:t>
        <w:br/>
        <w:t>（讲解方法）</w:t>
        <w:br/>
        <w:t>给出实验结果</w:t>
        <w:br/>
      </w:r>
    </w:p>
    <w:p>
      <w:r>
        <w:t>对应v2位置：中文摘要研究内容总起。</w:t>
      </w:r>
    </w:p>
    <w:p>
      <w:r>
        <w:t>分析：摘要过早以MCR-BR为主体，削弱当前论文的问题主线。接受转为论文共同问题，但不能通过删名字抹去继承关系，也不凭空宣称已经实现通用框架。</w:t>
      </w:r>
    </w:p>
    <w:p>
      <w:r>
        <w:t>处理与验收：摘要以共同任务及两类困难引出工作；每项按问题、关键动作、代表结果展开。MCR-BR及其继承模块移到方法基础与基线介绍并保留引用。</w:t>
      </w:r>
    </w:p>
    <w:p>
      <w:pPr>
        <w:pStyle w:val="Heading2"/>
      </w:pPr>
      <w:r>
        <w:t>A06｜PDF第2页｜Highlight｜调整后采纳｜P1</w:t>
      </w:r>
    </w:p>
    <w:p>
      <w:r>
        <w:t>标注对象：两项方法结合后，以Qwen3.5-9B 为骨干的完整模型在AAEC 和CDCP 官方测试集 上取得71.63 和50.77 的严格关系F1，比同骨干的MCR-BR 基线分别提高5.94 和8.98 个 百分点，在Qwen3.5-4B 和Qwen2.5-7B-Instruct 上同样取得了显著提升。进一步分析表 明，两阶段方法恢复的关系重叠较少，增益基本可以叠加。本文的研究表明，在训练 中保持改写前后监督的可靠对应、在推理中同时处理组件与关系，能够有效提升端到 端论辩结构预测的性能。</w:t>
      </w:r>
    </w:p>
    <w:p>
      <w:r>
        <w:t>导师批注原文：为什么还有两项方法结合，</w:t>
        <w:br/>
        <w:br/>
        <w:t>AAEC和CDCP别人不知道是啥（直接说广泛应用的数据集熵）, Qwen3.5-9B这种具体的模型名称不要有，你可以说在多个开源大模型上取得了xxx效果</w:t>
      </w:r>
    </w:p>
    <w:p>
      <w:r>
        <w:t>对应v2位置：中文摘要末段。</w:t>
      </w:r>
    </w:p>
    <w:p>
      <w:r>
        <w:t>分析：减少具体骨干名和缩写有助于独立阅读；四种组合仍是两项方法互补性的必要证据，不应删除。未解释的数据集缩写可改为“英文议论文与公共政策评论语料”等可理解描述。</w:t>
      </w:r>
    </w:p>
    <w:p>
      <w:r>
        <w:t>处理与验收：删去摘要中的具体模型版本，将组合结论压为一句；如保留数值，保留明确指标、比较对象与条件，不把单一骨干的数值说成所有开源模型的结果。</w:t>
      </w:r>
    </w:p>
    <w:p>
      <w:pPr>
        <w:pStyle w:val="Heading2"/>
      </w:pPr>
      <w:r>
        <w:t>A07｜PDF第2页｜Highlight｜不按原句采纳｜P0</w:t>
      </w:r>
    </w:p>
    <w:p>
      <w:r>
        <w:t>标注对象：实验表明，在训练配置固定时，该方法使严格关系F1 分别提高3.38 和5.68 个百 分点；与相同预算下的重新生成相比，它在取得更高F1 的同时保留了98%以上的原有 正确关系。</w:t>
      </w:r>
    </w:p>
    <w:p>
      <w:r>
        <w:t>导师批注原文：直接说显著优于现有的方法，相较于最好的基线模型在两个数据集上分别提升3.38%和5.68%</w:t>
      </w:r>
    </w:p>
    <w:p>
      <w:r>
        <w:t>对应v2位置：中文摘要第四章结果、表4-5/4-6。</w:t>
      </w:r>
    </w:p>
    <w:p>
      <w:r>
        <w:t>分析：3.38和5.68是固定训练配置下追加修正的F1绝对差值，不能直接改成相对提升3.38%/5.68%，也不能把消融对照改称“最好的基线”。“显著”需绑定原有检验及具体比较。</w:t>
      </w:r>
    </w:p>
    <w:p>
      <w:r>
        <w:t>处理与验收：保留“提高3.38和5.68个百分点”；或在明确F1采用百分制时写“增加3.38/5.68个点”。若要写相对提升，另按(新值−旧值)/旧值计算并说明。验收：摘要与对应表格的对象、数值、单位和检验完全一致。</w:t>
      </w:r>
    </w:p>
    <w:p>
      <w:pPr>
        <w:pStyle w:val="Heading2"/>
      </w:pPr>
      <w:r>
        <w:t>A08｜PDF第8页｜Highlight｜结合语境处理｜P1</w:t>
      </w:r>
    </w:p>
    <w:p>
      <w:r>
        <w:t>标注对象：Argument Mining，AM</w:t>
      </w:r>
    </w:p>
    <w:p>
      <w:r>
        <w:t>导师批注原文：无文字批注，仅有高亮或删除线。</w:t>
      </w:r>
    </w:p>
    <w:p>
      <w:r>
        <w:t>对应v2位置：1.1首次介绍论辩挖掘。</w:t>
      </w:r>
    </w:p>
    <w:p>
      <w:r>
        <w:t>分析：仅高亮“Argument Mining，AM”，没有文字指令，不能断言导师要求删除英文。结合A10，更可能涉及全称、缩写和引用规范。</w:t>
      </w:r>
    </w:p>
    <w:p>
      <w:r>
        <w:t>处理与验收：统一写为“论辩挖掘（Argument Mining，AM）”，首次技术介绍附权威来源；已规范处不重复加括号。将此项标为解释性判断，而非导师明确要求。</w:t>
      </w:r>
    </w:p>
    <w:p>
      <w:pPr>
        <w:pStyle w:val="Heading2"/>
      </w:pPr>
      <w:r>
        <w:t>A09｜PDF第8页｜Highlight｜采纳｜P1</w:t>
      </w:r>
    </w:p>
    <w:p>
      <w:r>
        <w:t>标注对象：图1-1 AAEC 作文中的观点与理由及其支持关系（essay001 局部结构，中文为阅读提示）</w:t>
      </w:r>
    </w:p>
    <w:p>
      <w:r>
        <w:t>导师批注原文：得矢量图</w:t>
      </w:r>
    </w:p>
    <w:p>
      <w:r>
        <w:t>对应v2位置：图1-1及全部框架图。</w:t>
      </w:r>
    </w:p>
    <w:p>
      <w:r>
        <w:t>分析：明确要求矢量图。现有图片若含不可编辑的位图文字，即便另存PDF也不等于矢量重绘。</w:t>
      </w:r>
    </w:p>
    <w:p>
      <w:r>
        <w:t>处理与验收：从节点、文字、连线重画，保留SVG/可编辑源文件，导出可嵌入Word的格式；检查最终PDF文字及线条放大质量。图1-1保留真实案例来源及“中文为阅读提示”的边界。</w:t>
      </w:r>
    </w:p>
    <w:p>
      <w:pPr>
        <w:pStyle w:val="Heading2"/>
      </w:pPr>
      <w:r>
        <w:t>A10｜PDF第8页｜Highlight｜采纳｜P1</w:t>
      </w:r>
    </w:p>
    <w:p>
      <w:r>
        <w:t>标注对象：AAEC</w:t>
      </w:r>
    </w:p>
    <w:p>
      <w:r>
        <w:t>导师批注原文：全名，第一次出现的都得写全名</w:t>
      </w:r>
    </w:p>
    <w:p>
      <w:r>
        <w:t>对应v2位置：1.1及各数据集首次出现处。</w:t>
      </w:r>
    </w:p>
    <w:p>
      <w:r>
        <w:t>分析：AAEC需在正文首次出现处给出全称并引用原始语料论文；摘要、正文可分别视为独立阅读单元，不将缩写表当作替代。</w:t>
      </w:r>
    </w:p>
    <w:p>
      <w:r>
        <w:t>处理与验收：依据原始数据集资料核准全称，避免从缩写猜英文名称；CDCP等同步处理。验收：首现可独立理解，后文名称一致。</w:t>
      </w:r>
    </w:p>
    <w:p>
      <w:pPr>
        <w:pStyle w:val="Heading2"/>
      </w:pPr>
      <w:r>
        <w:t>A11｜PDF第8页｜Highlight｜采纳｜P1</w:t>
      </w:r>
    </w:p>
    <w:p>
      <w:r>
        <w:t>标注对象：可以看到，组件识别和关系判断紧密相关，都离不开上下文</w:t>
      </w:r>
    </w:p>
    <w:p>
      <w:r>
        <w:t>导师批注原文：要学术用于，直接说价值就行了</w:t>
      </w:r>
    </w:p>
    <w:p>
      <w:r>
        <w:t>对应v2位置：1.1图1-1后的论述。</w:t>
      </w:r>
    </w:p>
    <w:p>
      <w:r>
        <w:t>分析：“可以看到”“都离不开上下文”泛泛而谈，未指出图例揭示的具体依赖。</w:t>
      </w:r>
    </w:p>
    <w:p>
      <w:r>
        <w:t>处理与验收：直接说明组件角色识别如何影响关系判断、这一依赖为何使局部预测不足；避免用“显著重要”等评价词代替机制解释。</w:t>
      </w:r>
    </w:p>
    <w:p>
      <w:pPr>
        <w:pStyle w:val="Heading2"/>
      </w:pPr>
      <w:r>
        <w:t>A12｜PDF第8页｜Highlight｜采纳｜P1</w:t>
      </w:r>
    </w:p>
    <w:p>
      <w:r>
        <w:t>标注对象：图1-1 展示了其中一组支持关系：T3 是被支持的观点，T4、T5 和T6 是支撑该观点的理由。</w:t>
      </w:r>
    </w:p>
    <w:p>
      <w:r>
        <w:t>导师批注原文：跟上一句换位置，如图1-1所示xxx。然后介绍一下内容，最后给价值和意义</w:t>
      </w:r>
    </w:p>
    <w:p>
      <w:r>
        <w:t>对应v2位置：1.1图1-1引入段。</w:t>
      </w:r>
    </w:p>
    <w:p>
      <w:r>
        <w:t>分析：先解释图例再落到困难，阅读顺序更自然。图的作用是使陌生任务可理解，不能只罗列T3/T4编号。</w:t>
      </w:r>
    </w:p>
    <w:p>
      <w:r>
        <w:t>处理与验收：按“如图所示—观点与理由的具体连接—该例揭示的识别困难”组织。图前必须有正文引用，图后不重复图中文字。</w:t>
      </w:r>
    </w:p>
    <w:p>
      <w:pPr>
        <w:pStyle w:val="Heading2"/>
      </w:pPr>
      <w:r>
        <w:t>A13｜PDF第8页｜StrikeOut｜结合语境处理｜P1</w:t>
      </w:r>
    </w:p>
    <w:p>
      <w:r>
        <w:t>标注对象：作者认为</w:t>
      </w:r>
    </w:p>
    <w:p>
      <w:r>
        <w:t>导师批注原文：无文字批注，仅有高亮或删除线。</w:t>
      </w:r>
    </w:p>
    <w:p>
      <w:r>
        <w:t>对应v2位置：1.1案例中“作者认为”。</w:t>
      </w:r>
    </w:p>
    <w:p>
      <w:r>
        <w:t>分析：只有删除线。若“作者”指原作文作者，直接删掉可能使案例观点被误读成论文作者观点。</w:t>
      </w:r>
    </w:p>
    <w:p>
      <w:r>
        <w:t>处理与验收：删除含混的人称指代，必要时改为“原文主张……”或直接引出案例内容；不把他人观点无归属地改为论文结论。</w:t>
      </w:r>
    </w:p>
    <w:p>
      <w:pPr>
        <w:pStyle w:val="Heading2"/>
      </w:pPr>
      <w:r>
        <w:t>A14｜PDF第8页｜Highlight｜调整后采纳｜P1</w:t>
      </w:r>
    </w:p>
    <w:p>
      <w:r>
        <w:t>标注对象：早期研究分别处理组件识别和关系分类，随后逐步转向组件与关系的联合建模[2] [4]。</w:t>
      </w:r>
    </w:p>
    <w:p>
      <w:r>
        <w:t>导师批注原文：建议按照总分的形式来写。先写方法类别，如：现有的方法主要可以归为xxx三类。早期的工作主要基于xx方法，通过捕获xxx用于论点挖掘。然后就是具体方法描述，可以写多一点。最后给出这类方法的优势和局限性</w:t>
      </w:r>
    </w:p>
    <w:p>
      <w:r>
        <w:t>对应v2位置：1.2.1国内外研究现状。</w:t>
      </w:r>
    </w:p>
    <w:p>
      <w:r>
        <w:t>分析：总分结构和类别内优缺点值得采纳；不能把时间顺序、模型规模和输入条件混成互斥三类。生成式方法也可以是联合建模。</w:t>
      </w:r>
    </w:p>
    <w:p>
      <w:r>
        <w:t>处理与验收：先明确分类轴，再按流水线抽取、联合结构建模、生成式结构预测等组织，并说明交叉关系；每类给代表方法、共同机制和与本文相关的限制。类别数由文献决定。</w:t>
      </w:r>
    </w:p>
    <w:p>
      <w:pPr>
        <w:pStyle w:val="Heading2"/>
      </w:pPr>
      <w:r>
        <w:t>A15｜PDF第11页｜Highlight｜调整后采纳｜P1</w:t>
      </w:r>
    </w:p>
    <w:p>
      <w:r>
        <w:t>标注对象：AASP</w:t>
      </w:r>
    </w:p>
    <w:p>
      <w:r>
        <w:t>导师批注原文：这种方法名称的得用参考文献</w:t>
      </w:r>
    </w:p>
    <w:p>
      <w:r>
        <w:t>对应v2位置：1.2.3中的AASP。</w:t>
      </w:r>
    </w:p>
    <w:p>
      <w:r>
        <w:t>分析：批注处的整句末已有[9]，不是完全缺失引用。问题可能是方法名与来源距离较远或首现不规范。</w:t>
      </w:r>
    </w:p>
    <w:p>
      <w:r>
        <w:t>处理与验收：核准AASP名称及原文，把引用紧随方法名或所支持的半句；避免再造重复文献条目。相同方法在不同段落必要时可重复引用。</w:t>
      </w:r>
    </w:p>
    <w:p>
      <w:pPr>
        <w:pStyle w:val="Heading2"/>
      </w:pPr>
      <w:r>
        <w:t>A16｜PDF第11页｜Highlight｜调整后采纳｜P1</w:t>
      </w:r>
    </w:p>
    <w:p>
      <w:r>
        <w:t>标注对象：Self-Refine</w:t>
      </w:r>
    </w:p>
    <w:p>
      <w:r>
        <w:t>导师批注原文：参考文献</w:t>
      </w:r>
    </w:p>
    <w:p>
      <w:r>
        <w:t>对应v2位置：1.2.3中的Self-Refine。</w:t>
      </w:r>
    </w:p>
    <w:p>
      <w:r>
        <w:t>分析：该句末已有[20]，应改善引文归属，不应据此宣称原稿漏引。Self-Refine是反馈后迭代改写，与本文固定评分的结构决策不同。</w:t>
      </w:r>
    </w:p>
    <w:p>
      <w:r>
        <w:t>处理与验收：采用“Self-Refine[对应序号]通过……”的清楚归属，核对重排后的引用编号；比较时说明反馈来源和输出对象差异。</w:t>
      </w:r>
    </w:p>
    <w:p>
      <w:pPr>
        <w:pStyle w:val="Heading2"/>
      </w:pPr>
      <w:r>
        <w:t>A17｜PDF第11页｜Highlight｜结合语境处理｜P1</w:t>
      </w:r>
    </w:p>
    <w:p>
      <w:r>
        <w:t>标注对象：Xiao 和Li 提出</w:t>
      </w:r>
    </w:p>
    <w:p>
      <w:r>
        <w:t>导师批注原文：无文字批注，仅有高亮或删除线。</w:t>
      </w:r>
    </w:p>
    <w:p>
      <w:r>
        <w:t>对应v2位置：1.2.3中Xiao和Li提出的ARGUS。</w:t>
      </w:r>
    </w:p>
    <w:p>
      <w:r>
        <w:t>分析：无文字高亮，结合会议“统一方法名称”推断为叙述主语问题。原稿已提示两个ARGUS不同，这个消歧信息有必要保留。</w:t>
      </w:r>
    </w:p>
    <w:p>
      <w:r>
        <w:t>处理与验收：可改为“面向自解释修复的ARGUS[24]……”，与另一论辩挖掘系统区分。不得将作者名替换为不存在的方法名，也不删除贡献归属。</w:t>
      </w:r>
    </w:p>
    <w:p>
      <w:pPr>
        <w:pStyle w:val="Heading2"/>
      </w:pPr>
      <w:r>
        <w:t>A18｜PDF第11页｜Highlight｜结合语境处理｜P1</w:t>
      </w:r>
    </w:p>
    <w:p>
      <w:r>
        <w:t>标注对象：Pirozelli 等</w:t>
      </w:r>
    </w:p>
    <w:p>
      <w:r>
        <w:t>导师批注原文：无文字批注，仅有高亮或删除线。</w:t>
      </w:r>
    </w:p>
    <w:p>
      <w:r>
        <w:t>对应v2位置：1.2.3中Pirozelli等的论辩重构。</w:t>
      </w:r>
    </w:p>
    <w:p>
      <w:r>
        <w:t>分析：无文字高亮。此工作若没有官方简称，不能为与别处整齐而杜撰模型名。</w:t>
      </w:r>
    </w:p>
    <w:p>
      <w:r>
        <w:t>处理与验收：用“基于大语言模型的论辩重构流程[44]”或保留作者式引用；强调其允许重写表述，而本文保留原文跨度。原始论文全称及出版状态需在参考文献中核准。</w:t>
      </w:r>
    </w:p>
    <w:p>
      <w:pPr>
        <w:pStyle w:val="Heading2"/>
      </w:pPr>
      <w:r>
        <w:t>A19｜PDF第11页｜Highlight｜结合语境处理｜P1</w:t>
      </w:r>
    </w:p>
    <w:p>
      <w:r>
        <w:t>标注对象：Re-Cent</w:t>
      </w:r>
    </w:p>
    <w:p>
      <w:r>
        <w:t>导师批注原文：无文字批注，仅有高亮或删除线。</w:t>
      </w:r>
    </w:p>
    <w:p>
      <w:r>
        <w:t>对应v2位置：1.2.3中的Re-Cent。</w:t>
      </w:r>
    </w:p>
    <w:p>
      <w:r>
        <w:t>分析：无文字高亮，句末已有[43]。研究已涉及实体—关系联合处理与修正，因此扩展到该任务时必须更深入比较，不能只把它作为一个方法名。</w:t>
      </w:r>
    </w:p>
    <w:p>
      <w:r>
        <w:t>处理与验收：就近引用Re-Cent，并比较其关系中心抽取、方向信息与相关性修正，及本文固定候选、预算约束、整体接受的差异；以原论文机制为准。</w:t>
      </w:r>
    </w:p>
    <w:p>
      <w:pPr>
        <w:pStyle w:val="Heading2"/>
      </w:pPr>
      <w:r>
        <w:t>A20｜PDF第12页｜Highlight｜调整后采纳｜P1</w:t>
      </w:r>
    </w:p>
    <w:p>
      <w:r>
        <w:t>标注对象：表1-1 从输入条件和方法机制两个方面，对比了与本文最接近的研究。 表1-1 相关方法与本文研究定位</w:t>
      </w:r>
    </w:p>
    <w:p>
      <w:r>
        <w:t>导师批注原文：这个表的意义？</w:t>
      </w:r>
    </w:p>
    <w:p>
      <w:r>
        <w:t>对应v2位置：表1-1及其引出段。</w:t>
      </w:r>
    </w:p>
    <w:p>
      <w:r>
        <w:t>分析：该表用于区分输入条件和方法边界，具有潜在价值；当前表若重复正文、没有支持明确论点，则应精简。</w:t>
      </w:r>
    </w:p>
    <w:p>
      <w:r>
        <w:t>处理与验收：优先把主要差异改写为2—3个连贯段落；只有需要并列核对的非显然差异才保留紧凑表。验收：每张保留表均对应一个读者需要回答的问题。</w:t>
      </w:r>
    </w:p>
    <w:p>
      <w:pPr>
        <w:pStyle w:val="Heading2"/>
      </w:pPr>
      <w:r>
        <w:t>A21｜PDF第13页｜StrikeOut｜结合语境处理｜P1</w:t>
      </w:r>
    </w:p>
    <w:p>
      <w:r>
        <w:t>标注对象：RQ1：</w:t>
      </w:r>
    </w:p>
    <w:p>
      <w:r>
        <w:t>导师批注原文：无文字批注，仅有高亮或删除线。</w:t>
      </w:r>
    </w:p>
    <w:p>
      <w:r>
        <w:t>对应v2位置：1.3中的RQ1/RQ2标识。</w:t>
      </w:r>
    </w:p>
    <w:p>
      <w:r>
        <w:t>分析：仅删除RQ1标签，不代表删除研究问题。中文学位论文可直接使用自然的设问或陈述。</w:t>
      </w:r>
    </w:p>
    <w:p>
      <w:r>
        <w:t>处理与验收：去掉无必要的RQ编号，保留两个具体问题；同步清理总结里的“针对RQ1/2”等回指。</w:t>
      </w:r>
    </w:p>
    <w:p>
      <w:pPr>
        <w:pStyle w:val="Heading2"/>
      </w:pPr>
      <w:r>
        <w:t>A22｜PDF第13页｜StrikeOut｜采纳｜P0</w:t>
      </w:r>
    </w:p>
    <w:p>
      <w:r>
        <w:t>标注对象：此外，本文通过训练与推理两阶段的四种组合，分析两项工作之间的关系，考察 二者的增益是重叠还是互补。</w:t>
      </w:r>
    </w:p>
    <w:p>
      <w:r>
        <w:t>导师批注原文：你做的工作意义不是探究两种的关系，而是两个工作内在有什么关联性，最终解决的都是现有论点挖掘方法（比如基于大语言模型的方法）存在的问题，更好的用大模型解决这个问题</w:t>
      </w:r>
    </w:p>
    <w:p>
      <w:r>
        <w:t>对应v2位置：1.3两项工作关系、原第五章。</w:t>
      </w:r>
    </w:p>
    <w:p>
      <w:r>
        <w:t>分析：应先说明两项工作共同解决大模型论辩挖掘中的监督与结构依赖问题，而不是把“分析两者关系”当作创新内容。</w:t>
      </w:r>
    </w:p>
    <w:p>
      <w:r>
        <w:t>处理与验收：将四组合实验移至第四章综合分析，用它检验互补性。主线写为“训练时控制增强监督可靠性，推理时联合处理组件和关系修改”；保留A、B可独立运行的事实。</w:t>
      </w:r>
    </w:p>
    <w:p>
      <w:pPr>
        <w:pStyle w:val="Heading2"/>
      </w:pPr>
      <w:r>
        <w:t>A23｜PDF第14页｜StrikeOut｜调整后采纳｜P0</w:t>
      </w:r>
    </w:p>
    <w:p>
      <w:r>
        <w:t>标注对象：本文以前期工作MCR-BR[34]为基础，表1-2 列出了继承的机制和本文新增的研究 内容 表1-2 MCR-BR 已有机制与本文研究内容 研究层次 MCR-BR 已有机制 本文研究内容 训练与表示 结论专项适配、线索提示、句子辅助 监督 可靠对应构造、因素掩码与成对学习 候选生成与选择多候选组件、关系构建与整图重排序 保留初始图接口，明确固定候选及完整 对象身份 组件与关系修正类型调整、候选跨度替换、删边与局 部重预测 依赖完整重建与事务接受，比较单对象 及集合动作 评分与评价 覆盖、语义、合法性混合评分及非下 降接受 完整对象正确性评分、计数效用与风险 分析 其中，LoRA 微调、线索提示和句子辅助监督沿用MCR-BR，本文的新增工作集中 在可靠因……（完整选区见CSV及截图）</w:t>
      </w:r>
    </w:p>
    <w:p>
      <w:r>
        <w:t>导师批注原文：无文字批注，仅有高亮或删除线。</w:t>
      </w:r>
    </w:p>
    <w:p>
      <w:r>
        <w:t>对应v2位置：表1-2、1.3及3.2基础模型。</w:t>
      </w:r>
    </w:p>
    <w:p>
      <w:r>
        <w:t>分析：删除线覆盖继承说明与整表，适合减少绪论中过多的工程沿革。但已有模块必须继续归属原方法，不能以增强工作量为由隐藏。</w:t>
      </w:r>
    </w:p>
    <w:p>
      <w:r>
        <w:t>处理与验收：删除或压缩表1-2的展示，在方法基础中用一段交代继承LoRA、线索提示和句子监督，随后明确新增模块。验收：读者能区分已有模块和当前贡献。</w:t>
      </w:r>
    </w:p>
    <w:p>
      <w:pPr>
        <w:pStyle w:val="Heading2"/>
      </w:pPr>
      <w:r>
        <w:t>A24｜PDF第15页｜Highlight｜采纳｜P1</w:t>
      </w:r>
    </w:p>
    <w:p>
      <w:r>
        <w:t>标注对象：评价指标和公共实验设置</w:t>
      </w:r>
    </w:p>
    <w:p>
      <w:r>
        <w:t>导师批注原文：可以考虑分别放到三四章</w:t>
      </w:r>
    </w:p>
    <w:p>
      <w:r>
        <w:t>对应v2位置：第二章2.4/2.6→第三/四章实验。</w:t>
      </w:r>
    </w:p>
    <w:p>
      <w:r>
        <w:t>分析：与蒋梓浩论文的章节布局一致。公共设置堆在第二章，造成读方法章时往返查找。</w:t>
      </w:r>
    </w:p>
    <w:p>
      <w:r>
        <w:t>处理与验收：第二章保留任务及严格匹配的核心定义；数据、指标、基线、环境、超参数分别放方法章实验开头。第四章回引相同设置，只新增评分/搜索及跨任务差异，避免整段复制。</w:t>
      </w:r>
    </w:p>
    <w:p>
      <w:pPr>
        <w:pStyle w:val="Heading2"/>
      </w:pPr>
      <w:r>
        <w:t>A25｜PDF第15页｜StrikeOut｜调整后采纳｜P1</w:t>
      </w:r>
    </w:p>
    <w:p>
      <w:r>
        <w:t>标注对象：附录A 补充复现信息 附录B 给出开发集选择、分层审核和资源消耗的详细结果。</w:t>
      </w:r>
    </w:p>
    <w:p>
      <w:r>
        <w:t>导师批注原文：不需要附录，原始对应在哪个章节就填在哪个章节。论文组织结构可以参考我的来写</w:t>
      </w:r>
    </w:p>
    <w:p>
      <w:r>
        <w:t>对应v2位置：附录A/B→第三/四章；附录C—E另核。</w:t>
      </w:r>
    </w:p>
    <w:p>
      <w:r>
        <w:t>分析：技术复现和资源成本应回到相应章节。学校模板仍列个人简历、科研项目与成果等后置材料，“大论文都不需要附录”不能作为校级规则。蒋梓浩论文无技术附录，但有成果目录。</w:t>
      </w:r>
    </w:p>
    <w:p>
      <w:r>
        <w:t>处理与验收：将决定方法与实验解释的A/B信息合并回正文；代码文件作为随附复现材料。学校要求的后置材料及盲审匿名处理单独依现行模板核对，不一刀切删除。</w:t>
      </w:r>
    </w:p>
    <w:p>
      <w:pPr>
        <w:pStyle w:val="Heading2"/>
      </w:pPr>
      <w:r>
        <w:t>A26｜PDF第17页｜StrikeOut｜调整后采纳｜P1</w:t>
      </w:r>
    </w:p>
    <w:p>
      <w:r>
        <w:t>标注对象：表2-2 token 范围相同但字符边界不同的两个组件 对象 字符区间 评价token 闭区间 左右残差 片段末尾 原生T6，Claim [858,914) [162,172] (0,1) responsibl 扩展边界的构造对照， Claim [858,915) [162,172] (0,0) responsible</w:t>
      </w:r>
    </w:p>
    <w:p>
      <w:r>
        <w:t>导师批注原文：无文字批注，仅有高亮或删除线。</w:t>
      </w:r>
    </w:p>
    <w:p>
      <w:r>
        <w:t>对应v2位置：表2-2、2.1.2字符级表示。</w:t>
      </w:r>
    </w:p>
    <w:p>
      <w:r>
        <w:t>分析：表格解释token相同而字符边界不同，有助于理解完整对象身份；但单独占表过重。删除线没有文字理由。</w:t>
      </w:r>
    </w:p>
    <w:p>
      <w:r>
        <w:t>处理与验收：改为一段短例或图注，说明边界差一个字符为何影响严格匹配；保留字符区间定义、评价转换和后文依赖条件。不要删除技术前提。</w:t>
      </w:r>
    </w:p>
    <w:p>
      <w:pPr>
        <w:pStyle w:val="Heading2"/>
      </w:pPr>
      <w:r>
        <w:t>A27｜PDF第17页｜Highlight｜调整后采纳｜P1</w:t>
      </w:r>
    </w:p>
    <w:p>
      <w:r>
        <w:t>标注对象：表2-1 两种语料的原生任务表示 语料 组件类型 关系对象 评价时保留的边界 AAEC MajorClaim、Claim Premise Support、Attack 二元 关系 Claim 对MajorClaim 的stance 单 列，不补造普通关系 CDCP Fact、Testimony Value、Policy、Reference Reason、Evidence 多 前提关系 完整源集合参与匹配，不归并组件 类型、不拆分超边</w:t>
      </w:r>
    </w:p>
    <w:p>
      <w:r>
        <w:t>导师批注原文：能用中文的就用中文</w:t>
      </w:r>
    </w:p>
    <w:p>
      <w:r>
        <w:t>对应v2位置：表2-1、全部图表显示标签。</w:t>
      </w:r>
    </w:p>
    <w:p>
      <w:r>
        <w:t>分析：优先中文有助于阅读，但数据集原始标签、程序输出和方法名称不能任意翻译替换。</w:t>
      </w:r>
    </w:p>
    <w:p>
      <w:r>
        <w:t>处理与验收：图表展示写“支持（Support）”“攻击（Attack）”等，之后统一中文；另保留与原始标签的唯一映射。真实英文输入/模型输出可保留原文并附必要中文解释。</w:t>
      </w:r>
    </w:p>
    <w:p>
      <w:pPr>
        <w:pStyle w:val="Heading2"/>
      </w:pPr>
      <w:r>
        <w:t>A28｜PDF第20页｜Highlight｜采纳｜P1</w:t>
      </w:r>
    </w:p>
    <w:p>
      <w:r>
        <w:t>标注对象：BR-O</w:t>
      </w:r>
    </w:p>
    <w:p>
      <w:r>
        <w:t>导师批注原文：全名，简写</w:t>
      </w:r>
    </w:p>
    <w:p>
      <w:r>
        <w:t>对应v2位置：2.3中的BR-O、方法基础与符号表。</w:t>
      </w:r>
    </w:p>
    <w:p>
      <w:r>
        <w:t>分析：应解释缩写，尤其O的含义。原稿“有界修正（BR-O）”不足以给出可核查的英文展开。</w:t>
      </w:r>
    </w:p>
    <w:p>
      <w:r>
        <w:t>处理与验收：回查MCR-BR原文/实现中的官方名称；若BR-O只是本论文对原始修正器的代号，应明确“原始有界修正模块（本文记为BR-O）”，不得编造英文全称。</w:t>
      </w:r>
    </w:p>
    <w:p>
      <w:pPr>
        <w:pStyle w:val="Heading2"/>
      </w:pPr>
      <w:r>
        <w:t>A29｜PDF第20页｜Highlight｜采纳｜P2</w:t>
      </w:r>
    </w:p>
    <w:p>
      <w:r>
        <w:t>标注对象：.</w:t>
      </w:r>
    </w:p>
    <w:p>
      <w:r>
        <w:t>导师批注原文：, 逗号，公式后面没结束就用逗号</w:t>
      </w:r>
    </w:p>
    <w:p>
      <w:r>
        <w:t>对应v2位置：公式2-8及全文公式标点。</w:t>
      </w:r>
    </w:p>
    <w:p>
      <w:r>
        <w:t>分析：显示公式属于句子组成部分，后面仍接解释时可用逗号；不应把所有公式统一改为逗号。</w:t>
      </w:r>
    </w:p>
    <w:p>
      <w:r>
        <w:t>处理与验收：按句法逐式检查：继续解释用逗号，完整句末可用句号。编号、标点与公式对象分离，避免修改数学内容。</w:t>
      </w:r>
    </w:p>
    <w:p>
      <w:pPr>
        <w:pStyle w:val="Heading2"/>
      </w:pPr>
      <w:r>
        <w:t>A30｜PDF第20页｜Highlight｜调整后采纳｜P2</w:t>
      </w:r>
    </w:p>
    <w:p>
      <w:r>
        <w:t>标注对象：其中</w:t>
      </w:r>
    </w:p>
    <w:p>
      <w:r>
        <w:t>导师批注原文：不要分段，因为公式是逗号</w:t>
      </w:r>
    </w:p>
    <w:p>
      <w:r>
        <w:t>对应v2位置：公式2-8后的“其中”。</w:t>
      </w:r>
    </w:p>
    <w:p>
      <w:r>
        <w:t>分析：“不分段”是语义连续与版面不另起缩进的要求；Word中的公式段和解释段仍可用不同段落实现。</w:t>
      </w:r>
    </w:p>
    <w:p>
      <w:r>
        <w:t>处理与验收：将“其中”说明顶格、段前后间距合理，与公式保持连续；保留数学排版所需的独立显示段，不机械合并公式与正文。参照蒋文PDF39页的式3.11及说明。</w:t>
      </w:r>
    </w:p>
    <w:p>
      <w:pPr>
        <w:pStyle w:val="Heading2"/>
      </w:pPr>
      <w:r>
        <w:t>A31｜PDF第21页｜StrikeOut｜调整后采纳｜P0</w:t>
      </w:r>
    </w:p>
    <w:p>
      <w:r>
        <w:t>标注对象：对同一组端点，主配置只允许一种关系状态；跨度的重叠、嵌套以及是否无环 按各语料的标注规范处理。</w:t>
      </w:r>
    </w:p>
    <w:p>
      <w:r>
        <w:t>导师批注原文：无文字批注，仅有高亮或删除线。</w:t>
      </w:r>
    </w:p>
    <w:p>
      <w:r>
        <w:t>对应v2位置：2.3末尾结构约束、第四章可行域。</w:t>
      </w:r>
    </w:p>
    <w:p>
      <w:r>
        <w:t>分析：被删句用“按各语料规范”代替具体规定，确实含混。但同端点多标签、跨度嵌套及无环限制直接影响方法可行域，不能只删不补。现有实现还硬编码了不允许跨度重叠。</w:t>
      </w:r>
    </w:p>
    <w:p>
      <w:r>
        <w:t>处理与验收：把实际启用的约束写入第四章任务模式说明，与代码逐项一致；跨任务时重新确定哪些约束适用。严禁把论辩场景的不重叠、连续多源或无环约束自动搬到实体/事件任务。</w:t>
      </w:r>
    </w:p>
    <w:p>
      <w:pPr>
        <w:pStyle w:val="Heading2"/>
      </w:pPr>
      <w:r>
        <w:t>A32｜PDF第22页｜Highlight｜调整后采纳｜P1</w:t>
      </w:r>
    </w:p>
    <w:p>
      <w:r>
        <w:t>标注对象：评价指标</w:t>
      </w:r>
    </w:p>
    <w:p>
      <w:r>
        <w:t>导师批注原文：可以看一下我写的，需要精炼，不需要那么多废话</w:t>
      </w:r>
    </w:p>
    <w:p>
      <w:r>
        <w:t>对应v2位置：2.4评价指标→第三/四章实验。</w:t>
      </w:r>
    </w:p>
    <w:p>
      <w:r>
        <w:t>分析：可参照蒋文PDF40—41页：先说明所用指标及适用口径，再给必要定义。普通P/R/F1科普可压缩，本文严格边界和多前提关系的特殊口径不可省。</w:t>
      </w:r>
    </w:p>
    <w:p>
      <w:r>
        <w:t>处理与验收：保留评价对象、匹配条件、micro聚合、种子汇总及必要统计检验；将长例改为一例，统计程序集中说明并回引。</w:t>
      </w:r>
    </w:p>
    <w:p>
      <w:pPr>
        <w:pStyle w:val="Heading2"/>
      </w:pPr>
      <w:r>
        <w:t>A33｜PDF第88页｜Highlight｜调整后采纳｜P1</w:t>
      </w:r>
    </w:p>
    <w:p>
      <w:r>
        <w:t>标注对象：LAWRENCE J, REED C. Argument mining: A survey[J]. Computational Linguistics, 2019, 45(4): 765 –818. DOI: 10.1162/coli_a_00364.</w:t>
      </w:r>
    </w:p>
    <w:p>
      <w:r>
        <w:t>导师批注原文：参考文献得加点中文的参考文献，得有90+篇参考文献</w:t>
      </w:r>
    </w:p>
    <w:p>
      <w:r>
        <w:t>对应v2位置：参考文献及1.2综述。</w:t>
      </w:r>
    </w:p>
    <w:p>
      <w:r>
        <w:t>分析：补充中文研究与领域覆盖合理；90+是本次导师提出的目标，不是从学校规范中读出的统一硬性数量。当前v2有60条，达到至少91条需净增31条有效来源（替换和去重另计）。</w:t>
      </w:r>
    </w:p>
    <w:p>
      <w:r>
        <w:t>处理与验收：按一致性学习、约束推断、结构修正、跨任务抽取、中文论辩研究等缺口检索；每篇必须支持正文主张并核实元数据。先建候选库，避免为凑数堆积教材、重复版本或无关中文论文。</w:t>
      </w:r>
    </w:p>
    <w:p>
      <w:pPr>
        <w:pStyle w:val="Heading1"/>
      </w:pPr>
      <w:r>
        <w:t>交付文件索引</w:t>
      </w:r>
    </w:p>
    <w:p>
      <w:r>
        <w:t>外审前修改调研与逐条意见分析.docx：可编辑完整报告；同名PDF：阅读预览。33条PDF批注逐项处理清单.csv：逐条原句、原批注、判断、位置与行动。会议建议覆盖清单.csv：26项合并议题。simulation：可运行代码、1080条实例的四策略计数、汇总和构造说明。evidence：原始提取及全部33个截图；research：网页来源记录。所有模拟表均带明确标记，不与论文真实实验混存。</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外审前修改调研与逐条意见分析｜2026-10-14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0" w:lineRule="auto"/>
      <w:outlineLvl w:val="0"/>
    </w:pPr>
    <w:rPr>
      <w:rFonts w:asciiTheme="majorHAnsi" w:eastAsiaTheme="majorEastAsia" w:hAnsiTheme="majorHAnsi" w:cstheme="majorBidi" w:ascii="Calibri" w:hAnsi="Calibri"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Calibri" w:hAnsi="Calibr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