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v3 盲审版审阅意见</w:t>
      </w:r>
    </w:p>
    <w:p>
      <w:r>
        <w:t>2026-10-15｜依据上传稿审阅，未修改论文原文件</w:t>
      </w:r>
    </w:p>
    <w:p>
      <w:r>
        <w:t>总体判断：v3比前版成熟，已经适合交给导师进行下一轮内容审阅，但不建议直接作为盲审定稿提交。进步主要在章节组织、中文论述和训练—推理两项工作的关联；当前最需要解决的是消融协议与表格的可核验一致性，以及尚未落实的学校格式和匿名处理。</w:t>
      </w:r>
    </w:p>
    <w:p>
      <w:r>
        <w:t>本次依据上传的v3 DOCX、此前提供的学校要求、导师会议与批注分析记录，结合中文论文写作技能及前一轮蒋梓浩参考论文的写法分析审阅。检查覆盖正文结构、主要方法和实验表述、Word属性与关键页面渲染；不把文字中报告的实验结果等同于已独立复现，也不宣称已重新逐条验收原PDF的33条批注。未修改上传原稿。</w:t>
      </w:r>
    </w:p>
    <w:p>
      <w:r>
        <w:t>定位优先采用章节、表号和原句；P编号指本次提取文件中的段落编号。兼容渲染共115个物理页，正文从物理第13页开始；Word字体环境与分页可能不同，因此最终目录和页码须在交稿环境验收。</w:t>
      </w:r>
    </w:p>
    <w:p>
      <w:pPr>
        <w:pStyle w:val="Heading1"/>
      </w:pPr>
      <w:r>
        <w:t>已经改善的部分</w:t>
      </w:r>
    </w:p>
    <w:p>
      <w:r>
        <w:t>章节主线更集中。第三章采用“可靠监督与一致性学习”，第四章采用“结构约束的论辩图联合修正”，比旧标题更贴近方法实质；原先单列的组合工作已进入4.6.5。</w:t>
      </w:r>
    </w:p>
    <w:p>
      <w:r>
        <w:t>两章分工更清楚。训练方法改善抽取，推理方法在固定生成器的基础上修正结构；四种组合、恢复关系分解和漏检分析帮助说明互补性。需要注意，交互置信区间包含0并不等于已证明完全可加。</w:t>
      </w:r>
    </w:p>
    <w:p>
      <w:r>
        <w:t>实验与理论边界更完整。实验设置和成本已经放入方法章；候选与评分冻结、局部累计预算与全局净预算、缺分回退和终止性都作了说明，4.5.3明确区分代理效用与真实F1，这是应该保留的严谨表述。</w:t>
      </w:r>
    </w:p>
    <w:p>
      <w:r>
        <w:t>中文连贯性改善。背景、章节引言与结果分析较前版更有段落中心，不再需要全篇推倒重写。后续应针对残留口语、重复报数和过强结论精修。</w:t>
      </w:r>
    </w:p>
    <w:p>
      <w:pPr>
        <w:pStyle w:val="Heading1"/>
      </w:pPr>
      <w:r>
        <w:t>逐项修改意见</w:t>
      </w:r>
    </w:p>
    <w:p>
      <w:pPr>
        <w:pStyle w:val="Heading2"/>
      </w:pPr>
      <w:r>
        <w:t>01  NoRisk 的设置与结果需要核对</w:t>
      </w:r>
    </w:p>
    <w:p>
      <w:pPr>
        <w:keepNext/>
      </w:pPr>
      <w:r>
        <w:rPr>
          <w:b/>
          <w:sz w:val="18"/>
        </w:rPr>
        <w:t>送审前必须解决｜4.5.2；4.6.1；表4-5、4-6、4-13；P0501–0504、P0537–0539、P0574</w:t>
      </w:r>
    </w:p>
    <w:p>
      <w:r>
        <w:rPr>
          <w:b/>
        </w:rPr>
        <w:t>依据：</w:t>
      </w:r>
      <w:r>
        <w:t>正文规定全局求解先最大化固定效用，再按阈值决定返回最优图还是初始图；主实验全部采用全局求解。表4-13中，AAEC的删除FP由I1的230降为NoRisk的228，CDCP由141降为140。</w:t>
      </w:r>
    </w:p>
    <w:p>
      <w:r>
        <w:rPr>
          <w:b/>
        </w:rPr>
        <w:t>分析：</w:t>
      </w:r>
      <w:r>
        <w:t>若候选、评分、效用系数、预算、求解与破同分规则完全固定，仅降低求解后的接受阈值，原本接受的最优图不会改变；额外接受的文档只会增加非负的删除FP数。因此表中下降不能由正文所述的单一阈值变化解释。若NoRisk重新选择了κ、改变了求解路径或其他配置，应明确写出。当前证据指向协议描述不完整或统计结果不一致，不能据此判断实验真实性。</w:t>
      </w:r>
    </w:p>
    <w:p>
      <w:r>
        <w:rPr>
          <w:b/>
        </w:rPr>
        <w:t>建议：</w:t>
      </w:r>
      <w:r>
        <w:t>以AAEC为先，逐文档、逐种子导出G0、G*、实际返回图、κ、δ、预算、求解状态与删除FP集合，比较I1和NoRisk。增加核验：I1已接受的输入，在仅降低δ时输出必须相同。按核验结果修正协议或重算表格。</w:t>
      </w:r>
    </w:p>
    <w:p>
      <w:pPr>
        <w:pStyle w:val="Heading2"/>
      </w:pPr>
      <w:r>
        <w:t>02  NoRisk 没有清楚隔离风险选择的作用</w:t>
      </w:r>
    </w:p>
    <w:p>
      <w:pPr>
        <w:keepNext/>
      </w:pPr>
      <w:r>
        <w:rPr>
          <w:b/>
          <w:sz w:val="18"/>
        </w:rPr>
        <w:t>送审前必须解决｜4.6.1，表4-5与表4-6；P0538–0539</w:t>
      </w:r>
    </w:p>
    <w:p>
      <w:r>
        <w:rPr>
          <w:b/>
        </w:rPr>
        <w:t>依据：</w:t>
      </w:r>
      <w:r>
        <w:t>NoRisk同时改变“开发风险选择与δ”。表4-6中，AAEC的εgain配置损失率1.00%，CDCP在κR=0.5时为2.31%，均未超过5%的风险限制，且F1均低于δ=0.20的配置。</w:t>
      </w:r>
    </w:p>
    <w:p>
      <w:r>
        <w:rPr>
          <w:b/>
        </w:rPr>
        <w:t>分析：</w:t>
      </w:r>
      <w:r>
        <w:t>直接把δ调到接近0不能单独证明“取消开发风险限制”的后果；按当前表中结果，即使取消风险过滤，再最大化开发F1，也未必会选择εgain。</w:t>
      </w:r>
    </w:p>
    <w:p>
      <w:r>
        <w:rPr>
          <w:b/>
        </w:rPr>
        <w:t>建议：</w:t>
      </w:r>
      <w:r>
        <w:t>将“仅放宽接受阈值”和“仅取消开发风险筛选后重新选参”拆成清楚的对照，或把现有消融准确改称为低接受阈值，并限制解释范围。</w:t>
      </w:r>
    </w:p>
    <w:p>
      <w:pPr>
        <w:pStyle w:val="Heading2"/>
      </w:pPr>
      <w:r>
        <w:t>03  关于增益来源和全局最优的表述超出证据</w:t>
      </w:r>
    </w:p>
    <w:p>
      <w:pPr>
        <w:keepNext/>
      </w:pPr>
      <w:r>
        <w:rPr>
          <w:b/>
          <w:sz w:val="18"/>
        </w:rPr>
        <w:t>送审前必须解决｜4.6.2；表4-8；P0549、P0551</w:t>
      </w:r>
    </w:p>
    <w:p>
      <w:r>
        <w:rPr>
          <w:b/>
        </w:rPr>
        <w:t>依据：</w:t>
      </w:r>
      <w:r>
        <w:t>“修改组件是推理阶段增益的主要来源”；“局部可达的结果都包含在全局可行域中，因此全局求解取得了最好的结果”。</w:t>
      </w:r>
    </w:p>
    <w:p>
      <w:r>
        <w:rPr>
          <w:b/>
        </w:rPr>
        <w:t>分析：</w:t>
      </w:r>
      <w:r>
        <w:t>AAEC只改关系已从68.25升至70.45，允许组件修改后的额外增益为1.18；CDCP相应为45.08→49.19，再增加1.57。此结果支持组件修改有额外贡献，不足以称其为总增益的主要来源。可行域包含只能支持代理目标的优化，不保证严格F1最优；4.5.3已明确这种区别。</w:t>
      </w:r>
    </w:p>
    <w:p>
      <w:r>
        <w:rPr>
          <w:b/>
        </w:rPr>
        <w:t>建议：</w:t>
      </w:r>
      <w:r>
        <w:t>前句改为“在仅修改关系的基础上，联合修改组件及其关联关系进一步提升了严格关系F1”；后句改为“全局求解扩大了代理效用的可行搜索空间，在本次实验中也取得了最高的严格关系F1”。</w:t>
      </w:r>
    </w:p>
    <w:p>
      <w:pPr>
        <w:pStyle w:val="Heading2"/>
      </w:pPr>
      <w:r>
        <w:t>04  标题仍沿用旧名称，且超过模板字数要求</w:t>
      </w:r>
    </w:p>
    <w:p>
      <w:pPr>
        <w:keepNext/>
      </w:pPr>
      <w:r>
        <w:rPr>
          <w:b/>
          <w:sz w:val="18"/>
        </w:rPr>
        <w:t>送审前必须解决｜中文封面、英文封面、页眉；P0004、P0011</w:t>
      </w:r>
    </w:p>
    <w:p>
      <w:r>
        <w:rPr>
          <w:b/>
        </w:rPr>
        <w:t>依据：</w:t>
      </w:r>
      <w:r>
        <w:t>现题“面向关系感知学习与依赖闭合修正的端到端论辩挖掘方法研究”共27字；学校要求不超过25字。第三、四章名称已经改为可靠监督与一致性学习、结构约束联合修正。</w:t>
      </w:r>
    </w:p>
    <w:p>
      <w:r>
        <w:rPr>
          <w:b/>
        </w:rPr>
        <w:t>分析：</w:t>
      </w:r>
      <w:r>
        <w:t>正文已调整而标题和页眉没有同步，标题也没有解决导师提出的统一中心观点问题。</w:t>
      </w:r>
    </w:p>
    <w:p>
      <w:r>
        <w:rPr>
          <w:b/>
        </w:rPr>
        <w:t>建议：</w:t>
      </w:r>
      <w:r>
        <w:t>优先考虑“基于大语言模型的端到端论辩挖掘方法研究”（19字），并统一英文题名和页眉。不要为迎合命名把一致性学习直接改成对比学习，也不要把约束求解直接改称思维链。</w:t>
      </w:r>
    </w:p>
    <w:p>
      <w:pPr>
        <w:pStyle w:val="Heading2"/>
      </w:pPr>
      <w:r>
        <w:t>05  中文字体直接格式覆盖了学校模板</w:t>
      </w:r>
    </w:p>
    <w:p>
      <w:pPr>
        <w:keepNext/>
      </w:pPr>
      <w:r>
        <w:rPr>
          <w:b/>
          <w:sz w:val="18"/>
        </w:rPr>
        <w:t>送审前必须解决｜全文DOCX字体属性；正文P0126–0651</w:t>
      </w:r>
    </w:p>
    <w:p>
      <w:r>
        <w:rPr>
          <w:b/>
        </w:rPr>
        <w:t>依据：</w:t>
      </w:r>
      <w:r>
        <w:t>正文中文字符大部分显式使用Noto Serif CJK SC，标题多使用Noto Sans CJK SC。学校模板正文中文主题字体为宋体，标题样式为黑体。</w:t>
      </w:r>
    </w:p>
    <w:p>
      <w:r>
        <w:rPr>
          <w:b/>
        </w:rPr>
        <w:t>分析：</w:t>
      </w:r>
      <w:r>
        <w:t>这是文档内实际指定的字体，与仅因本机缺字体造成的显示替代不同。只修改样式名称不能清除这些直接格式。</w:t>
      </w:r>
    </w:p>
    <w:p>
      <w:r>
        <w:rPr>
          <w:b/>
        </w:rPr>
        <w:t>建议：</w:t>
      </w:r>
      <w:r>
        <w:t>基于学校模板统一样式和对应直接格式，分开处理正文、标题、图表题、表内文字、公式、页眉页脚和参考文献；同时复核字号、行距与段前段后，最后在交稿环境导出检查。</w:t>
      </w:r>
    </w:p>
    <w:p>
      <w:pPr>
        <w:pStyle w:val="Heading2"/>
      </w:pPr>
      <w:r>
        <w:t>06  大多数表格仍是网格表</w:t>
      </w:r>
    </w:p>
    <w:p>
      <w:pPr>
        <w:keepNext/>
      </w:pPr>
      <w:r>
        <w:rPr>
          <w:b/>
          <w:sz w:val="18"/>
        </w:rPr>
        <w:t>送审前必须解决｜全篇表格；例表4-9、表4-13</w:t>
      </w:r>
    </w:p>
    <w:p>
      <w:r>
        <w:rPr>
          <w:b/>
        </w:rPr>
        <w:t>依据：</w:t>
      </w:r>
      <w:r>
        <w:t>DOCX共有51个顶层表格对象，其中48个同时设置上、下、左、右、内部横线和内部竖线；渲染页面也可见灰色网格与表头底纹。</w:t>
      </w:r>
    </w:p>
    <w:p>
      <w:r>
        <w:rPr>
          <w:b/>
        </w:rPr>
        <w:t>分析：</w:t>
      </w:r>
      <w:r>
        <w:t>学校规范推荐三线表，导师则明确要求三线表。当前表格未落实这项要求；算法表应另按算法排版处理。</w:t>
      </w:r>
    </w:p>
    <w:p>
      <w:r>
        <w:rPr>
          <w:b/>
        </w:rPr>
        <w:t>建议：</w:t>
      </w:r>
      <w:r>
        <w:t>把数据表统一改成规范三线表，按需要保留少量分组辅助横线；取消竖线和无必要底纹。跨页表补续表题并重复表头。</w:t>
      </w:r>
    </w:p>
    <w:p>
      <w:pPr>
        <w:pStyle w:val="Heading2"/>
      </w:pPr>
      <w:r>
        <w:t>07  引用编号和角标仍不规范</w:t>
      </w:r>
    </w:p>
    <w:p>
      <w:pPr>
        <w:keepNext/>
      </w:pPr>
      <w:r>
        <w:rPr>
          <w:b/>
          <w:sz w:val="18"/>
        </w:rPr>
        <w:t>送审前必须解决｜绪论至结论的文献引用；P0133–0141等</w:t>
      </w:r>
    </w:p>
    <w:p>
      <w:r>
        <w:rPr>
          <w:b/>
        </w:rPr>
        <w:t>依据：</w:t>
      </w:r>
      <w:r>
        <w:t>正文中参考文献首次出现顺序开头为[1]、[2]、[4]、[7]、[15]、[35]、[46]、[5]，不是顺序编码；多数普通引用以基线方括号显示。</w:t>
      </w:r>
    </w:p>
    <w:p>
      <w:r>
        <w:rPr>
          <w:b/>
        </w:rPr>
        <w:t>分析：</w:t>
      </w:r>
      <w:r>
        <w:t>学校规范要求顺序编码制按首次引用排序，常规实引采用上角标；作为语句组成部分的“文献[某编号]”可以例外。</w:t>
      </w:r>
    </w:p>
    <w:p>
      <w:r>
        <w:rPr>
          <w:b/>
        </w:rPr>
        <w:t>建议：</w:t>
      </w:r>
      <w:r>
        <w:t>按全文首次出现顺序重排文末文献并同步所有引用；合并同处多篇引用，设置普通实引上角标，保留语句组成部分的例外。不要只改文末列表。</w:t>
      </w:r>
    </w:p>
    <w:p>
      <w:pPr>
        <w:pStyle w:val="Heading2"/>
      </w:pPr>
      <w:r>
        <w:t>08  盲审附录仍存在作者定位线索和待填项</w:t>
      </w:r>
    </w:p>
    <w:p>
      <w:pPr>
        <w:keepNext/>
      </w:pPr>
      <w:r>
        <w:rPr>
          <w:b/>
          <w:sz w:val="18"/>
        </w:rPr>
        <w:t>送审前必须解决｜封面及附录C；P0008–0009、P0721；参考文献[34]</w:t>
      </w:r>
    </w:p>
    <w:p>
      <w:r>
        <w:rPr>
          <w:b/>
        </w:rPr>
        <w:t>依据：</w:t>
      </w:r>
      <w:r>
        <w:t>封面专业、研究方向仍有“待填”；附录C有“本人为第【待填】作者”和完整论文题名，并标注“对应论文的前期基础工作”；文献[34]保留了该成果的作者信息。</w:t>
      </w:r>
    </w:p>
    <w:p>
      <w:r>
        <w:rPr>
          <w:b/>
        </w:rPr>
        <w:t>分析：</w:t>
      </w:r>
      <w:r>
        <w:t>把完整成果标题与“本人”“前期工作”关联，即便局部隐去姓名，也容易反向定位作者。正常第三人称自引和主动说明作者身份是不同问题。</w:t>
      </w:r>
    </w:p>
    <w:p>
      <w:r>
        <w:rPr>
          <w:b/>
        </w:rPr>
        <w:t>建议：</w:t>
      </w:r>
      <w:r>
        <w:t>补齐应填写的非匿名字段，按学校盲审细则处理个人简历、科研与成果附录，去掉作者身份关联和待填文本；正常文献引用按匿名要求保留。不要仅因会议说“不需要附录”就删除学校明确要求的所有材料。</w:t>
      </w:r>
    </w:p>
    <w:p>
      <w:pPr>
        <w:pStyle w:val="Heading2"/>
      </w:pPr>
      <w:r>
        <w:t>09  跨任务适用性仍未进入当前版本</w:t>
      </w:r>
    </w:p>
    <w:p>
      <w:pPr>
        <w:keepNext/>
      </w:pPr>
      <w:r>
        <w:rPr>
          <w:b/>
          <w:sz w:val="18"/>
        </w:rPr>
        <w:t>应优先补强｜4.5、4.6与5.2；P0650</w:t>
      </w:r>
    </w:p>
    <w:p>
      <w:r>
        <w:rPr>
          <w:b/>
        </w:rPr>
        <w:t>依据：</w:t>
      </w:r>
      <w:r>
        <w:t>目前实验是AAEC、CDCP两种论辩语料及不同骨干，跨任务内容仅在未来工作中简短提及联合实体关系抽取、事件论元抽取。未发现此前讨论的跨任务轻量实验或完整理论迁移小节。</w:t>
      </w:r>
    </w:p>
    <w:p>
      <w:r>
        <w:rPr>
          <w:b/>
        </w:rPr>
        <w:t>分析：</w:t>
      </w:r>
      <w:r>
        <w:t>跨语料、跨骨干可以说明相应稳定性，但不能代替跨任务证据。两个创新点也并非必须使用不同任务才能成立；现有训练—推理分工和四组合分析已经有意义。</w:t>
      </w:r>
    </w:p>
    <w:p>
      <w:r>
        <w:rPr>
          <w:b/>
        </w:rPr>
        <w:t>建议：</w:t>
      </w:r>
      <w:r>
        <w:t>先补“适用条件与跨任务映射”：候选对象有限、对象得分搜索期间固定、修改依赖可枚举、约束与预算可计算。分别讨论联合实体关系、事件论元、方面级情感四元组等场景；把对象定义、依赖关系和失效条件写清。待本地有可复核结果，再加入1—2个轻量实验；模拟结果明确标为机制验证。</w:t>
      </w:r>
    </w:p>
    <w:p>
      <w:pPr>
        <w:pStyle w:val="Heading2"/>
      </w:pPr>
      <w:r>
        <w:t>10  外部系统的表达能力受到本地适配接口限制</w:t>
      </w:r>
    </w:p>
    <w:p>
      <w:pPr>
        <w:keepNext/>
      </w:pPr>
      <w:r>
        <w:rPr>
          <w:b/>
          <w:sz w:val="18"/>
        </w:rPr>
        <w:t>应优先补强｜4.6.8；P0623；表4-26、4-27</w:t>
      </w:r>
    </w:p>
    <w:p>
      <w:r>
        <w:rPr>
          <w:b/>
        </w:rPr>
        <w:t>依据：</w:t>
      </w:r>
      <w:r>
        <w:t>外部适配接口最多表示3个源组件，而CDCP测试有8条四源及以上关系；被收缩的预测记FP，完整金标记FN。</w:t>
      </w:r>
    </w:p>
    <w:p>
      <w:r>
        <w:rPr>
          <w:b/>
        </w:rPr>
        <w:t>分析：</w:t>
      </w:r>
      <w:r>
        <w:t>论文已披露这一限制，是进步。但限制来自当前适配实现，不能直接归为原方法的固有限制；相同骨干和评价器也不足以消除这种差异。</w:t>
      </w:r>
    </w:p>
    <w:p>
      <w:r>
        <w:rPr>
          <w:b/>
        </w:rPr>
        <w:t>建议：</w:t>
      </w:r>
      <w:r>
        <w:t>若原方法允许，应扩展适配接口；否则补充各系统共同可表达范围内的比较，并保留全测试集系统比较，说明两种口径分别回答什么问题。不需要据此否定已有全部性能差距。</w:t>
      </w:r>
    </w:p>
    <w:p>
      <w:pPr>
        <w:pStyle w:val="Heading2"/>
      </w:pPr>
      <w:r>
        <w:t>11  原始分类概率与校准对象分数的关系</w:t>
      </w:r>
    </w:p>
    <w:p>
      <w:pPr>
        <w:keepNext/>
      </w:pPr>
      <w:r>
        <w:rPr>
          <w:b/>
          <w:sz w:val="18"/>
        </w:rPr>
        <w:t>需要澄清｜4.3.1；表4-1、表4-4；P0431–0432、P0468、P0535</w:t>
      </w:r>
    </w:p>
    <w:p>
      <w:r>
        <w:rPr>
          <w:b/>
        </w:rPr>
        <w:t>依据：</w:t>
      </w:r>
      <w:r>
        <w:t>表4-1同一跨度的主论点得分0.898635、论点得分0.958186；前文组件头按类型与NULL分类，后文又引入独立Platt校准。</w:t>
      </w:r>
    </w:p>
    <w:p>
      <w:r>
        <w:rPr>
          <w:b/>
        </w:rPr>
        <w:t>分析：</w:t>
      </w:r>
      <w:r>
        <w:t>两数之和大于1，不能同时解释为同一次归一化分类的互斥类别概率；独立校准后不再保持和为1可以解释这一现象，因此不能仅据两数判错。</w:t>
      </w:r>
    </w:p>
    <w:p>
      <w:r>
        <w:rPr>
          <w:b/>
        </w:rPr>
        <w:t>建议：</w:t>
      </w:r>
      <w:r>
        <w:t>明确区分原始softmax输出与校准后的完整对象正确性估计，给出转换公式、校准分组以及是否重新归一化；统计解释中交代估计误差和一致性限制。</w:t>
      </w:r>
    </w:p>
    <w:p>
      <w:pPr>
        <w:pStyle w:val="Heading2"/>
      </w:pPr>
      <w:r>
        <w:t>12  前置页码、目录和摘要细节尚未收尾</w:t>
      </w:r>
    </w:p>
    <w:p>
      <w:pPr>
        <w:keepNext/>
      </w:pPr>
      <w:r>
        <w:rPr>
          <w:b/>
          <w:sz w:val="18"/>
        </w:rPr>
        <w:t>送审前必须解决｜中英文摘要、目录、缩略语表；P0037、P0044等</w:t>
      </w:r>
    </w:p>
    <w:p>
      <w:r>
        <w:rPr>
          <w:b/>
        </w:rPr>
        <w:t>依据：</w:t>
      </w:r>
      <w:r>
        <w:t>中英文关键词各6个，学校要求3—5个；中文摘要多次使用“本文”，与模板第三人称要求不符。前置部分未见连续罗马页码。兼容渲染中目录将第四、五章列为45、87页，实际正文页码为47、92。</w:t>
      </w:r>
    </w:p>
    <w:p>
      <w:r>
        <w:rPr>
          <w:b/>
        </w:rPr>
        <w:t>分析：</w:t>
      </w:r>
      <w:r>
        <w:t>关键词、人称和页码是可直接修复的问题；目录偏差需在最终Word环境更新后复核，兼容渲染分页不能直接等同于学校交稿环境。</w:t>
      </w:r>
    </w:p>
    <w:p>
      <w:r>
        <w:rPr>
          <w:b/>
        </w:rPr>
        <w:t>建议：</w:t>
      </w:r>
      <w:r>
        <w:t>精简关键词至3—5个并中英文对应；摘要改用“论文”等第三人称。设置前置罗马数字和正文阿拉伯数字分节页码；更新整份目录及交叉引用后重新导出。</w:t>
      </w:r>
    </w:p>
    <w:p>
      <w:pPr>
        <w:pStyle w:val="Heading2"/>
      </w:pPr>
      <w:r>
        <w:t>13  实际插入的模型图仍为位图且信息偏密</w:t>
      </w:r>
    </w:p>
    <w:p>
      <w:pPr>
        <w:keepNext/>
      </w:pPr>
      <w:r>
        <w:rPr>
          <w:b/>
          <w:sz w:val="18"/>
        </w:rPr>
        <w:t>应优先补强｜图1-2、图3-2、图4-1、图4-2等</w:t>
      </w:r>
    </w:p>
    <w:p>
      <w:r>
        <w:rPr>
          <w:b/>
        </w:rPr>
        <w:t>依据：</w:t>
      </w:r>
      <w:r>
        <w:t>正文实际使用的9处图片引用均指向PNG；未检测到SVG扩展引用。压缩包虽有SVG文件，但不代表正文使用了矢量图。图4-1同时铺开生成器、候选池、评分、求解与输出细节。</w:t>
      </w:r>
    </w:p>
    <w:p>
      <w:r>
        <w:rPr>
          <w:b/>
        </w:rPr>
        <w:t>分析：</w:t>
      </w:r>
      <w:r>
        <w:t>导师要求矢量图；当前模型图仍需落实。图4-1具有阶段联系，但缩到论文栏宽后标签密集。单凭图片观感不能判断是否由AI生成。</w:t>
      </w:r>
    </w:p>
    <w:p>
      <w:r>
        <w:rPr>
          <w:b/>
        </w:rPr>
        <w:t>建议：</w:t>
      </w:r>
      <w:r>
        <w:t>由可编辑源文件导出Word兼容矢量图并检查实际嵌入格式；总框架图保留输入、关键模块、输出和阶段关系，把实现细节放到子图或正文。统一图中文字与新章节术语。</w:t>
      </w:r>
    </w:p>
    <w:p>
      <w:pPr>
        <w:pStyle w:val="Heading2"/>
      </w:pPr>
      <w:r>
        <w:t>14  正文更连贯，但仍应去除口语和重复报数</w:t>
      </w:r>
    </w:p>
    <w:p>
      <w:pPr>
        <w:keepNext/>
      </w:pPr>
      <w:r>
        <w:rPr>
          <w:b/>
          <w:sz w:val="18"/>
        </w:rPr>
        <w:t>后续精修｜4.6.2、4.6.3等；P0559；表4-13与表4-14</w:t>
      </w:r>
    </w:p>
    <w:p>
      <w:r>
        <w:rPr>
          <w:b/>
        </w:rPr>
        <w:t>依据：</w:t>
      </w:r>
      <w:r>
        <w:t>“比推倒重来更为可靠”仍偏口语；误改计数与修改正确率在相邻表格中有大量重复，许多结果段落逐项转述表格。</w:t>
      </w:r>
    </w:p>
    <w:p>
      <w:r>
        <w:rPr>
          <w:b/>
        </w:rPr>
        <w:t>分析：</w:t>
      </w:r>
      <w:r>
        <w:t>相比前版，碎片化表达明显缓解，不宜再机械地把所有短句合成长句。重点应转为论点清楚、证据适量和解释充分。</w:t>
      </w:r>
    </w:p>
    <w:p>
      <w:r>
        <w:rPr>
          <w:b/>
        </w:rPr>
        <w:t>建议：</w:t>
      </w:r>
      <w:r>
        <w:t>用“重新生成完整输出”等准确表达替换口语。保留主结果和必要消融，合并重复统计，正文采用“主要发现—关键证据—原因与边界”的段落结构。</w:t>
      </w:r>
    </w:p>
    <w:p>
      <w:pPr>
        <w:pStyle w:val="Heading1"/>
      </w:pPr>
      <w:r>
        <w:t>建议保留的判断边界</w:t>
      </w:r>
    </w:p>
    <w:p>
      <w:r>
        <w:t>不建议把“一致性学习”无条件更名为“对比学习”：应由损失函数和训练机制决定术语。</w:t>
      </w:r>
    </w:p>
    <w:p>
      <w:r>
        <w:t>不建议把“依赖约束修正”更名为“思维链”：当前核心是对象评分与约束求解，而非以语言推理链作为方法主体。</w:t>
      </w:r>
    </w:p>
    <w:p>
      <w:r>
        <w:t>不建议称第四章为完全无需训练的非参数方法：评分器和提案模块有训练过程，可以准确表述为“不更新抽取生成器的推理阶段结构修正”。</w:t>
      </w:r>
    </w:p>
    <w:p>
      <w:r>
        <w:t>不必为凑两个创新点立即整体更换第四章任务。可以先保留现有主线，以跨任务适用条件和轻量验证补强通用性。</w:t>
      </w:r>
    </w:p>
    <w:p>
      <w:pPr>
        <w:pStyle w:val="Heading1"/>
      </w:pPr>
      <w:r>
        <w:t>建议修改顺序</w:t>
      </w:r>
    </w:p>
    <w:p>
      <w:r>
        <w:t>第一轮：先用本地逐文档结果核对NoRisk设置、删除FP计数和开发选参逻辑，同步修正两处过强结论；将正文中所有“已验证”判断与实际可提供的输出对齐。</w:t>
      </w:r>
    </w:p>
    <w:p>
      <w:r>
        <w:t>第二轮：确定统一标题；补充跨任务适用条件与映射。若本地轻量实验已完成，写入真实设置、结果和局限；尚未完成则只写理论分析与实验设计，不把预期效果写成结果。</w:t>
      </w:r>
    </w:p>
    <w:p>
      <w:r>
        <w:t>第三轮：用学校模板系统处理字体、字号、行段距、三线表、矢量图、引用、页眉页码；清理盲审身份线索和待填项，最后统一更新目录并导出验收。</w:t>
      </w:r>
    </w:p>
    <w:p>
      <w:r>
        <w:t>核验边界：没有复跑训练、重新统计原始预测或逐篇联网核验文献。报告中的实验疑点须用对应运行记录确认；格式属性与原文引文可直接从上传DOCX复核。</w:t>
      </w:r>
    </w:p>
    <w:sectPr w:rsidR="00FC693F" w:rsidRPr="0006063C" w:rsidSect="00034616">
      <w:footerReference w:type="default" r:id="rId9"/>
      <w:pgSz w:w="12240" w:h="15840"/>
      <w:pgMar w:top="119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7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72B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v3盲审版审阅意见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