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600"/>
        <w:jc w:val="center"/>
      </w:pPr>
      <w:r>
        <w:rPr>
          <w:rFonts w:ascii="Times New Roman" w:hAnsi="Times New Roman" w:eastAsia="Songti SC"/>
          <w:b/>
          <w:color w:val="000000"/>
          <w:sz w:val="44"/>
        </w:rPr>
        <w:t>武汉大学</w:t>
      </w:r>
    </w:p>
    <w:p>
      <w:pPr>
        <w:pStyle w:val="Subtitle"/>
        <w:jc w:val="center"/>
      </w:pPr>
      <w:r>
        <w:rPr>
          <w:rFonts w:ascii="Times New Roman" w:hAnsi="Times New Roman" w:eastAsia="Songti SC"/>
          <w:color w:val="000000"/>
          <w:sz w:val="36"/>
        </w:rPr>
        <w:t>学术型硕士学位论文</w:t>
      </w:r>
    </w:p>
    <w:p>
      <w:pPr>
        <w:pStyle w:val="Title"/>
        <w:spacing w:before="900" w:after="600"/>
      </w:pPr>
      <w:r>
        <w:t>面向关系感知学习与依赖闭合修正的</w:t>
        <w:br/>
        <w:t>端到端论辩挖掘方法研究</w:t>
      </w:r>
    </w:p>
    <w:p>
      <w:pPr>
        <w:spacing w:before="300"/>
        <w:ind w:firstLine="0"/>
        <w:jc w:val="center"/>
      </w:pPr>
      <w:r>
        <w:t>Chen Tang</w:t>
      </w:r>
    </w:p>
    <w:p>
      <w:pPr>
        <w:spacing w:before="300"/>
        <w:ind w:firstLine="0"/>
        <w:jc w:val="center"/>
      </w:pPr>
      <w:r>
        <w:t>计算机科学与技术</w:t>
      </w:r>
    </w:p>
    <w:p>
      <w:pPr>
        <w:spacing w:before="300"/>
        <w:ind w:firstLine="0"/>
        <w:jc w:val="center"/>
      </w:pPr>
      <w:r>
        <w:rPr>
          <w:rFonts w:ascii="Times New Roman" w:hAnsi="Times New Roman" w:eastAsia="Songti SC"/>
          <w:b/>
          <w:color w:val="000000"/>
          <w:sz w:val="24"/>
        </w:rPr>
        <w:t>1007-v2 修订稿　含非实测占位　勿送审</w:t>
      </w:r>
    </w:p>
    <w:p>
      <w:pPr>
        <w:spacing w:before="300"/>
        <w:ind w:firstLine="0"/>
        <w:jc w:val="center"/>
      </w:pPr>
      <w:r>
        <w:rPr>
          <w:rFonts w:ascii="Times New Roman" w:hAnsi="Times New Roman" w:eastAsia="Songti SC"/>
          <w:color w:val="000000"/>
        </w:rPr>
        <w:t>2026年10月</w:t>
      </w:r>
    </w:p>
    <w:p>
      <w:pPr>
        <w:pStyle w:val="Subtitle"/>
        <w:pageBreakBefore/>
        <w:spacing w:before="1500" w:after="300"/>
        <w:jc w:val="center"/>
      </w:pPr>
      <w:r>
        <w:rPr>
          <w:rFonts w:ascii="Times New Roman" w:hAnsi="Times New Roman" w:eastAsia="Songti SC"/>
          <w:b/>
          <w:color w:val="000000"/>
          <w:sz w:val="44"/>
        </w:rPr>
        <w:t>Wuhan University</w:t>
      </w:r>
    </w:p>
    <w:p>
      <w:pPr>
        <w:pStyle w:val="Subtitle"/>
        <w:jc w:val="center"/>
      </w:pPr>
      <w:r>
        <w:rPr>
          <w:rFonts w:ascii="Times New Roman" w:hAnsi="Times New Roman" w:eastAsia="Songti SC"/>
          <w:color w:val="000000"/>
          <w:sz w:val="36"/>
        </w:rPr>
        <w:t>Academic Master's Thesis</w:t>
      </w:r>
    </w:p>
    <w:p>
      <w:pPr>
        <w:pStyle w:val="Title"/>
        <w:spacing w:before="1100" w:after="900"/>
        <w:jc w:val="center"/>
      </w:pPr>
      <w:r>
        <w:rPr>
          <w:rFonts w:ascii="Times New Roman" w:hAnsi="Times New Roman" w:eastAsia="Songti SC"/>
          <w:b/>
          <w:color w:val="000000"/>
          <w:sz w:val="40"/>
        </w:rPr>
        <w:t>End-to-End Argument Mining via</w:t>
        <w:br/>
        <w:t>Relation-Aware Learning and</w:t>
        <w:br/>
        <w:t>Dependency-Closed Repair</w:t>
      </w:r>
    </w:p>
    <w:p>
      <w:pPr>
        <w:spacing w:before="360"/>
        <w:ind w:firstLine="0"/>
        <w:jc w:val="center"/>
      </w:pPr>
      <w:r>
        <w:rPr>
          <w:rFonts w:ascii="Times New Roman" w:hAnsi="Times New Roman" w:eastAsia="Songti SC"/>
          <w:color w:val="000000"/>
          <w:sz w:val="28"/>
        </w:rPr>
        <w:t>Chen Tang</w:t>
      </w:r>
    </w:p>
    <w:p>
      <w:pPr>
        <w:spacing w:before="360"/>
        <w:ind w:firstLine="0"/>
        <w:jc w:val="center"/>
      </w:pPr>
      <w:r>
        <w:rPr>
          <w:rFonts w:ascii="Times New Roman" w:hAnsi="Times New Roman" w:eastAsia="Songti SC"/>
          <w:color w:val="000000"/>
          <w:sz w:val="28"/>
        </w:rPr>
        <w:t>Computer Science and Technology</w:t>
      </w:r>
    </w:p>
    <w:p>
      <w:pPr>
        <w:spacing w:before="360"/>
        <w:ind w:firstLine="0"/>
        <w:jc w:val="center"/>
      </w:pPr>
      <w:r>
        <w:rPr>
          <w:rFonts w:ascii="Times New Roman" w:hAnsi="Times New Roman" w:eastAsia="Songti SC"/>
          <w:color w:val="000000"/>
          <w:sz w:val="28"/>
        </w:rPr>
        <w:t>October 2026</w:t>
      </w:r>
    </w:p>
    <w:p>
      <w:pPr>
        <w:sectPr>
          <w:headerReference w:type="default" r:id="rId46"/>
          <w:footerReference w:type="default" r:id="rId47"/>
          <w:pgSz w:w="11906" w:h="16838"/>
          <w:pgMar w:top="1417" w:right="1417" w:bottom="1417" w:left="1587" w:header="737" w:footer="737" w:gutter="0"/>
          <w:cols w:space="720"/>
        </w:sectPr>
      </w:pPr>
    </w:p>
    <w:p>
      <w:pPr>
        <w:pStyle w:val="FrontContents"/>
        <w:pageBreakBefore w:val="0"/>
      </w:pPr>
      <w:r>
        <w:t>摘要</w:t>
      </w:r>
      <w:bookmarkStart w:id="10" w:name="v2_10"/>
      <w:bookmarkEnd w:id="10"/>
    </w:p>
    <w:p>
      <w:r>
        <w:rPr>
          <w:rFonts w:ascii="Times New Roman" w:hAnsi="Times New Roman" w:eastAsia="Songti SC"/>
          <w:color w:val="000000"/>
        </w:rPr>
        <w:t>本文件仅用于内部验证新构建器的目录、公式和表格排版。</w:t>
      </w:r>
    </w:p>
    <w:p>
      <w:pPr>
        <w:pStyle w:val="FrontContents"/>
      </w:pPr>
      <w:r>
        <w:t>Abstract</w:t>
      </w:r>
      <w:bookmarkStart w:id="11" w:name="v2_11"/>
      <w:bookmarkEnd w:id="11"/>
    </w:p>
    <w:p>
      <w:pPr>
        <w:spacing w:line="320" w:lineRule="exact" w:after="100"/>
      </w:pPr>
      <w:r>
        <w:rPr>
          <w:rFonts w:ascii="Times New Roman" w:hAnsi="Times New Roman" w:eastAsia="Songti SC"/>
          <w:color w:val="000000"/>
        </w:rPr>
        <w:t>This internal fixture tests native fields and layout only.</w:t>
      </w:r>
    </w:p>
    <w:p>
      <w:pPr>
        <w:pStyle w:val="FrontHeading"/>
      </w:pPr>
      <w:r>
        <w:t>目录</w:t>
      </w:r>
    </w:p>
    <w:p>
      <w:pPr>
        <w:pStyle w:val="TOC1"/>
      </w:pPr>
      <w:r>
        <w:fldChar w:fldCharType="begin"/>
      </w:r>
      <w:r>
        <w:instrText xml:space="preserve"> TOC \o "1-3" \h \z \t "Front Contents,1" </w:instrText>
      </w:r>
      <w:r>
        <w:fldChar w:fldCharType="separate"/>
      </w:r>
      <w:hyperlink w:anchor="v2_10" w:history="1">
        <w:r>
          <w:rPr>
            <w:rFonts w:ascii="Times New Roman" w:hAnsi="Times New Roman" w:eastAsia="Songti SC"/>
            <w:color w:val="000000"/>
            <w:sz w:val="22"/>
          </w:rPr>
          <w:t>摘要</w:t>
        </w:r>
        <w:r>
          <w:rPr>
            <w:rFonts w:ascii="Times New Roman" w:hAnsi="Times New Roman" w:eastAsia="Songti SC"/>
            <w:color w:val="000000"/>
            <w:sz w:val="22"/>
          </w:rPr>
          <w:tab/>
          <w:t>I</w:t>
        </w:r>
      </w:hyperlink>
    </w:p>
    <w:p>
      <w:pPr>
        <w:pStyle w:val="TOC1"/>
      </w:pPr>
      <w:hyperlink w:anchor="v2_11" w:history="1">
        <w:r>
          <w:rPr>
            <w:rFonts w:ascii="Times New Roman" w:hAnsi="Times New Roman" w:eastAsia="Songti SC"/>
            <w:color w:val="000000"/>
            <w:sz w:val="22"/>
          </w:rPr>
          <w:t>Abstract</w:t>
        </w:r>
        <w:r>
          <w:rPr>
            <w:rFonts w:ascii="Times New Roman" w:hAnsi="Times New Roman" w:eastAsia="Songti SC"/>
            <w:color w:val="000000"/>
            <w:sz w:val="22"/>
          </w:rPr>
          <w:tab/>
          <w:t>II</w:t>
        </w:r>
      </w:hyperlink>
    </w:p>
    <w:p>
      <w:pPr>
        <w:pStyle w:val="TOC1"/>
      </w:pPr>
      <w:hyperlink w:anchor="v2_12" w:history="1">
        <w:r>
          <w:rPr>
            <w:rFonts w:ascii="Times New Roman" w:hAnsi="Times New Roman" w:eastAsia="Songti SC"/>
            <w:color w:val="000000"/>
            <w:sz w:val="22"/>
          </w:rPr>
          <w:t>第一章 绪论</w:t>
        </w:r>
        <w:r>
          <w:rPr>
            <w:rFonts w:ascii="Times New Roman" w:hAnsi="Times New Roman" w:eastAsia="Songti SC"/>
            <w:color w:val="000000"/>
            <w:sz w:val="22"/>
          </w:rPr>
          <w:tab/>
          <w:t>1</w:t>
        </w:r>
      </w:hyperlink>
    </w:p>
    <w:p>
      <w:pPr>
        <w:pStyle w:val="TOC2"/>
      </w:pPr>
      <w:hyperlink w:anchor="v2_13" w:history="1">
        <w:r>
          <w:rPr>
            <w:rFonts w:ascii="Times New Roman" w:hAnsi="Times New Roman" w:eastAsia="Songti SC"/>
            <w:color w:val="000000"/>
            <w:sz w:val="22"/>
          </w:rPr>
          <w:t>1.1 研究问题</w:t>
        </w:r>
        <w:r>
          <w:rPr>
            <w:rFonts w:ascii="Times New Roman" w:hAnsi="Times New Roman" w:eastAsia="Songti SC"/>
            <w:color w:val="000000"/>
            <w:sz w:val="22"/>
          </w:rPr>
          <w:tab/>
          <w:t>1</w:t>
        </w:r>
      </w:hyperlink>
    </w:p>
    <w:p>
      <w:pPr>
        <w:pStyle w:val="TOC3"/>
      </w:pPr>
      <w:hyperlink w:anchor="v2_14" w:history="1">
        <w:r>
          <w:rPr>
            <w:rFonts w:ascii="Times New Roman" w:hAnsi="Times New Roman" w:eastAsia="Songti SC"/>
            <w:color w:val="000000"/>
            <w:sz w:val="22"/>
          </w:rPr>
          <w:t>1.1.1 组件依赖</w:t>
        </w:r>
        <w:r>
          <w:rPr>
            <w:rFonts w:ascii="Times New Roman" w:hAnsi="Times New Roman" w:eastAsia="Songti SC"/>
            <w:color w:val="000000"/>
            <w:sz w:val="22"/>
          </w:rPr>
          <w:tab/>
          <w:t>1</w:t>
        </w:r>
      </w:hyperlink>
    </w:p>
    <w:p>
      <w:pPr>
        <w:pStyle w:val="TOC1"/>
      </w:pPr>
      <w:hyperlink w:anchor="v2_15" w:history="1">
        <w:r>
          <w:rPr>
            <w:rFonts w:ascii="Times New Roman" w:hAnsi="Times New Roman" w:eastAsia="Songti SC"/>
            <w:color w:val="000000"/>
            <w:sz w:val="22"/>
          </w:rPr>
          <w:t>第二章 任务表示</w:t>
        </w:r>
        <w:r>
          <w:rPr>
            <w:rFonts w:ascii="Times New Roman" w:hAnsi="Times New Roman" w:eastAsia="Songti SC"/>
            <w:color w:val="000000"/>
            <w:sz w:val="22"/>
          </w:rPr>
          <w:tab/>
          <w:t>2</w:t>
        </w:r>
      </w:hyperlink>
    </w:p>
    <w:p>
      <w:pPr>
        <w:pStyle w:val="TOC2"/>
      </w:pPr>
      <w:hyperlink w:anchor="v2_16" w:history="1">
        <w:r>
          <w:rPr>
            <w:rFonts w:ascii="Times New Roman" w:hAnsi="Times New Roman" w:eastAsia="Songti SC"/>
            <w:color w:val="000000"/>
            <w:sz w:val="22"/>
          </w:rPr>
          <w:t>2.1 公式分章</w:t>
        </w:r>
        <w:r>
          <w:rPr>
            <w:rFonts w:ascii="Times New Roman" w:hAnsi="Times New Roman" w:eastAsia="Songti SC"/>
            <w:color w:val="000000"/>
            <w:sz w:val="22"/>
          </w:rPr>
          <w:tab/>
          <w:t>2</w:t>
        </w:r>
      </w:hyperlink>
      <w:r>
        <w:fldChar w:fldCharType="end"/>
      </w:r>
    </w:p>
    <w:p>
      <w:pPr>
        <w:pStyle w:val="FrontHeading"/>
      </w:pPr>
      <w:r>
        <w:t>图目录</w:t>
      </w:r>
    </w:p>
    <w:p>
      <w:pPr>
        <w:pStyle w:val="FrontHeading"/>
      </w:pPr>
      <w:r>
        <w:t>表目录</w:t>
      </w:r>
    </w:p>
    <w:p>
      <w:pPr>
        <w:pStyle w:val="TOC1"/>
      </w:pPr>
      <w:r>
        <w:fldChar w:fldCharType="begin"/>
      </w:r>
      <w:r>
        <w:instrText xml:space="preserve"> TOC \h \z \t "Table Caption,1" </w:instrText>
      </w:r>
      <w:r>
        <w:fldChar w:fldCharType="separate"/>
      </w:r>
      <w:hyperlink w:anchor="v2_17" w:history="1">
        <w:r>
          <w:rPr>
            <w:rFonts w:ascii="Times New Roman" w:hAnsi="Times New Roman" w:eastAsia="Songti SC"/>
            <w:color w:val="000000"/>
            <w:sz w:val="22"/>
          </w:rPr>
          <w:t>表1-1 内部排版测试</w:t>
        </w:r>
        <w:r>
          <w:rPr>
            <w:rFonts w:ascii="Times New Roman" w:hAnsi="Times New Roman" w:eastAsia="Songti SC"/>
            <w:color w:val="000000"/>
            <w:sz w:val="22"/>
          </w:rPr>
          <w:tab/>
          <w:t>1</w:t>
        </w:r>
      </w:hyperlink>
      <w:r>
        <w:fldChar w:fldCharType="end"/>
      </w:r>
    </w:p>
    <w:p>
      <w:pPr>
        <w:sectPr>
          <w:headerReference w:type="default" r:id="rId70"/>
          <w:footerReference w:type="default" r:id="rId71"/>
          <w:pgSz w:w="11906" w:h="16838"/>
          <w:pgMar w:top="1417" w:right="1417" w:bottom="1417" w:left="1587" w:header="737" w:footer="737" w:gutter="0"/>
          <w:cols w:space="720"/>
          <w:pgNumType w:start="1" w:fmt="upperRoman"/>
        </w:sectPr>
      </w:pPr>
    </w:p>
    <w:p>
      <w:pPr>
        <w:pStyle w:val="Heading1"/>
        <w:pageBreakBefore w:val="0"/>
      </w:pPr>
      <w:r>
        <w:t>第一章 绪论</w:t>
      </w:r>
      <w:bookmarkStart w:id="12" w:name="v2_12"/>
      <w:bookmarkEnd w:id="12"/>
    </w:p>
    <w:p>
      <w:pPr>
        <w:pStyle w:val="Heading2"/>
      </w:pPr>
      <w:r>
        <w:t>1.1 研究问题</w:t>
      </w:r>
      <w:bookmarkStart w:id="13" w:name="v2_13"/>
      <w:bookmarkEnd w:id="13"/>
    </w:p>
    <w:p>
      <w:pPr>
        <w:pStyle w:val="Heading3"/>
      </w:pPr>
      <w:r>
        <w:t>1.1.1 组件依赖</w:t>
      </w:r>
      <w:bookmarkStart w:id="14" w:name="v2_14"/>
      <w:bookmarkEnd w:id="14"/>
    </w:p>
    <w:p>
      <w:r>
        <w:rPr>
          <w:rFonts w:ascii="Times New Roman" w:hAnsi="Times New Roman" w:eastAsia="Songti SC"/>
          <w:color w:val="000000"/>
        </w:rPr>
        <w:t>公式居中，编号独立靠右。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𝒢</m:t>
              </m:r>
              <m:r>
                <m:t xml:space="preserve">=</m:t>
              </m:r>
              <m:r>
                <m:t xml:space="preserve">(</m:t>
              </m:r>
              <m:r>
                <m:t xml:space="preserve">𝒱</m:t>
              </m:r>
              <m:r>
                <m:t xml:space="preserve">,</m:t>
              </m:r>
              <m:r>
                <m:t xml:space="preserve">ℛ</m:t>
              </m:r>
              <m:r>
                <m:t xml:space="preserve">)</m:t>
              </m:r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r>
                <m:t xml:space="preserve">Δ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≥</m:t>
              </m:r>
              <m:r>
                <m:t xml:space="preserve">0</m:t>
              </m:r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r>
                <m:t xml:space="preserve">Δ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≥</m:t>
              </m:r>
              <m:r>
                <m:t xml:space="preserve">0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(1-1)</w:t>
            </w:r>
          </w:p>
        </w:tc>
      </w:tr>
    </w:tbl>
    <w:p>
      <w:pPr>
        <w:pStyle w:val="TableCaption"/>
      </w:pPr>
      <w:r>
        <w:rPr>
          <w:rFonts w:ascii="Times New Roman" w:hAnsi="Times New Roman" w:eastAsia="Songti SC"/>
          <w:color w:val="000000"/>
          <w:sz w:val="21"/>
        </w:rPr>
        <w:t>表1-1 内部排版测试</w:t>
      </w:r>
      <w:bookmarkStart w:id="17" w:name="v2_17"/>
      <w:bookmarkEnd w:id="17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098"/>
        <w:gridCol w:w="2778"/>
        <w:gridCol w:w="4025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bottom w:val="single" w:sz="5" w:color="000000"/>
            </w:tcBorders>
          </w:tcPr>
          <w:p>
            <w:pPr>
              <w:keepNext/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bottom w:val="single" w:sz="5" w:color="000000"/>
            </w:tcBorders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bottom w:val="single" w:sz="5" w:color="000000"/>
            </w:tcBorders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关系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A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1.0P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2.0P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B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3.0P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4.0P</w:t>
            </w:r>
          </w:p>
        </w:tc>
      </w:tr>
    </w:tbl>
    <w:p>
      <w:pPr>
        <w:spacing w:after="0" w:line="240" w:lineRule="auto"/>
      </w:pPr>
    </w:p>
    <w:p>
      <w:pPr>
        <w:pStyle w:val="AlgorithmCaption"/>
      </w:pPr>
      <w:r>
        <w:rPr>
          <w:rFonts w:ascii="Times New Roman" w:hAnsi="Times New Roman" w:eastAsia="Songti SC"/>
          <w:color w:val="000000"/>
          <w:sz w:val="21"/>
        </w:rPr>
        <w:t>算法1-1 内部算法排版测试</w:t>
      </w:r>
      <w:bookmarkStart w:id="18" w:name="v2_18"/>
      <w:bookmarkEnd w:id="18"/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  <w:pBdr>
          <w:top w:val="single" w:sz="4" w:color="000000" w:space="4"/>
        </w:pBdr>
      </w:pPr>
      <w:r>
        <w:rPr>
          <w:rFonts w:ascii="Times New Roman" w:hAnsi="Times New Roman" w:eastAsia="Songti SC"/>
          <w:color w:val="000000"/>
          <w:sz w:val="21"/>
        </w:rPr>
        <w:tab/>
        <w:t>输入：固定候选与原始图。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ab/>
        <w:t>输出：保持约束的完整图。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</w:t>
        <w:tab/>
        <w:t>读取输入并固定评分。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</w:t>
        <w:tab/>
        <w:t>若提案不满足约束，则保留原状态。</w:t>
      </w:r>
    </w:p>
    <w:p>
      <w:pPr>
        <w:pStyle w:val="AlgorithmLine"/>
        <w:keepNext w:val="0"/>
        <w:tabs>
          <w:tab w:pos="397" w:val="left"/>
        </w:tabs>
        <w:spacing w:line="300" w:lineRule="exact" w:after="20"/>
        <w:ind w:left="397" w:hanging="397"/>
        <w:pBdr>
          <w:bottom w:val="single" w:sz="4" w:color="000000" w:space="4"/>
        </w:pBdr>
      </w:pPr>
      <w:r>
        <w:rPr>
          <w:rFonts w:ascii="Times New Roman" w:hAnsi="Times New Roman" w:eastAsia="Songti SC"/>
          <w:color w:val="000000"/>
          <w:sz w:val="21"/>
        </w:rPr>
        <w:t>3</w:t>
        <w:tab/>
        <w:t>返回完整图。</w:t>
      </w:r>
    </w:p>
    <w:p>
      <w:pPr>
        <w:pStyle w:val="Heading1"/>
      </w:pPr>
      <w:r>
        <w:t>第二章 任务表示</w:t>
      </w:r>
      <w:bookmarkStart w:id="15" w:name="v2_15"/>
      <w:bookmarkEnd w:id="15"/>
    </w:p>
    <w:p>
      <w:pPr>
        <w:pStyle w:val="Heading2"/>
      </w:pPr>
      <w:r>
        <w:t>2.1 公式分章</w:t>
      </w:r>
      <w:bookmarkStart w:id="16" w:name="v2_16"/>
      <w:bookmarkEnd w:id="16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∑</m:t>
                  </m:r>
                </m:e>
                <m:sub>
                  <m:r>
                    <m:t xml:space="preserve">t</m:t>
                  </m:r>
                  <m:r>
                    <m:t xml:space="preserve">∈</m:t>
                  </m:r>
                  <m:r>
                    <m:t xml:space="preserve">S</m:t>
                  </m:r>
                  <m:r>
                    <m:t xml:space="preserve">(</m:t>
                  </m:r>
                  <m:r>
                    <m:t xml:space="preserve">u</m:t>
                  </m:r>
                  <m:r>
                    <m:t xml:space="preserve">)</m:t>
                  </m:r>
                </m:sub>
              </m:sSub>
              <m:sSub>
                <m:e>
                  <m:r>
                    <m:t xml:space="preserve">z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≤</m:t>
              </m:r>
              <m:r>
                <m:t xml:space="preserve">1</m:t>
              </m:r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≤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sty m:val="p"/>
                </m:rPr>
                <m:t xml:space="preserve"> </m:t>
              </m:r>
              <m:r>
                <m:t xml:space="preserve">∀</m:t>
              </m:r>
              <m:r>
                <m:t xml:space="preserve">c</m:t>
              </m:r>
              <m:r>
                <m:t xml:space="preserve">∈</m:t>
              </m:r>
              <m:r>
                <m:rPr>
                  <m:sty m:val="p"/>
                </m:rPr>
                <m:t xml:space="preserve">Ends</m:t>
              </m:r>
              <m:r>
                <m:t xml:space="preserve">(</m:t>
              </m:r>
              <m:r>
                <m:t xml:space="preserve">r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(2-1)</w:t>
            </w:r>
          </w:p>
        </w:tc>
      </w:tr>
    </w:tbl>
    <w:sectPr>
      <w:headerReference w:type="default" r:id="rId72"/>
      <w:footerReference w:type="default" r:id="rId73"/>
      <w:pgSz w:w="11906" w:h="16838"/>
      <w:pgMar w:top="1417" w:right="1417" w:bottom="1417" w:left="1587" w:header="737" w:footer="737" w:gutter="0"/>
      <w:cols w:space="72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>
      <w:r>
        <w:t>I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0914-v3修订工作稿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0915-v1修订工作稿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0920-v1修订稿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0923-v1 预期数值占位稿 非实测 勿送审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1007-v1 完整修订稿 含非实测占位 勿送审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STIX Two Math"/>
  </m:mathPr>
  <w:themeFontLang w:val="en-US" w:eastAsia="zh-CN"/>
  <m:mathPr>
    <m:mathFont m:val="STIX Two Math"/>
  </m:mathPr>
  <w:themeFontLang w:val="en-US" w:eastAsia="zh-C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410" w:lineRule="exact" w:after="40"/>
      <w:ind w:firstLine="480"/>
      <w:snapToGrid w:val="0"/>
    </w:pPr>
    <w:rPr>
      <w:rFonts w:ascii="Times New Roman" w:hAnsi="Times New Roman" w:eastAsia="Songti SC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00" w:lineRule="auto"/>
      <w:ind w:firstLine="0"/>
      <w:jc w:val="center"/>
      <w:outlineLvl w:val="0"/>
      <w:pageBreakBefore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1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2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snapToGrid w:val="0"/>
      <w:jc w:val="center"/>
      <w:snapToGrid w:val="0"/>
    </w:pPr>
    <w:rPr>
      <w:rFonts w:cstheme="majorBidi" w:ascii="Times New Roman" w:hAnsi="Times New Roman" w:eastAsia="Hiragino Sans GB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napToGrid w:val="0"/>
    </w:pPr>
    <w:rPr>
      <w:rFonts w:cstheme="majorBidi" w:ascii="Times New Roman" w:hAnsi="Times New Roman" w:eastAsia="Song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rontContents">
    <w:name w:val="Front Contents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igureCaption">
    <w:name w:val="Figure Caption"/>
    <w:basedOn w:val="Normal"/>
    <w:pPr>
      <w:keepNext w:val="0"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ableCaption">
    <w:name w:val="Table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AlgorithmCaption">
    <w:name w:val="Algorithm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/>
      <w:color w:val="000000"/>
      <w:sz w:val="21"/>
    </w:rPr>
  </w:style>
  <w:style w:type="paragraph" w:customStyle="1" w:styleId="AlgorithmLine">
    <w:name w:val="Algorithm Line"/>
    <w:basedOn w:val="Normal"/>
    <w:pPr>
      <w:keepNext/>
      <w:keepLines/>
      <w:spacing w:before="0" w:after="140" w:line="276" w:lineRule="auto"/>
      <w:ind w:firstLine="0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OC1">
    <w:name w:val="TOC 1"/>
    <w:basedOn w:val="Normal"/>
    <w:pPr>
      <w:keepNext w:val="0"/>
      <w:tabs>
        <w:tab w:pos="8902" w:val="right" w:leader="dot"/>
      </w:tabs>
      <w:spacing w:after="60" w:line="320" w:lineRule="exact"/>
      <w:ind w:firstLine="0" w:left="0" w:right="510"/>
    </w:pPr>
    <w:rPr>
      <w:b/>
      <w:color w:val="000000"/>
      <w:sz w:val="22"/>
    </w:rPr>
  </w:style>
  <w:style w:type="paragraph" w:customStyle="1" w:styleId="TOC2">
    <w:name w:val="TOC 2"/>
    <w:basedOn w:val="Normal"/>
    <w:pPr>
      <w:keepNext w:val="0"/>
      <w:tabs>
        <w:tab w:pos="8902" w:val="right" w:leader="dot"/>
      </w:tabs>
      <w:spacing w:after="20" w:line="320" w:lineRule="exact"/>
      <w:ind w:firstLine="0" w:left="283" w:right="510"/>
    </w:pPr>
    <w:rPr>
      <w:b w:val="0"/>
      <w:color w:val="000000"/>
      <w:sz w:val="22"/>
    </w:rPr>
  </w:style>
  <w:style w:type="paragraph" w:customStyle="1" w:styleId="TOC3">
    <w:name w:val="TOC 3"/>
    <w:basedOn w:val="Normal"/>
    <w:pPr>
      <w:keepNext w:val="0"/>
      <w:tabs>
        <w:tab w:pos="8902" w:val="right" w:leader="dot"/>
      </w:tabs>
      <w:spacing w:after="20" w:line="320" w:lineRule="exact"/>
      <w:ind w:firstLine="0" w:left="567" w:right="510"/>
    </w:pPr>
    <w:rPr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lanthology.org/J19-4006/" TargetMode="External"/><Relationship Id="rId12" Type="http://schemas.openxmlformats.org/officeDocument/2006/relationships/hyperlink" Target="https://aclanthology.org/J17-3005/" TargetMode="External"/><Relationship Id="rId13" Type="http://schemas.openxmlformats.org/officeDocument/2006/relationships/hyperlink" Target="https://aclanthology.org/L18-1257/" TargetMode="External"/><Relationship Id="rId14" Type="http://schemas.openxmlformats.org/officeDocument/2006/relationships/hyperlink" Target="https://aclanthology.org/P17-1002/" TargetMode="External"/><Relationship Id="rId15" Type="http://schemas.openxmlformats.org/officeDocument/2006/relationships/hyperlink" Target="https://aclanthology.org/2020.acl-main.298/" TargetMode="External"/><Relationship Id="rId16" Type="http://schemas.openxmlformats.org/officeDocument/2006/relationships/hyperlink" Target="https://aclanthology.org/2026.findings-eacl.272/" TargetMode="External"/><Relationship Id="rId17" Type="http://schemas.openxmlformats.org/officeDocument/2006/relationships/hyperlink" Target="https://aclanthology.org/2024.eacl-long.121/" TargetMode="External"/><Relationship Id="rId18" Type="http://schemas.openxmlformats.org/officeDocument/2006/relationships/hyperlink" Target="https://aclanthology.org/2025.coling-main.442/" TargetMode="External"/><Relationship Id="rId19" Type="http://schemas.openxmlformats.org/officeDocument/2006/relationships/hyperlink" Target="https://arxiv.org/abs/2510.16363v1" TargetMode="External"/><Relationship Id="rId20" Type="http://schemas.openxmlformats.org/officeDocument/2006/relationships/hyperlink" Target="https://ojs.aaai.org/index.php/AAAI/article/view/42335" TargetMode="External"/><Relationship Id="rId21" Type="http://schemas.openxmlformats.org/officeDocument/2006/relationships/hyperlink" Target="https://arxiv.org/abs/2506.16383v6" TargetMode="External"/><Relationship Id="rId22" Type="http://schemas.openxmlformats.org/officeDocument/2006/relationships/hyperlink" Target="https://aclanthology.org/2024.findings-acl.689/" TargetMode="External"/><Relationship Id="rId23" Type="http://schemas.openxmlformats.org/officeDocument/2006/relationships/hyperlink" Target="https://aclanthology.org/2025.findings-naacl.319/" TargetMode="External"/><Relationship Id="rId24" Type="http://schemas.openxmlformats.org/officeDocument/2006/relationships/hyperlink" Target="https://aclanthology.org/2025.acl-long.691/" TargetMode="External"/><Relationship Id="rId25" Type="http://schemas.openxmlformats.org/officeDocument/2006/relationships/hyperlink" Target="https://aclanthology.org/2024.findings-acl.97/" TargetMode="External"/><Relationship Id="rId26" Type="http://schemas.openxmlformats.org/officeDocument/2006/relationships/hyperlink" Target="https://aclanthology.org/2024.findings-naacl.238/" TargetMode="External"/><Relationship Id="rId27" Type="http://schemas.openxmlformats.org/officeDocument/2006/relationships/hyperlink" Target="https://arxiv.org/abs/2311.09505v1" TargetMode="External"/><Relationship Id="rId28" Type="http://schemas.openxmlformats.org/officeDocument/2006/relationships/hyperlink" Target="https://aclanthology.org/2026.fever-1.1/" TargetMode="External"/><Relationship Id="rId29" Type="http://schemas.openxmlformats.org/officeDocument/2006/relationships/hyperlink" Target="https://aclanthology.org/2023.emnlp-main.674/" TargetMode="External"/><Relationship Id="rId30" Type="http://schemas.openxmlformats.org/officeDocument/2006/relationships/hyperlink" Target="https://arxiv.org/abs/2303.17651v2" TargetMode="External"/><Relationship Id="rId31" Type="http://schemas.openxmlformats.org/officeDocument/2006/relationships/hyperlink" Target="https://arxiv.org/abs/2310.01798v2" TargetMode="External"/><Relationship Id="rId32" Type="http://schemas.openxmlformats.org/officeDocument/2006/relationships/hyperlink" Target="https://arxiv.org/abs/2203.11171v4" TargetMode="External"/><Relationship Id="rId33" Type="http://schemas.openxmlformats.org/officeDocument/2006/relationships/hyperlink" Target="https://aclanthology.org/2025.aimecon-main.13/" TargetMode="External"/><Relationship Id="rId34" Type="http://schemas.openxmlformats.org/officeDocument/2006/relationships/hyperlink" Target="https://proceedings.mlr.press/v337/xiao26a.html" TargetMode="External"/><Relationship Id="rId35" Type="http://schemas.openxmlformats.org/officeDocument/2006/relationships/hyperlink" Target="https://aclanthology.org/2022.tacl-1.37/" TargetMode="External"/><Relationship Id="rId36" Type="http://schemas.openxmlformats.org/officeDocument/2006/relationships/hyperlink" Target="https://journals.sagepub.com/doi/10.1177/19462174251413169" TargetMode="External"/><Relationship Id="rId37" Type="http://schemas.openxmlformats.org/officeDocument/2006/relationships/hyperlink" Target="https://aclanthology.org/2025.acl-long.1164/" TargetMode="External"/><Relationship Id="rId38" Type="http://schemas.openxmlformats.org/officeDocument/2006/relationships/hyperlink" Target="https://aclanthology.org/2023.emnlp-main.582/" TargetMode="External"/><Relationship Id="rId39" Type="http://schemas.openxmlformats.org/officeDocument/2006/relationships/hyperlink" Target="https://aclanthology.org/2022.acl-long.162/" TargetMode="External"/><Relationship Id="rId40" Type="http://schemas.openxmlformats.org/officeDocument/2006/relationships/hyperlink" Target="https://arxiv.org/abs/1706.03762" TargetMode="External"/><Relationship Id="rId41" Type="http://schemas.openxmlformats.org/officeDocument/2006/relationships/hyperlink" Target="https://arxiv.org/abs/2412.15115" TargetMode="External"/><Relationship Id="rId42" Type="http://schemas.openxmlformats.org/officeDocument/2006/relationships/hyperlink" Target="https://arxiv.org/abs/2106.09685" TargetMode="External"/><Relationship Id="rId43" Type="http://schemas.openxmlformats.org/officeDocument/2006/relationships/hyperlink" Target="https://aclanthology.org/2021.emnlp-main.243/" TargetMode="External"/><Relationship Id="rId44" Type="http://schemas.openxmlformats.org/officeDocument/2006/relationships/header" Target="header2.xml"/><Relationship Id="rId45" Type="http://schemas.openxmlformats.org/officeDocument/2006/relationships/footer" Target="footer2.xml"/><Relationship Id="rId46" Type="http://schemas.openxmlformats.org/officeDocument/2006/relationships/header" Target="header3.xml"/><Relationship Id="rId47" Type="http://schemas.openxmlformats.org/officeDocument/2006/relationships/footer" Target="footer3.xml"/><Relationship Id="rId48" Type="http://schemas.openxmlformats.org/officeDocument/2006/relationships/header" Target="header4.xml"/><Relationship Id="rId49" Type="http://schemas.openxmlformats.org/officeDocument/2006/relationships/footer" Target="footer4.xml"/><Relationship Id="rId50" Type="http://schemas.openxmlformats.org/officeDocument/2006/relationships/hyperlink" Target="http://poster-openaccess.com/article_detail.php?paper_id=5295&amp;conf=ICIC&amp;year=2026" TargetMode="External"/><Relationship Id="rId51" Type="http://schemas.openxmlformats.org/officeDocument/2006/relationships/hyperlink" Target="https://aclanthology.org/2025.emnlp-main.1351/" TargetMode="External"/><Relationship Id="rId52" Type="http://schemas.openxmlformats.org/officeDocument/2006/relationships/hyperlink" Target="https://doi.org/10.1145/3799423" TargetMode="External"/><Relationship Id="rId53" Type="http://schemas.openxmlformats.org/officeDocument/2006/relationships/hyperlink" Target="https://aclanthology.org/2024.findings-emnlp.672/" TargetMode="External"/><Relationship Id="rId54" Type="http://schemas.openxmlformats.org/officeDocument/2006/relationships/hyperlink" Target="https://www.ijcai.org/proceedings/2024/736" TargetMode="External"/><Relationship Id="rId55" Type="http://schemas.openxmlformats.org/officeDocument/2006/relationships/hyperlink" Target="https://aclanthology.org/2025.findings-acl.15/" TargetMode="External"/><Relationship Id="rId56" Type="http://schemas.openxmlformats.org/officeDocument/2006/relationships/hyperlink" Target="https://journals.sagepub.com/doi/10.3233/AAC-230008" TargetMode="External"/><Relationship Id="rId57" Type="http://schemas.openxmlformats.org/officeDocument/2006/relationships/hyperlink" Target="https://jmlr.org/papers/v15/waegeman14a.html" TargetMode="External"/><Relationship Id="rId58" Type="http://schemas.openxmlformats.org/officeDocument/2006/relationships/hyperlink" Target="https://arxiv.org/abs/1402.1892v2" TargetMode="External"/><Relationship Id="rId59" Type="http://schemas.openxmlformats.org/officeDocument/2006/relationships/hyperlink" Target="https://aclanthology.org/2025.coling-main.491/" TargetMode="External"/><Relationship Id="rId60" Type="http://schemas.openxmlformats.org/officeDocument/2006/relationships/hyperlink" Target="https://arxiv.org/abs/2605.13793v1" TargetMode="External"/><Relationship Id="rId61" Type="http://schemas.openxmlformats.org/officeDocument/2006/relationships/hyperlink" Target="https://proceedings.mlr.press/v70/guo17a.html" TargetMode="External"/><Relationship Id="rId62" Type="http://schemas.openxmlformats.org/officeDocument/2006/relationships/hyperlink" Target="https://aclanthology.org/P17-1091/" TargetMode="External"/><Relationship Id="rId63" Type="http://schemas.openxmlformats.org/officeDocument/2006/relationships/header" Target="header5.xml"/><Relationship Id="rId64" Type="http://schemas.openxmlformats.org/officeDocument/2006/relationships/footer" Target="footer5.xml"/><Relationship Id="rId65" Type="http://schemas.openxmlformats.org/officeDocument/2006/relationships/header" Target="header6.xml"/><Relationship Id="rId66" Type="http://schemas.openxmlformats.org/officeDocument/2006/relationships/footer" Target="footer6.xml"/><Relationship Id="rId67" Type="http://schemas.openxmlformats.org/officeDocument/2006/relationships/image" Target="media/image1.png"/><Relationship Id="rId68" Type="http://schemas.openxmlformats.org/officeDocument/2006/relationships/image" Target="media/image2.png"/><Relationship Id="rId69" Type="http://schemas.openxmlformats.org/officeDocument/2006/relationships/image" Target="media/image3.png"/><Relationship Id="rId70" Type="http://schemas.openxmlformats.org/officeDocument/2006/relationships/header" Target="header7.xml"/><Relationship Id="rId71" Type="http://schemas.openxmlformats.org/officeDocument/2006/relationships/footer" Target="footer7.xml"/><Relationship Id="rId72" Type="http://schemas.openxmlformats.org/officeDocument/2006/relationships/header" Target="header8.xml"/><Relationship Id="rId73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面向关系感知学习与依赖闭合修正的端到端论辩挖掘方法研究</dc:title>
  <dc:subject>1007-v2 修订稿　含非实测占位　勿送审</dc:subject>
  <dc:creator>Chen Tang</dc:creator>
  <cp:keywords>关系感知学习 依赖闭合修正 非实测占位 勿送审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