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ngti SC" w:hAnsi="Songti SC" w:eastAsia="Songti SC"/>
          <w:sz w:val="28"/>
        </w:rPr>
        <w:t>Songti SC  武汉大学计算机科学与技术硕士学位论文 论辩挖掘 结构合法性</w:t>
      </w:r>
    </w:p>
    <w:p>
      <w:r>
        <w:rPr>
          <w:rFonts w:ascii="STSong" w:hAnsi="STSong" w:eastAsia="STSong"/>
          <w:sz w:val="28"/>
        </w:rPr>
        <w:t>STSong  武汉大学计算机科学与技术硕士学位论文 论辩挖掘 结构合法性</w:t>
      </w:r>
    </w:p>
    <w:p>
      <w:r>
        <w:rPr>
          <w:rFonts w:ascii="Arial Unicode MS" w:hAnsi="Arial Unicode MS" w:eastAsia="Arial Unicode MS"/>
          <w:sz w:val="28"/>
        </w:rPr>
        <w:t>Arial Unicode MS  武汉大学计算机科学与技术硕士学位论文 论辩挖掘 结构合法性</w:t>
      </w:r>
    </w:p>
    <w:p>
      <w:r>
        <w:rPr>
          <w:rFonts w:ascii="Hiragino Sans GB" w:hAnsi="Hiragino Sans GB" w:eastAsia="Hiragino Sans GB"/>
          <w:sz w:val="28"/>
        </w:rPr>
        <w:t>Hiragino Sans GB  武汉大学计算机科学与技术硕士学位论文 论辩挖掘 结构合法性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