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600"/>
        <w:jc w:val="center"/>
      </w:pPr>
      <w:r>
        <w:rPr>
          <w:rFonts w:ascii="Times New Roman" w:hAnsi="Times New Roman" w:eastAsia="Songti SC"/>
          <w:b/>
          <w:color w:val="000000"/>
          <w:sz w:val="44"/>
        </w:rPr>
        <w:t>武汉大学</w:t>
      </w:r>
    </w:p>
    <w:p>
      <w:pPr>
        <w:pStyle w:val="Subtitle"/>
        <w:jc w:val="center"/>
      </w:pPr>
      <w:r>
        <w:rPr>
          <w:rFonts w:ascii="Times New Roman" w:hAnsi="Times New Roman" w:eastAsia="Songti SC"/>
          <w:color w:val="000000"/>
          <w:sz w:val="36"/>
        </w:rPr>
        <w:t>学术型硕士学位论文</w:t>
      </w:r>
    </w:p>
    <w:p>
      <w:pPr>
        <w:pStyle w:val="Title"/>
        <w:spacing w:before="900" w:after="600"/>
      </w:pPr>
      <w:r>
        <w:t>基于大语言模型的</w:t>
        <w:br/>
        <w:t>端到端论辩挖掘方法研究</w:t>
      </w:r>
    </w:p>
    <w:p>
      <w:pPr>
        <w:ind w:firstLine="0"/>
        <w:jc w:val="center"/>
      </w:pPr>
      <w:r>
        <w:rPr>
          <w:rFonts w:ascii="Times New Roman" w:hAnsi="Times New Roman" w:eastAsia="Songti SC"/>
          <w:color w:val="000000"/>
          <w:sz w:val="30"/>
        </w:rPr>
        <w:t>End-to-End Argument Mining</w:t>
        <w:br/>
        <w:t>with Large Language Models</w:t>
      </w:r>
    </w:p>
    <w:p>
      <w:pPr>
        <w:spacing w:before="300"/>
        <w:ind w:firstLine="0"/>
        <w:jc w:val="center"/>
      </w:pPr>
      <w:r>
        <w:t>计算机科学与技术</w:t>
      </w:r>
    </w:p>
    <w:p>
      <w:pPr>
        <w:spacing w:before="300"/>
        <w:ind w:firstLine="0"/>
        <w:jc w:val="center"/>
      </w:pPr>
      <w:r>
        <w:t>0914修订工作稿</w:t>
      </w:r>
    </w:p>
    <w:p>
      <w:pPr>
        <w:spacing w:before="300"/>
        <w:ind w:firstLine="0"/>
        <w:jc w:val="center"/>
      </w:pPr>
      <w:r>
        <w:t>2026年9月14日</w:t>
      </w:r>
    </w:p>
    <w:p>
      <w:pPr>
        <w:pStyle w:val="Heading1"/>
      </w:pPr>
      <w:r>
        <w:t>版本说明</w:t>
      </w:r>
    </w:p>
    <w:p>
      <w:r>
        <w:rPr>
          <w:rFonts w:ascii="Times New Roman" w:hAnsi="Times New Roman" w:eastAsia="Songti SC"/>
          <w:color w:val="000000"/>
        </w:rPr>
        <w:t>本稿在report_0913.md基础上修订，重点统一研究主线与贡献表述，补充2025—2026年相关研究，并同步更新各章的方法定位和结果解释。原稿实验表格及数值予以保留，本次修订未重新训练模型或复现实验。文中“原稿记录”表示数值继承自原稿，不表示本轮已通过日志核验；“待核验”标记属于工作稿编辑说明，需用实际代码、数据和实验记录解决后方可删除。具体修改和新增文献的任务边界见随稿《0914修订说明》。</w:t>
      </w:r>
    </w:p>
    <w:p>
      <w:r>
        <w:rPr>
          <w:rFonts w:ascii="Times New Roman" w:hAnsi="Times New Roman" w:eastAsia="Songti SC"/>
          <w:color w:val="000000"/>
        </w:rPr>
        <w:t>当前最重要的未决事项是第三章与第四章Single-Pass分数及Full配置的对应关系、Claim-specific Adapter的门控实现、修复操作的可执行定义，以及实验划分、重复次数和统计量来源。实验结果符合研究预期，不等于上述可追溯性问题已经解决。本稿不作为已满足送审要求的声明；正式封面、作者及导师信息、原创性声明、授权页、致谢和成果页应在定稿时按学院适用模板补齐，不在本次修订中代填或代签。</w:t>
      </w:r>
    </w:p>
    <w:p>
      <w:pPr>
        <w:pStyle w:val="Heading1"/>
      </w:pPr>
      <w:r>
        <w:t>摘要</w:t>
      </w:r>
    </w:p>
    <w:p>
      <w:commentRangeStart w:id="0"/>
      <w:r>
        <w:rPr>
          <w:rFonts w:ascii="Times New Roman" w:hAnsi="Times New Roman" w:eastAsia="Songti SC"/>
          <w:color w:val="000000"/>
        </w:rPr>
        <w:t>论辩挖掘旨在从非结构化文本中识别论辩组件及其关系，恢复符合语料标注规范的论辩图。生成式大语言模型能够统一表示组件跨度、类型和有向关系，但组件识别错误会限制后续关系预测的候选空间，单次生成也可能产生错误引用和缺乏语义依据的连接。针对上述问题，本文从训练阶段的结论组件增强和推理阶段的论辩图修正两个方面研究端到端论辩挖掘方法。</w:t>
      </w:r>
      <w:commentRangeEnd w:id="0"/>
      <w:r>
        <w:commentReference w:id="0"/>
      </w:r>
    </w:p>
    <w:p>
      <w:r>
        <w:rPr>
          <w:rFonts w:ascii="Times New Roman" w:hAnsi="Times New Roman" w:eastAsia="Songti SC"/>
          <w:color w:val="000000"/>
        </w:rPr>
        <w:t>在训练阶段，本文设计面向结论类组件的局部论辩结构保持增强方法。以结论节点及其支撑或攻击邻域作为增强单位，在保留组件类型、关系端点与方向的条件下生成表达变体，并通过格式、结构和语义检查筛选样本。结合类型条件低秩适配、线索感知连续提示和句子级辅助目标，该方法旨在丰富结论表达及其关系上下文，为组件和关系预测提供结构一致的训练监督。增强目标是提高有效样本的多样性，不将样本扩充直接等同于类别平衡改善。</w:t>
      </w:r>
    </w:p>
    <w:p>
      <w:r>
        <w:rPr>
          <w:rFonts w:ascii="Times New Roman" w:hAnsi="Times New Roman" w:eastAsia="Songti SC"/>
          <w:color w:val="000000"/>
        </w:rPr>
        <w:t>在推理阶段，本文提出基于完整候选图评估与异常驱动局部修正的方法MCR-BR。该方法从多个组件假设构建候选论辩图，利用论证连接覆盖、边语义连贯性和输出合法性进行图级评分；随后针对检测到的异常尝试局部修改，通过接受检查与回退机制控制修改过程，并限制修正轮数和每轮接受动作数。该设计将候选选择与生成后的局部调整衔接起来，目标是改善端到端抽取结果，而非以代理评分代替任务正确性判断。</w:t>
      </w:r>
    </w:p>
    <w:p>
      <w:r>
        <w:rPr>
          <w:rFonts w:ascii="Times New Roman" w:hAnsi="Times New Roman" w:eastAsia="Songti SC"/>
          <w:color w:val="000000"/>
        </w:rPr>
        <w:t>现有实验记录中，完整框架在AAEC上的Component-F1和Relation-F1分别为83.71和64.83，在CDCP上分别为76.45和38.17。在采用粗粒度组件标签及有向无标签连接的AAEC到CDCP零样本迁移设置下，完整框架的Link-F1为43.21，较同骨干Single-Pass记录提高9.79个F1点。上述记录呈现了训练增强与推理修正相结合的应用价值；两项方法的独立增益、等计算预算优势及更广泛的迁移能力，仍需在配置核验和相应消融基础上分别确定。</w:t>
      </w:r>
    </w:p>
    <w:p>
      <w:pPr>
        <w:ind w:firstLine="0"/>
      </w:pPr>
      <w:r>
        <w:rPr>
          <w:rFonts w:ascii="Times New Roman" w:hAnsi="Times New Roman" w:eastAsia="Songti SC"/>
          <w:color w:val="000000"/>
        </w:rPr>
        <w:t>关键词：论辩挖掘；大语言模型；局部结构保持增强；结论组件；候选图评估；异常驱动修正</w:t>
      </w:r>
    </w:p>
    <w:p>
      <w:pPr>
        <w:pStyle w:val="Heading1"/>
      </w:pPr>
      <w:r>
        <w:t>Abstract</w:t>
      </w:r>
    </w:p>
    <w:p>
      <w:pPr>
        <w:spacing w:line="360" w:lineRule="exact"/>
      </w:pPr>
      <w:r>
        <w:rPr>
          <w:rFonts w:ascii="Times New Roman" w:hAnsi="Times New Roman" w:eastAsia="Songti SC"/>
          <w:color w:val="000000"/>
        </w:rPr>
        <w:t>Argument mining reconstructs components and relations from unstructured text under corpus-specific annotation guidelines. Generative large language models can represent component spans, types, and directed relations jointly. However, component errors restrict relation prediction, while a single generation may contain invalid references or unsupported links. This thesis studies complementary training-time conclusion enhancement and inference-time graph repair for end-to-end argument mining.</w:t>
      </w:r>
    </w:p>
    <w:p>
      <w:pPr>
        <w:spacing w:line="360" w:lineRule="exact"/>
      </w:pPr>
      <w:r>
        <w:rPr>
          <w:rFonts w:ascii="Times New Roman" w:hAnsi="Times New Roman" w:eastAsia="Songti SC"/>
          <w:color w:val="000000"/>
        </w:rPr>
        <w:t>For training-time enhancement, this thesis designs local structure-preserving augmentation centered on conclusion components and their supporting or attacking neighborhoods. Expression variants preserve component types, relation endpoints, and directions, and undergo format, structural, and semantic checks. Type-conditioned low-rank adaptation, cue-aware continuous prompts, and a sentence-level auxiliary objective provide supporting mechanisms. The aim is to diversify conclusion expressions and relational contexts with consistent supervision, without assuming that more examples automatically improve class balance.</w:t>
      </w:r>
    </w:p>
    <w:p>
      <w:pPr>
        <w:spacing w:line="360" w:lineRule="exact"/>
      </w:pPr>
      <w:r>
        <w:rPr>
          <w:rFonts w:ascii="Times New Roman" w:hAnsi="Times New Roman" w:eastAsia="Songti SC"/>
          <w:color w:val="000000"/>
        </w:rPr>
        <w:t>For inference-time repair, this thesis proposes MCR-BR, combining complete candidate-graph evaluation with anomaly-driven local repair. Graphs built from multiple component hypotheses are scored using argument-link coverage, edge-level semantic coherence, and output validity. Detected anomalies trigger local edits subject to acceptance checks, rollback, and limits on iterations and accepted actions. This connects candidate selection with post-generation adjustment; the surrogate score does not replace gold-standard evaluation.</w:t>
      </w:r>
    </w:p>
    <w:p>
      <w:pPr>
        <w:spacing w:line="360" w:lineRule="exact"/>
      </w:pPr>
      <w:r>
        <w:rPr>
          <w:rFonts w:ascii="Times New Roman" w:hAnsi="Times New Roman" w:eastAsia="Songti SC"/>
          <w:color w:val="000000"/>
        </w:rPr>
        <w:t>The retained records report full-framework Component-F1/Relation-F1 scores of 83.71/64.83 on AAEC and 76.45/38.17 on CDCP. Under AAEC-to-CDCP zero-shot transfer with coarse component labels and directed unlabeled links, Link-F1 is 43.21, 9.79 points above the same-backbone Single-Pass baseline. These records indicate the potential value of combining enhancement and repair. Independent gains, matched-budget advantages, and broader transferability require configuration verification and corresponding ablations.</w:t>
      </w:r>
    </w:p>
    <w:p>
      <w:pPr>
        <w:spacing w:line="360" w:lineRule="exact"/>
        <w:ind w:firstLine="0"/>
      </w:pPr>
      <w:r>
        <w:rPr>
          <w:rFonts w:ascii="Times New Roman" w:hAnsi="Times New Roman" w:eastAsia="Songti SC"/>
          <w:color w:val="000000"/>
          <w:sz w:val="22"/>
        </w:rPr>
        <w:t>Keywords: Argument Mining; Large Language Models; Local Structure-Preserving Augmentation; Conclusion Components; Candidate-Graph Evaluation; Anomaly-Driven Repair</w:t>
      </w:r>
    </w:p>
    <w:p>
      <w:pPr>
        <w:pStyle w:val="Heading1"/>
      </w:pPr>
      <w:r>
        <w:t>目录</w:t>
      </w:r>
    </w:p>
    <w:p>
      <w:pPr>
        <w:tabs>
          <w:tab w:pos="8504" w:val="right"/>
        </w:tabs>
        <w:spacing w:after="280" w:line="336" w:lineRule="auto"/>
        <w:ind w:firstLine="0"/>
      </w:pPr>
      <w:r>
        <w:rPr>
          <w:rFonts w:ascii="Times New Roman" w:hAnsi="Times New Roman" w:eastAsia="Songti SC"/>
          <w:color w:val="000000"/>
        </w:rPr>
        <w:t>第一章 绪论</w:t>
      </w:r>
      <w:r>
        <w:rPr>
          <w:rFonts w:ascii="Times New Roman" w:hAnsi="Times New Roman" w:eastAsia="Songti SC"/>
          <w:color w:val="000000"/>
          <w:sz w:val="24"/>
        </w:rPr>
        <w:tab/>
        <w:t>1</w:t>
      </w:r>
    </w:p>
    <w:p>
      <w:pPr>
        <w:tabs>
          <w:tab w:pos="8504" w:val="right"/>
        </w:tabs>
        <w:spacing w:after="280" w:line="336" w:lineRule="auto"/>
        <w:ind w:firstLine="0"/>
      </w:pPr>
      <w:r>
        <w:rPr>
          <w:rFonts w:ascii="Times New Roman" w:hAnsi="Times New Roman" w:eastAsia="Songti SC"/>
          <w:color w:val="000000"/>
        </w:rPr>
        <w:t>第二章 任务表示与方法基础</w:t>
      </w:r>
      <w:r>
        <w:rPr>
          <w:rFonts w:ascii="Times New Roman" w:hAnsi="Times New Roman" w:eastAsia="Songti SC"/>
          <w:color w:val="000000"/>
          <w:sz w:val="24"/>
        </w:rPr>
        <w:tab/>
        <w:t>8</w:t>
      </w:r>
    </w:p>
    <w:p>
      <w:pPr>
        <w:tabs>
          <w:tab w:pos="8504" w:val="right"/>
        </w:tabs>
        <w:spacing w:after="280" w:line="336" w:lineRule="auto"/>
        <w:ind w:firstLine="0"/>
      </w:pPr>
      <w:r>
        <w:rPr>
          <w:rFonts w:ascii="Times New Roman" w:hAnsi="Times New Roman" w:eastAsia="Songti SC"/>
          <w:color w:val="000000"/>
        </w:rPr>
        <w:t>第三章 面向结论类组件的局部论辩结构保持增强</w:t>
      </w:r>
      <w:r>
        <w:rPr>
          <w:rFonts w:ascii="Times New Roman" w:hAnsi="Times New Roman" w:eastAsia="Songti SC"/>
          <w:color w:val="000000"/>
          <w:sz w:val="24"/>
        </w:rPr>
        <w:tab/>
        <w:t>12</w:t>
      </w:r>
    </w:p>
    <w:p>
      <w:pPr>
        <w:tabs>
          <w:tab w:pos="8504" w:val="right"/>
        </w:tabs>
        <w:spacing w:after="280" w:line="336" w:lineRule="auto"/>
        <w:ind w:firstLine="0"/>
      </w:pPr>
      <w:r>
        <w:rPr>
          <w:rFonts w:ascii="Times New Roman" w:hAnsi="Times New Roman" w:eastAsia="Songti SC"/>
          <w:color w:val="000000"/>
        </w:rPr>
        <w:t>第四章 基于候选图评估与异常驱动局部修正的论辩图生成</w:t>
      </w:r>
      <w:r>
        <w:rPr>
          <w:rFonts w:ascii="Times New Roman" w:hAnsi="Times New Roman" w:eastAsia="Songti SC"/>
          <w:color w:val="000000"/>
          <w:sz w:val="24"/>
        </w:rPr>
        <w:tab/>
        <w:t>19</w:t>
      </w:r>
    </w:p>
    <w:p>
      <w:pPr>
        <w:tabs>
          <w:tab w:pos="8504" w:val="right"/>
        </w:tabs>
        <w:spacing w:after="280" w:line="336" w:lineRule="auto"/>
        <w:ind w:firstLine="0"/>
      </w:pPr>
      <w:r>
        <w:rPr>
          <w:rFonts w:ascii="Times New Roman" w:hAnsi="Times New Roman" w:eastAsia="Songti SC"/>
          <w:color w:val="000000"/>
        </w:rPr>
        <w:t>第五章 粗粒度标签协议下的跨语料迁移分析</w:t>
      </w:r>
      <w:r>
        <w:rPr>
          <w:rFonts w:ascii="Times New Roman" w:hAnsi="Times New Roman" w:eastAsia="Songti SC"/>
          <w:color w:val="000000"/>
          <w:sz w:val="24"/>
        </w:rPr>
        <w:tab/>
        <w:t>32</w:t>
      </w:r>
    </w:p>
    <w:p>
      <w:pPr>
        <w:tabs>
          <w:tab w:pos="8504" w:val="right"/>
        </w:tabs>
        <w:spacing w:after="280" w:line="336" w:lineRule="auto"/>
        <w:ind w:firstLine="0"/>
      </w:pPr>
      <w:r>
        <w:rPr>
          <w:rFonts w:ascii="Times New Roman" w:hAnsi="Times New Roman" w:eastAsia="Songti SC"/>
          <w:color w:val="000000"/>
        </w:rPr>
        <w:t>第六章 总结与展望</w:t>
      </w:r>
      <w:r>
        <w:rPr>
          <w:rFonts w:ascii="Times New Roman" w:hAnsi="Times New Roman" w:eastAsia="Songti SC"/>
          <w:color w:val="000000"/>
          <w:sz w:val="24"/>
        </w:rPr>
        <w:tab/>
        <w:t>36</w:t>
      </w:r>
    </w:p>
    <w:p>
      <w:pPr>
        <w:tabs>
          <w:tab w:pos="8504" w:val="right"/>
        </w:tabs>
        <w:spacing w:after="280" w:line="336" w:lineRule="auto"/>
        <w:ind w:firstLine="0"/>
      </w:pPr>
      <w:r>
        <w:rPr>
          <w:rFonts w:ascii="Times New Roman" w:hAnsi="Times New Roman" w:eastAsia="Songti SC"/>
          <w:color w:val="000000"/>
        </w:rPr>
        <w:t>参考文献</w:t>
      </w:r>
      <w:r>
        <w:rPr>
          <w:rFonts w:ascii="Times New Roman" w:hAnsi="Times New Roman" w:eastAsia="Songti SC"/>
          <w:color w:val="000000"/>
          <w:sz w:val="24"/>
        </w:rPr>
        <w:tab/>
        <w:t>38</w:t>
      </w:r>
    </w:p>
    <w:p>
      <w:pPr>
        <w:tabs>
          <w:tab w:pos="8504" w:val="right"/>
        </w:tabs>
        <w:spacing w:after="280" w:line="336" w:lineRule="auto"/>
        <w:ind w:firstLine="0"/>
      </w:pPr>
      <w:r>
        <w:rPr>
          <w:rFonts w:ascii="Times New Roman" w:hAnsi="Times New Roman" w:eastAsia="Songti SC"/>
          <w:color w:val="000000"/>
        </w:rPr>
        <w:t>附录A 复现与证据核验清单</w:t>
      </w:r>
      <w:r>
        <w:rPr>
          <w:rFonts w:ascii="Times New Roman" w:hAnsi="Times New Roman" w:eastAsia="Songti SC"/>
          <w:color w:val="000000"/>
          <w:sz w:val="24"/>
        </w:rPr>
        <w:tab/>
        <w:t>41</w:t>
      </w:r>
    </w:p>
    <w:p>
      <w:pPr>
        <w:tabs>
          <w:tab w:pos="8504" w:val="right"/>
        </w:tabs>
        <w:spacing w:after="280" w:line="336" w:lineRule="auto"/>
        <w:ind w:firstLine="0"/>
      </w:pPr>
      <w:r>
        <w:rPr>
          <w:rFonts w:ascii="Times New Roman" w:hAnsi="Times New Roman" w:eastAsia="Songti SC"/>
          <w:color w:val="000000"/>
        </w:rPr>
        <w:t>附录B 算法修订建议</w:t>
      </w:r>
      <w:r>
        <w:rPr>
          <w:rFonts w:ascii="Times New Roman" w:hAnsi="Times New Roman" w:eastAsia="Songti SC"/>
          <w:color w:val="000000"/>
          <w:sz w:val="24"/>
        </w:rPr>
        <w:tab/>
        <w:t>42</w:t>
      </w:r>
    </w:p>
    <w:p>
      <w:pPr>
        <w:tabs>
          <w:tab w:pos="8504" w:val="right"/>
        </w:tabs>
        <w:spacing w:after="280" w:line="336" w:lineRule="auto"/>
        <w:ind w:firstLine="0"/>
      </w:pPr>
      <w:r>
        <w:rPr>
          <w:rFonts w:ascii="Times New Roman" w:hAnsi="Times New Roman" w:eastAsia="Songti SC"/>
          <w:color w:val="000000"/>
        </w:rPr>
        <w:t>附录C 修订与辅助工具使用说明</w:t>
      </w:r>
      <w:r>
        <w:rPr>
          <w:rFonts w:ascii="Times New Roman" w:hAnsi="Times New Roman" w:eastAsia="Songti SC"/>
          <w:color w:val="000000"/>
          <w:sz w:val="24"/>
        </w:rPr>
        <w:tab/>
        <w:t>43</w:t>
      </w:r>
    </w:p>
    <w:p>
      <w:pPr>
        <w:sectPr>
          <w:pgSz w:w="11906" w:h="16838"/>
          <w:pgMar w:top="1417" w:right="1417" w:bottom="1417" w:left="1587" w:header="737" w:footer="737" w:gutter="0"/>
          <w:cols w:space="720"/>
        </w:sectPr>
      </w:pPr>
    </w:p>
    <w:p>
      <w:pPr>
        <w:pStyle w:val="Heading1"/>
        <w:pageBreakBefore w:val="0"/>
      </w:pPr>
      <w:r>
        <w:t>第一章 绪论</w:t>
      </w:r>
    </w:p>
    <w:p>
      <w:pPr>
        <w:pStyle w:val="Heading2"/>
      </w:pPr>
      <w:r>
        <w:t>1.1 研究背景与问题提出</w:t>
      </w:r>
    </w:p>
    <w:p>
      <w:r>
        <w:rPr>
          <w:rFonts w:ascii="Times New Roman" w:hAnsi="Times New Roman" w:eastAsia="Songti SC"/>
          <w:color w:val="000000"/>
        </w:rPr>
        <w:t>论辩挖掘研究文本中的主张、理由及其连接方式，目标不只是判断作者赞成或反对什么，还包括定位论证内容并识别论证结构。其研究对象涵盖说服性作文、公共政策评论和其他带有论证行为的文本。论辩挖掘与立场检测、论证质量评价等任务相关，但组件和关系抽取的准确性不能直接替代对论证有效性或事实真实性的评价[1]。</w:t>
      </w:r>
    </w:p>
    <w:p>
      <w:r>
        <w:rPr>
          <w:rFonts w:ascii="Times New Roman" w:hAnsi="Times New Roman" w:eastAsia="Songti SC"/>
          <w:color w:val="000000"/>
        </w:rPr>
        <w:t>本文关注从原始文本到组件跨度、组件类型及有向关系的联合预测。AAEC以学生说服性作文为对象，区分MajorClaim、Claim和Premise；CDCP以电子规则制定评论为对象，采用Fact、Testimony、Value、Policy和Reference等组件类型[2][3]。两个语料的标签不能仅凭名称直接对齐，关系拓扑也不能统一假设为树。因此，本文将图约束限定为给定实验表示下的任务约束，不将所有自然语言论辩都定义为有向无环图。</w:t>
      </w:r>
    </w:p>
    <w:p>
      <w:r>
        <w:rPr>
          <w:rFonts w:ascii="Times New Roman" w:hAnsi="Times New Roman" w:eastAsia="Songti SC"/>
          <w:color w:val="000000"/>
        </w:rPr>
        <w:t>生成式建模把多个子任务映射到同一输出序列，使组件和关系能够共享上下文，但没有消除输出内部的依赖关系。例如，一个Claim的跨度没有被召回时，以该节点为端点的金标准关系便不能在当前候选集合中得到精确匹配；一个存在的Claim被赋予错误编号时，则可能形成可被确定性检查发现的引用错误。前者是候选空间不足，后者是结构一致性错误，二者需要不同的处理机制。</w:t>
      </w:r>
    </w:p>
    <w:p>
      <w:r>
        <w:rPr>
          <w:rFonts w:ascii="Times New Roman" w:hAnsi="Times New Roman" w:eastAsia="Songti SC"/>
          <w:color w:val="000000"/>
        </w:rPr>
        <w:t>这一差异构成本文的研究出发点。训练阶段尝试提高结论类组件的候选质量，推理阶段保留多个结构假设并利用图级反馈进行选择和局部修改。研究重点不是证明大语言模型能够生成结构化文本，而是分析结构约束如何参与候选选择、哪些局部错误可以被修正，以及这些操作在什么条件下值得额外的计算开销。</w:t>
      </w:r>
    </w:p>
    <w:p>
      <w:pPr>
        <w:pStyle w:val="Heading2"/>
      </w:pPr>
      <w:commentRangeStart w:id="1"/>
      <w:r>
        <w:t>1.2 国内外研究现状</w:t>
      </w:r>
      <w:commentRangeEnd w:id="1"/>
      <w:r>
        <w:commentReference w:id="1"/>
      </w:r>
    </w:p>
    <w:p>
      <w:r>
        <w:rPr>
          <w:rFonts w:ascii="Times New Roman" w:hAnsi="Times New Roman" w:eastAsia="Songti SC"/>
          <w:color w:val="000000"/>
        </w:rPr>
        <w:t>论辩挖掘的研究路线既包括组件和关系的联合预测，也包括给定组件后的分类与推理。比较相关方法时，需要区分输入是否包含金标准跨度、输出是否覆盖全部子任务，以及评价是否采用相同端点匹配规则。以下按生成建模、结构信号、数据增强、推理修正和跨语料评价组织相关工作，并据此界定本文的研究位置。</w:t>
      </w:r>
    </w:p>
    <w:p>
      <w:pPr>
        <w:pStyle w:val="Heading3"/>
      </w:pPr>
      <w:r>
        <w:t>1.2.1 组件识别与联合结构预测</w:t>
      </w:r>
    </w:p>
    <w:p>
      <w:r>
        <w:rPr>
          <w:rFonts w:ascii="Times New Roman" w:hAnsi="Times New Roman" w:eastAsia="Songti SC"/>
          <w:color w:val="000000"/>
        </w:rPr>
        <w:t>Stab和Gurevych围绕说服性作文建立组件与关系分析方法，为AAEC上的结构预测提供了任务和标注基础[2]。Eger等将组件识别与论证结构预测纳入神经端到端学习框架，说明联合建模并非大语言模型出现后才产生的路线[4]。Morio等研究命题级双仿射解析与任务特定参数化，支持非树状论辩结构预测[5]。这些研究表明，共享表示、子任务依赖以及树与非树结构的区别，均是已有研究问题。</w:t>
      </w:r>
    </w:p>
    <w:p>
      <w:r>
        <w:rPr>
          <w:rFonts w:ascii="Times New Roman" w:hAnsi="Times New Roman" w:eastAsia="Songti SC"/>
          <w:color w:val="000000"/>
        </w:rPr>
        <w:t>组件分割仍是实际端到端系统的重要环节。Caputo等在2026年提出成对标签标注方案，微调小型开放大语言模型完成细粒度组件分割，并考察自动分割对下游组件分类的影响[6]。该工作聚焦分割及其下游分类，不应被表述为已完成与本文相同的整图关系抽取评价。它提示本文需要单独分析边界错误，而不能仅依据结论类型F1解释组件质量。</w:t>
      </w:r>
    </w:p>
    <w:p>
      <w:pPr>
        <w:pStyle w:val="Heading3"/>
      </w:pPr>
      <w:r>
        <w:t>1.2.2 生成式论辩挖掘与结构化输出</w:t>
      </w:r>
    </w:p>
    <w:p>
      <w:r>
        <w:rPr>
          <w:rFonts w:ascii="Times New Roman" w:hAnsi="Times New Roman" w:eastAsia="Songti SC"/>
          <w:color w:val="000000"/>
        </w:rPr>
        <w:t>Kawarada等将论辩挖掘表述为文本到文本生成任务，比较微调模型和提示式模型在不同语料上的表现，是本文的直接生成式基线[7]。Cabessa等进一步将组件分类、关系识别、关系分类及其联合形式组织为文本生成任务，在PE、AbstRCT和CDCP上研究多种微调大语言模型[8]。其方法节的输出以组件类型列表及已有组件编号间的关系为核心，不包含原始文本跨度分割这一同口径评价环节，因此不能直接将其ACC或关系分类分数填入本文的端到端结果表。</w:t>
      </w:r>
    </w:p>
    <w:p>
      <w:r>
        <w:rPr>
          <w:rFonts w:ascii="Times New Roman" w:hAnsi="Times New Roman" w:eastAsia="Songti SC"/>
          <w:color w:val="000000"/>
        </w:rPr>
        <w:t>生成表示也从直接展开标签发展到更明确的结构预测。Das等的AASP将论辩结构表示为受约束的预定义动作集合，由条件语言模型自回归地逐步构建结构[9]。本文依据其2025年公开的arXiv版本讨论该方法。AASP说明“使用动作和约束构建论辩结构”已有直接相关路线；本文的区分点在于完整候选生成后的图级评估、异常触发和局部回退，而不是动作式建模本身。</w:t>
      </w:r>
    </w:p>
    <w:p>
      <w:r>
        <w:rPr>
          <w:rFonts w:ascii="Times New Roman" w:hAnsi="Times New Roman" w:eastAsia="Songti SC"/>
          <w:color w:val="000000"/>
        </w:rPr>
        <w:t>2026年的ARGUS系统集成组件分割、组件分类、关系识别与关系分类，并连接符号求解器进行论辩框架分析[10]。该成果发表于AAAI系统演示轨道，反映了端到端工具与形式推理的结合方向，但不能据此认定其提供了与本文相同的修正算法或同协议性能比较。结合Li等对LLM论辩挖掘任务和评估的综述[11]，本文将研究重点限定为可检验的训练增强和推理修正增量，而非“采用大语言模型”这一技术选择。</w:t>
      </w:r>
    </w:p>
    <w:p>
      <w:pPr>
        <w:pStyle w:val="Heading3"/>
      </w:pPr>
      <w:r>
        <w:t>1.2.3 篇章结构、语义线索与关系推理</w:t>
      </w:r>
    </w:p>
    <w:p>
      <w:r>
        <w:rPr>
          <w:rFonts w:ascii="Times New Roman" w:hAnsi="Times New Roman" w:eastAsia="Songti SC"/>
          <w:color w:val="000000"/>
        </w:rPr>
        <w:t>Sun等提出DENIM，以篇章结构感知前缀辅助生成式端到端论辩挖掘[12]。因此，利用结构信息影响生成过程并不是本文独有的思想。本文的线索感知提示与其相邻，但信号的表示粒度、进入模型的位置及生成后是否执行局部修改不同；这种设计差异需要由对照实验解释，不能仅凭模块名称证明优越性。</w:t>
      </w:r>
    </w:p>
    <w:p>
      <w:r>
        <w:rPr>
          <w:rFonts w:ascii="Times New Roman" w:hAnsi="Times New Roman" w:eastAsia="Songti SC"/>
          <w:color w:val="000000"/>
        </w:rPr>
        <w:t>2025年的研究进一步关注结构之外的关系语义。Das等提取关联组件对之间的关键短语，并将其纳入增强自然语言格式的生成目标；这里的关键短语表达组件之间的概念联系，不等同于固定的结论提示词表[13]。Sun等的FOL-AM把组件类型和关系预测统一为基于一阶逻辑规则的关系查询，研究多跳推理及其解释路径[14]。两项工作均以已分割的组件为前提，其分类或关系结果不能直接与本文从原始文本出发的精确匹配F1比较。</w:t>
      </w:r>
    </w:p>
    <w:p>
      <w:r>
        <w:rPr>
          <w:rFonts w:ascii="Times New Roman" w:hAnsi="Times New Roman" w:eastAsia="Songti SC"/>
          <w:color w:val="000000"/>
        </w:rPr>
        <w:t>上述工作限制了本文可以主张的创新范围：线索利用、逻辑信息和结构建模均已有先例。本文以局部子图组织训练监督，以完整候选图组织推理评估，区别在于监督单位与修改流程。第四章的逐边语义评分仍是模型判断，并未实现FOL-AM式多跳规则推理，也不构成论证逻辑有效性的证明。</w:t>
      </w:r>
    </w:p>
    <w:p>
      <w:pPr>
        <w:pStyle w:val="Heading3"/>
      </w:pPr>
      <w:r>
        <w:t>1.2.4 结构保持数据增强</w:t>
      </w:r>
    </w:p>
    <w:p>
      <w:r>
        <w:rPr>
          <w:rFonts w:ascii="Times New Roman" w:hAnsi="Times New Roman" w:eastAsia="Songti SC"/>
          <w:color w:val="000000"/>
        </w:rPr>
        <w:t>大语言模型数据增强可以通过自然语言条件控制生成内容，但样本质量、标签一致性和分布偏差仍需检验[15]。CoDa从训练实例提取约束并通过提示生成新样本，为条件增强提供了相关路线[16]。SegMix在任务相关片段上进行结构感知的混合增强，并在命名实体识别和关系抽取等任务上验证；它不等同于对论辩组件进行自由文本替换[17]。</w:t>
      </w:r>
    </w:p>
    <w:p>
      <w:r>
        <w:rPr>
          <w:rFonts w:ascii="Times New Roman" w:hAnsi="Times New Roman" w:eastAsia="Songti SC"/>
          <w:color w:val="000000"/>
        </w:rPr>
        <w:t>在本文中，增强对象不是孤立Claim句子，而是结论节点及其局部支撑或攻击邻域。组件类型、关系端点与方向共同构成需保持的监督条件，表达多样性则来自允许变化的文本内容。相对于通用约束生成，可主张的改进是面向论辩关系监督的局部增强单位及其筛选方式，而不是首次提出结构感知增强。</w:t>
      </w:r>
    </w:p>
    <w:p>
      <w:r>
        <w:rPr>
          <w:rFonts w:ascii="Times New Roman" w:hAnsi="Times New Roman" w:eastAsia="Songti SC"/>
          <w:color w:val="000000"/>
        </w:rPr>
        <w:t>局部拓扑保持也不等同于语义标签必然正确或类别比例自动改善。新增一个Claim及多个Premise可能同时增加高频类别，语义筛选也可能继承验证模型偏差。第三章据此区分表达多样性、类别分布和真实测试集增益；只有在等样本量或等训练预算下比较无增强、普通改写与局部结构保持增强，才能分离该设计的独立作用。</w:t>
      </w:r>
    </w:p>
    <w:p>
      <w:pPr>
        <w:pStyle w:val="Heading3"/>
      </w:pPr>
      <w:r>
        <w:t>1.2.5 约束解码、多候选评估与局部修正</w:t>
      </w:r>
    </w:p>
    <w:p>
      <w:r>
        <w:rPr>
          <w:rFonts w:ascii="Times New Roman" w:hAnsi="Times New Roman" w:eastAsia="Songti SC"/>
          <w:color w:val="000000"/>
        </w:rPr>
        <w:t>语法约束解码通过限制后继token控制结构化输出形式，其保证范围取决于实际编码的约束[18]。JSON可解析不意味着跨度真实、引用完整或关系成立。前述AASP将结构动作约束融入生成，而本文在已有候选图上开展评估与修改，二者分别侧重生成过程约束与生成后选择、调整。</w:t>
      </w:r>
    </w:p>
    <w:p>
      <w:r>
        <w:rPr>
          <w:rFonts w:ascii="Times New Roman" w:hAnsi="Times New Roman" w:eastAsia="Songti SC"/>
          <w:color w:val="000000"/>
        </w:rPr>
        <w:t>Self-Refine通过反馈和迭代修订改进输出[19]；Huang等指出，在其研究的推理设置中，缺乏外部反馈的内在自纠错可能无效甚至降低表现[20]。自一致性则通过采样多条推理路径并聚合答案改善所研究的推理任务[21]。这些方法分别提供修订与多采样思想，但不能直接证明本文验证器的可靠性或额外计算的收益。</w:t>
      </w:r>
    </w:p>
    <w:p>
      <w:r>
        <w:rPr>
          <w:rFonts w:ascii="Times New Roman" w:hAnsi="Times New Roman" w:eastAsia="Songti SC"/>
          <w:color w:val="000000"/>
        </w:rPr>
        <w:t>论辩分析领域已有更直接的候选判断研究。Tran等针对课堂讨论设计LLM-refine：在不同Claim、Evidence和Warrant组合下形成分割候选，再由LLM选择合适结果[22]。该方法处理话轮组件分割与分类，并非对包含任意有向关系的完整论辩图实施局部修正。因此，“生成多个论辩候选再评判”不能作为本文独占的创新点；本文需要强调候选对象包含组件与关系，以及异常、动作、接受条件和回退如何共同定义修正过程。</w:t>
      </w:r>
    </w:p>
    <w:p>
      <w:r>
        <w:rPr>
          <w:rFonts w:ascii="Times New Roman" w:hAnsi="Times New Roman" w:eastAsia="Songti SC"/>
          <w:color w:val="000000"/>
        </w:rPr>
        <w:t>完整图选择还应与逐节点、逐边投票区分：独立投票可能拼接出候选池中从未出现过的结构，但选择完整候选也可能保留其遗漏节点。本文以图级评分选择初始状态，再尝试异常驱动修改；评分中的软合法性项不构成硬保证，有限接受动作也不等于严格限制全部模型调用。这些边界在第四章逐项分析。</w:t>
      </w:r>
    </w:p>
    <w:p>
      <w:pPr>
        <w:pStyle w:val="Heading3"/>
      </w:pPr>
      <w:r>
        <w:t>1.2.6 中文资源、跨语料迁移与研究定位</w:t>
      </w:r>
    </w:p>
    <w:p>
      <w:r>
        <w:rPr>
          <w:rFonts w:ascii="Times New Roman" w:hAnsi="Times New Roman" w:eastAsia="Songti SC"/>
          <w:color w:val="000000"/>
        </w:rPr>
        <w:t>跨语料训练已有直接研究。Morio等提出MT-AM，利用辅助论辩语料开展端到端多任务训练，并分析不同语料之间的可迁移性[23]。这与本文只在源域训练、在目标域测试的零样本设定不同：前者利用辅助语料扩展训练，后者检验给定源域模型的迁移表现，不能仅凭“跨语料”名称视为相同实验。</w:t>
      </w:r>
    </w:p>
    <w:p>
      <w:r>
        <w:rPr>
          <w:rFonts w:ascii="Times New Roman" w:hAnsi="Times New Roman" w:eastAsia="Songti SC"/>
          <w:color w:val="000000"/>
        </w:rPr>
        <w:t>Feger等在2025年对17个英文句子级数据集进行泛化评估，发现所研究模型可能依赖数据集相关词汇线索，在未见数据集上表现下降[24]。该结果来自句子级论辩识别，而非完整论辩图抽取；本文将其作为检查词汇捷径和域内外差异的依据，不据此推断MCR-BR已克服这些问题。对于Cue-aware分支，尤其需要区分线索带来的域内收益与对目标域表达的适应能力。</w:t>
      </w:r>
    </w:p>
    <w:p>
      <w:r>
        <w:rPr>
          <w:rFonts w:ascii="Times New Roman" w:hAnsi="Times New Roman" w:eastAsia="Songti SC"/>
          <w:color w:val="000000"/>
        </w:rPr>
        <w:t>中文资源同样需要按任务而非语言名称归类。ORCHID面向中文辩论的目标无关立场检测和论辩对话摘要，不是AAEC式全文组件与关系图抽取数据集[25]。IAM整合多项论辩挖掘任务，使用英文资源，不能作为中文论辩语料的例证[26]。本文实验使用英文AAEC和CDCP，不主张已经验证中文或多语言能力。</w:t>
      </w:r>
    </w:p>
    <w:p>
      <w:r>
        <w:rPr>
          <w:rFonts w:ascii="Times New Roman" w:hAnsi="Times New Roman" w:eastAsia="Songti SC"/>
          <w:color w:val="000000"/>
        </w:rPr>
        <w:t>综合以上研究，本文的研究位置是：训练阶段以结论中心局部子图保持关系监督，推理阶段以完整候选图评估和异常驱动局部修改处理生成错误；跨语料实验用于限定方法适用范围。现有文献已覆盖生成式联合预测、结构前缀、关键短语、一阶逻辑、多候选判断及跨语料训练，故本文不作“首次结合大语言模型与论辩结构”的宽泛主张，也不在缺乏同协议比较时宣称全面优于近期方法。</w:t>
      </w:r>
    </w:p>
    <w:p>
      <w:pPr>
        <w:pStyle w:val="Heading2"/>
      </w:pPr>
      <w:r>
        <w:t>1.3 研究问题与主要研究工作</w:t>
      </w:r>
    </w:p>
    <w:p>
      <w:r>
        <w:rPr>
          <w:rFonts w:ascii="Times New Roman" w:hAnsi="Times New Roman" w:eastAsia="Songti SC"/>
          <w:color w:val="000000"/>
        </w:rPr>
        <w:t>本文围绕端到端论辩挖掘中的组件识别错误及其向关系预测传播的问题展开研究，分别从训练阶段的结论组件增强和推理阶段的论辩图修正两个方面提出改进方法。前者以局部结构保持增强改善组件学习，后者利用完整候选图评估和异常驱动修正调整预测结果，共同服务于组件与关系的联合抽取。二者是训练与推理阶段的互补设计，不构成验证器向生成器回传梯度的联合训练过程。</w:t>
      </w:r>
    </w:p>
    <w:p>
      <w:pPr>
        <w:pStyle w:val="Heading3"/>
      </w:pPr>
      <w:r>
        <w:t>1.3.1 研究问题</w:t>
      </w:r>
    </w:p>
    <w:p>
      <w:r>
        <w:rPr>
          <w:rFonts w:ascii="Times New Roman" w:hAnsi="Times New Roman" w:eastAsia="Songti SC"/>
          <w:color w:val="000000"/>
        </w:rPr>
        <w:t>RQ1：以结论为中心的局部结构保持增强，能否在不明显损害Premise识别的条件下改善结论跨度与类型预测？需要通过分类别Precision、Recall和F1，以及增强和表示模块的独立消融回答，不能将完整系统的全部增益归于训练增强。</w:t>
      </w:r>
    </w:p>
    <w:p>
      <w:r>
        <w:rPr>
          <w:rFonts w:ascii="Times New Roman" w:hAnsi="Times New Roman" w:eastAsia="Songti SC"/>
          <w:color w:val="000000"/>
        </w:rPr>
        <w:t>RQ2：在相同骨干和候选池下，完整图评估与异常驱动局部修正能否改善端到端组件和关系抽取？需要区分候选数量、选择器和修正动作的作用，并进一步与确定性后处理、通用自修正在可比计算预算下比较。</w:t>
      </w:r>
    </w:p>
    <w:p>
      <w:r>
        <w:rPr>
          <w:rFonts w:ascii="Times New Roman" w:hAnsi="Times New Roman" w:eastAsia="Songti SC"/>
          <w:color w:val="000000"/>
        </w:rPr>
        <w:t>RQ3：上述方法在明确标签归约的AAEC到CDCP迁移协议下，是否仍优于相应源域训练基线？该问题限定于单向、粗粒度迁移设置，不据此推导多语言或任意领域上的稳健性。</w:t>
      </w:r>
    </w:p>
    <w:p>
      <w:pPr>
        <w:pStyle w:val="Heading3"/>
      </w:pPr>
      <w:commentRangeStart w:id="2"/>
      <w:r>
        <w:t>1.3.2 主要研究工作与贡献</w:t>
      </w:r>
      <w:commentRangeEnd w:id="2"/>
      <w:r>
        <w:commentReference w:id="2"/>
      </w:r>
    </w:p>
    <w:p>
      <w:r>
        <w:rPr>
          <w:rFonts w:ascii="Times New Roman" w:hAnsi="Times New Roman" w:eastAsia="Songti SC"/>
          <w:color w:val="000000"/>
        </w:rPr>
        <w:t>（1）设计面向结论类组件的局部论辩结构保持增强方法。针对结论组件识别不足可能压缩关系预测候选空间的问题，以结论节点及其支撑或攻击邻域为增强单位，在保持组件类型、关系端点和方向的条件下生成表达变体，并以格式、结构和语义检查筛选样本。该设计将结论表达增强与局部关系监督结合，重点在于增强单位和监督保持机制；类型条件低秩适配、线索感知提示及辅助目标作为配套实现，不分别列为独立创新。</w:t>
      </w:r>
    </w:p>
    <w:p>
      <w:r>
        <w:rPr>
          <w:rFonts w:ascii="Times New Roman" w:hAnsi="Times New Roman" w:eastAsia="Songti SC"/>
          <w:color w:val="000000"/>
        </w:rPr>
        <w:t>（2）提出基于完整候选图评估与异常驱动局部修正的论辩图生成方法。针对单次组件预测及关系生成容易过早固定错误结构的问题，构建多组完整候选图，利用连接覆盖、边语义和合法性信号进行整体评估，再将检测到的异常映射为局部修改动作，并结合接受检查、回退与修正步数限制形成MCR-BR流程。方法贡献在于图级选择和局部修正的任务特定组织，不是多采样或自修正思想本身；当前动作集合不被表述为可以一般性补回遗漏节点。</w:t>
      </w:r>
    </w:p>
    <w:p>
      <w:r>
        <w:rPr>
          <w:rFonts w:ascii="Times New Roman" w:hAnsi="Times New Roman" w:eastAsia="Songti SC"/>
          <w:color w:val="000000"/>
        </w:rPr>
        <w:t>（3）开展域内评估与粗粒度协议下的跨语料迁移分析。围绕AAEC和CDCP整理组件、关系、消融、验证器替换及Oracle结果，并通过明确组件标签归约和有向无标签连接指标分析单向迁移表现。这部分属于验证与适用性分析，不构成第三项算法创新，也不将标签映射命名为新的领域自适应方法。</w:t>
      </w:r>
    </w:p>
    <w:p>
      <w:pPr>
        <w:keepNext/>
        <w:ind w:firstLine="0"/>
        <w:jc w:val="center"/>
      </w:pPr>
      <w:r>
        <w:rPr>
          <w:rFonts w:ascii="Times New Roman" w:hAnsi="Times New Roman" w:eastAsia="Songti SC"/>
          <w:color w:val="000000"/>
          <w:sz w:val="22"/>
        </w:rPr>
        <w:t>表1-1 研究问题与证据对应关系</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2268"/>
        <w:gridCol w:w="2154"/>
        <w:gridCol w:w="2608"/>
      </w:tblGrid>
      <w:tr>
        <w:trPr>
          <w:cantSplit/>
          <w:tblHeader/>
        </w:trPr>
        <w:tc>
          <w:tcPr>
            <w:tcW w:type="dxa" w:w="187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研究问题</w:t>
            </w:r>
          </w:p>
        </w:tc>
        <w:tc>
          <w:tcPr>
            <w:tcW w:type="dxa" w:w="226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主要方法</w:t>
            </w:r>
          </w:p>
        </w:tc>
        <w:tc>
          <w:tcPr>
            <w:tcW w:type="dxa" w:w="2154"/>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现有材料</w:t>
            </w:r>
          </w:p>
        </w:tc>
        <w:tc>
          <w:tcPr>
            <w:tcW w:type="dxa" w:w="260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尚缺的关键证据</w:t>
            </w:r>
          </w:p>
        </w:tc>
      </w:tr>
      <w:tr>
        <w:trPr>
          <w:cantSplit/>
        </w:trPr>
        <w:tc>
          <w:tcPr>
            <w:tcW w:type="dxa" w:w="187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RQ1 结论组件质量</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局部结构保持增强及配套表示模块</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分类别表与部分模块消融</w:t>
            </w:r>
          </w:p>
        </w:tc>
        <w:tc>
          <w:tcPr>
            <w:tcW w:type="dxa" w:w="26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配置冲突消解、类别统计、增强独立消融</w:t>
            </w:r>
          </w:p>
        </w:tc>
      </w:tr>
      <w:tr>
        <w:trPr>
          <w:cantSplit/>
        </w:trPr>
        <w:tc>
          <w:tcPr>
            <w:tcW w:type="dxa" w:w="187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RQ2 图级结构恢复</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完整候选图评估与异常驱动局部修正</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域内比较、验证器替换、Oracle记录</w:t>
            </w:r>
          </w:p>
        </w:tc>
        <w:tc>
          <w:tcPr>
            <w:tcW w:type="dxa" w:w="26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固定候选池比较、可执行动作、预算与时延</w:t>
            </w:r>
          </w:p>
        </w:tc>
      </w:tr>
      <w:tr>
        <w:trPr>
          <w:cantSplit/>
        </w:trPr>
        <w:tc>
          <w:tcPr>
            <w:tcW w:type="dxa" w:w="187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RQ3 跨语料适用性</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粗粒度映射下的源域迁移</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AAEC到CDCP单向记录</w:t>
            </w:r>
          </w:p>
        </w:tc>
        <w:tc>
          <w:tcPr>
            <w:tcW w:type="dxa" w:w="26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目标数据使用审计、双向迁移和映射敏感性</w:t>
            </w:r>
          </w:p>
        </w:tc>
      </w:tr>
    </w:tbl>
    <w:p>
      <w:pPr>
        <w:spacing w:after="0" w:line="240" w:lineRule="auto"/>
      </w:pPr>
    </w:p>
    <w:p>
      <w:r>
        <w:rPr>
          <w:rFonts w:ascii="Times New Roman" w:hAnsi="Times New Roman" w:eastAsia="Songti SC"/>
          <w:color w:val="000000"/>
        </w:rPr>
        <w:t>两项方法贡献描述的是本文的设计内容，不意味着其独立优越性已经由完整系统总分充分证明。现有数值记录、消融和方法分析分别承担不同证据作用：总分支持完整配置的表现，控制变量消融用于归因，形式分析用于限定可达空间与算法性质；三者不能相互替代。</w:t>
      </w:r>
    </w:p>
    <w:p>
      <w:pPr>
        <w:pStyle w:val="Heading2"/>
      </w:pPr>
      <w:r>
        <w:t>1.4 论文组织结构</w:t>
      </w:r>
    </w:p>
    <w:p>
      <w:pPr>
        <w:keepLines/>
      </w:pPr>
      <w:r>
        <w:rPr>
          <w:rFonts w:ascii="Times New Roman" w:hAnsi="Times New Roman" w:eastAsia="Songti SC"/>
          <w:color w:val="000000"/>
        </w:rPr>
        <w:t>第一章介绍研究问题、相关工作及两项方法贡献。第二章统一任务表示、序列化规范、评价口径和训练—推理接口。第三章给出面向结论类组件的局部论辩结构保持增强方法及配套表示模块。第四章介绍完整候选图评估与异常驱动局部修正方法MCR-BR，分析其性质并整理域内结果。第五章在粗粒度标签和有向无标签连接协议下分析跨语料迁移。第六章总结研究工作及后续验证方向。附录保留实现核验清单与待实验的算法修订建议，不将建议视为已实现方法。</w:t>
      </w:r>
    </w:p>
    <w:p>
      <w:pPr>
        <w:pStyle w:val="Heading1"/>
      </w:pPr>
      <w:r>
        <w:t>第二章 任务表示与方法基础</w:t>
      </w:r>
    </w:p>
    <w:p>
      <w:pPr>
        <w:pStyle w:val="Heading2"/>
      </w:pPr>
      <w:r>
        <w:t>2.1 论辩组件与关系表示</w:t>
      </w:r>
    </w:p>
    <w:p>
      <w:r>
        <w:rPr>
          <w:rFonts w:ascii="Times New Roman" w:hAnsi="Times New Roman" w:eastAsia="Songti SC"/>
          <w:color w:val="000000"/>
        </w:rPr>
        <w:t>设输入文档在固定评价分词器下表示为</w:t>
      </w:r>
      <m:oMath>
        <m:r>
          <m:t xml:space="preserve">D</m:t>
        </m:r>
        <m:r>
          <m:t xml:space="preserve">=</m:t>
        </m:r>
        <m:r>
          <m:t xml:space="preserve">(</m:t>
        </m:r>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oMath>
      <w:r>
        <w:rPr>
          <w:rFonts w:ascii="Times New Roman" w:hAnsi="Times New Roman" w:eastAsia="Songti SC"/>
          <w:color w:val="000000"/>
        </w:rPr>
        <w:t>。一个组件定义为</w:t>
      </w:r>
      <m:oMath>
        <m:sSub>
          <m:e>
            <m:r>
              <m:t xml:space="preserve">c</m:t>
            </m:r>
          </m:e>
          <m:sub>
            <m:r>
              <m:t xml:space="preserve">i</m:t>
            </m:r>
          </m:sub>
        </m:sSub>
        <m:r>
          <m:t xml:space="preserve">=</m:t>
        </m:r>
        <m:r>
          <m:t xml:space="preserve">(</m:t>
        </m:r>
        <m:sSub>
          <m:e>
            <m:r>
              <m:t xml:space="preserve">s</m:t>
            </m:r>
          </m:e>
          <m:sub>
            <m:r>
              <m:t xml:space="preserve">i</m:t>
            </m:r>
          </m:sub>
        </m:sSub>
        <m:r>
          <m:t xml:space="preserve">,</m:t>
        </m:r>
        <m:sSub>
          <m:e>
            <m:r>
              <m:t xml:space="preserve">e</m:t>
            </m:r>
          </m:e>
          <m:sub>
            <m:r>
              <m:t xml:space="preserve">i</m:t>
            </m:r>
          </m:sub>
        </m:sSub>
        <m:r>
          <m:t xml:space="preserve">,</m:t>
        </m:r>
        <m:sSub>
          <m:e>
            <m:r>
              <m:t xml:space="preserve">τ</m:t>
            </m:r>
          </m:e>
          <m:sub>
            <m:r>
              <m:t xml:space="preserve">i</m:t>
            </m:r>
          </m:sub>
        </m:sSub>
        <m:r>
          <m:t xml:space="preserve">)</m:t>
        </m:r>
      </m:oMath>
      <w:r>
        <w:rPr>
          <w:rFonts w:ascii="Times New Roman" w:hAnsi="Times New Roman" w:eastAsia="Songti SC"/>
          <w:color w:val="000000"/>
        </w:rPr>
        <w:t>，其中</w:t>
      </w:r>
      <m:oMath>
        <m:r>
          <m:t xml:space="preserve">1</m:t>
        </m:r>
        <m:r>
          <m:t xml:space="preserve">≤</m:t>
        </m:r>
        <m:sSub>
          <m:e>
            <m:r>
              <m:t xml:space="preserve">s</m:t>
            </m:r>
          </m:e>
          <m:sub>
            <m:r>
              <m:t xml:space="preserve">i</m:t>
            </m:r>
          </m:sub>
        </m:sSub>
        <m:r>
          <m:t xml:space="preserve">≤</m:t>
        </m:r>
        <m:sSub>
          <m:e>
            <m:r>
              <m:t xml:space="preserve">e</m:t>
            </m:r>
          </m:e>
          <m:sub>
            <m:r>
              <m:t xml:space="preserve">i</m:t>
            </m:r>
          </m:sub>
        </m:sSub>
        <m:r>
          <m:t xml:space="preserve">≤</m:t>
        </m:r>
        <m:r>
          <m:t xml:space="preserve">n</m:t>
        </m:r>
      </m:oMath>
      <w:r>
        <w:rPr>
          <w:rFonts w:ascii="Times New Roman" w:hAnsi="Times New Roman" w:eastAsia="Songti SC"/>
          <w:color w:val="000000"/>
        </w:rPr>
        <w:t>，跨度采用从1开始的闭区间，</w:t>
      </w:r>
      <m:oMath>
        <m:sSub>
          <m:e>
            <m:r>
              <m:t xml:space="preserve">τ</m:t>
            </m:r>
          </m:e>
          <m:sub>
            <m:r>
              <m:t xml:space="preserve">i</m:t>
            </m:r>
          </m:sub>
        </m:sSub>
      </m:oMath>
      <w:r>
        <w:rPr>
          <w:rFonts w:ascii="Times New Roman" w:hAnsi="Times New Roman" w:eastAsia="Songti SC"/>
          <w:color w:val="000000"/>
        </w:rPr>
        <w:t>为数据集规定的类型。评价token与模型内部子词token不是同一概念；模型输出需映射回统一评价坐标后再比较。具体分词器和映射脚本属于实验配置，不能仅靠这一数学定义确定。</w:t>
      </w:r>
    </w:p>
    <w:p>
      <w:r>
        <w:rPr>
          <w:rFonts w:ascii="Times New Roman" w:hAnsi="Times New Roman" w:eastAsia="Songti SC"/>
          <w:color w:val="000000"/>
        </w:rPr>
        <w:t>组件集合记为</w:t>
      </w:r>
      <m:oMath>
        <m:r>
          <m:t xml:space="preserve">C</m:t>
        </m:r>
        <m:r>
          <m:t xml:space="preserve">=</m:t>
        </m:r>
        <m:r>
          <m:rPr>
            <m:sty m:val="p"/>
          </m:rPr>
          <m:t xml:space="preserve">{</m:t>
        </m:r>
        <m:sSub>
          <m:e>
            <m:r>
              <m:t xml:space="preserve">c</m:t>
            </m:r>
          </m:e>
          <m:sub>
            <m:r>
              <m:t xml:space="preserve">1</m:t>
            </m:r>
          </m:sub>
        </m:sSub>
        <m:r>
          <m:t xml:space="preserve">,</m:t>
        </m:r>
        <m:r>
          <m:t xml:space="preserve">…</m:t>
        </m:r>
        <m:r>
          <m:t xml:space="preserve">,</m:t>
        </m:r>
        <m:sSub>
          <m:e>
            <m:r>
              <m:t xml:space="preserve">c</m:t>
            </m:r>
          </m:e>
          <m:sub>
            <m:r>
              <m:t xml:space="preserve">m</m:t>
            </m:r>
          </m:sub>
        </m:sSub>
        <m:r>
          <m:rPr>
            <m:sty m:val="p"/>
          </m:rPr>
          <m:t xml:space="preserve">}</m:t>
        </m:r>
      </m:oMath>
      <w:r>
        <w:rPr>
          <w:rFonts w:ascii="Times New Roman" w:hAnsi="Times New Roman" w:eastAsia="Songti SC"/>
          <w:color w:val="000000"/>
        </w:rPr>
        <w:t>。关系定义为</w:t>
      </w:r>
      <m:oMath>
        <m:r>
          <m:t xml:space="preserve">(</m:t>
        </m:r>
        <m:r>
          <m:t xml:space="preserve">i</m:t>
        </m:r>
        <m:r>
          <m:t xml:space="preserve">,</m:t>
        </m:r>
        <m:r>
          <m:t xml:space="preserve">j</m:t>
        </m:r>
        <m:r>
          <m:t xml:space="preserve">,</m:t>
        </m:r>
        <m:r>
          <m:t xml:space="preserve">r</m:t>
        </m:r>
        <m:r>
          <m:t xml:space="preserve">)</m:t>
        </m:r>
      </m:oMath>
      <w:r>
        <w:rPr>
          <w:rFonts w:ascii="Times New Roman" w:hAnsi="Times New Roman" w:eastAsia="Songti SC"/>
          <w:color w:val="000000"/>
        </w:rPr>
        <w:t>，其中</w:t>
      </w:r>
      <m:oMath>
        <m:r>
          <m:t xml:space="preserve">i</m:t>
        </m:r>
      </m:oMath>
      <w:r>
        <w:rPr>
          <w:rFonts w:ascii="Times New Roman" w:hAnsi="Times New Roman" w:eastAsia="Songti SC"/>
          <w:color w:val="000000"/>
        </w:rPr>
        <w:t>和</w:t>
      </w:r>
      <m:oMath>
        <m:r>
          <m:t xml:space="preserve">j</m:t>
        </m:r>
      </m:oMath>
      <w:r>
        <w:rPr>
          <w:rFonts w:ascii="Times New Roman" w:hAnsi="Times New Roman" w:eastAsia="Songti SC"/>
          <w:color w:val="000000"/>
        </w:rPr>
        <w:t>引用组件编号，方向约定为论据或攻击来源指向被支持或被攻击的目标。预测图为</w:t>
      </w:r>
      <m:oMath>
        <m:r>
          <m:t xml:space="preserve">G</m:t>
        </m:r>
        <m:r>
          <m:t xml:space="preserve">=</m:t>
        </m:r>
        <m:r>
          <m:t xml:space="preserve">(</m:t>
        </m:r>
        <m:r>
          <m:t xml:space="preserve">V</m:t>
        </m:r>
        <m:r>
          <m:t xml:space="preserve">,</m:t>
        </m:r>
        <m:r>
          <m:t xml:space="preserve">E</m:t>
        </m:r>
        <m:r>
          <m:t xml:space="preserve">)</m:t>
        </m:r>
      </m:oMath>
      <w:r>
        <w:rPr>
          <w:rFonts w:ascii="Times New Roman" w:hAnsi="Times New Roman" w:eastAsia="Songti SC"/>
          <w:color w:val="000000"/>
        </w:rPr>
        <w:t>，节点对应组件，边对应关系。本文的“端到端”指评价从原始文本出发、不提供金标准组件；系统内部可以包含组件生成、关系构建与验证等阶段，并不特指一次模型调用。</w:t>
      </w:r>
    </w:p>
    <w:p>
      <w:pPr>
        <w:keepNext/>
        <w:ind w:firstLine="0"/>
        <w:jc w:val="center"/>
      </w:pPr>
      <w:r>
        <w:rPr>
          <w:rFonts w:ascii="Times New Roman" w:hAnsi="Times New Roman" w:eastAsia="Songti SC"/>
          <w:color w:val="000000"/>
          <w:sz w:val="22"/>
        </w:rPr>
        <w:t>表2-1 域内任务的标签与评价边界</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2948"/>
        <w:gridCol w:w="1701"/>
        <w:gridCol w:w="3231"/>
      </w:tblGrid>
      <w:tr>
        <w:trPr>
          <w:cantSplit/>
          <w:tblHeader/>
        </w:trPr>
        <w:tc>
          <w:tcPr>
            <w:tcW w:type="dxa" w:w="1020"/>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语料</w:t>
            </w:r>
          </w:p>
        </w:tc>
        <w:tc>
          <w:tcPr>
            <w:tcW w:type="dxa" w:w="294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组件类型</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本文域内关系标签</w:t>
            </w:r>
          </w:p>
        </w:tc>
        <w:tc>
          <w:tcPr>
            <w:tcW w:type="dxa" w:w="323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需要区分的属性或结构</w:t>
            </w:r>
          </w:p>
        </w:tc>
      </w:tr>
      <w:tr>
        <w:trPr>
          <w:cantSplit/>
        </w:trPr>
        <w:tc>
          <w:tcPr>
            <w:tcW w:type="dxa" w:w="102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29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MajorClaim、Claim、Premise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Support、Attack</w:t>
            </w:r>
          </w:p>
        </w:tc>
        <w:tc>
          <w:tcPr>
            <w:tcW w:type="dxa" w:w="323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Claim对MajorClaim的stance不混入本文关系F1</w:t>
            </w:r>
          </w:p>
        </w:tc>
      </w:tr>
      <w:tr>
        <w:trPr>
          <w:cantSplit/>
        </w:trPr>
        <w:tc>
          <w:tcPr>
            <w:tcW w:type="dxa" w:w="102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4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Fact、Testimony、Value、Policy、Reference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Reason、Evidence</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允许非树状连接；需核验多片段前提的预处理</w:t>
            </w:r>
          </w:p>
        </w:tc>
      </w:tr>
    </w:tbl>
    <w:p>
      <w:pPr>
        <w:spacing w:after="0" w:line="240" w:lineRule="auto"/>
      </w:pPr>
    </w:p>
    <w:p>
      <w:r>
        <w:rPr>
          <w:rFonts w:ascii="Times New Roman" w:hAnsi="Times New Roman" w:eastAsia="Songti SC"/>
          <w:color w:val="000000"/>
        </w:rPr>
        <w:t>表2-1依据相应语料与文本到文本基线的任务说明整理[2][3][7]。AAEC中Claim与MajorClaim的立场属性不能在缺少说明的情况下转换为Support或Attack边；因此MajorClaim的重要性不能直接用本文关系集合中的高连接度来论证。CDCP的功能类型也不与Claim/Premise天然等价，第五章的映射是额外评测选择。</w:t>
      </w:r>
    </w:p>
    <w:p>
      <w:pPr>
        <w:pStyle w:val="Heading2"/>
      </w:pPr>
      <w:r>
        <w:t>2.2 合法图与序列化约定</w:t>
      </w:r>
    </w:p>
    <w:p>
      <w:r>
        <w:rPr>
          <w:rFonts w:ascii="Times New Roman" w:hAnsi="Times New Roman" w:eastAsia="Songti SC"/>
          <w:color w:val="000000"/>
        </w:rPr>
        <w:t>对实验标注规范</w:t>
      </w:r>
      <m:oMath>
        <m:r>
          <m:t xml:space="preserve">𝒜</m:t>
        </m:r>
      </m:oMath>
      <w:r>
        <w:rPr>
          <w:rFonts w:ascii="Times New Roman" w:hAnsi="Times New Roman" w:eastAsia="Songti SC"/>
          <w:color w:val="000000"/>
        </w:rPr>
        <w:t>，记满足跨度、类型、引用和指定拓扑条件的图集合为</w:t>
      </w:r>
      <m:oMath>
        <m:sSub>
          <m:e>
            <m:r>
              <m:t xml:space="preserve">𝒢</m:t>
            </m:r>
          </m:e>
          <m:sub>
            <m:r>
              <m:t xml:space="preserve">𝒜</m:t>
            </m:r>
          </m:sub>
        </m:sSub>
      </m:oMath>
      <w:r>
        <w:rPr>
          <w:rFonts w:ascii="Times New Roman" w:hAnsi="Times New Roman" w:eastAsia="Songti SC"/>
          <w:color w:val="000000"/>
        </w:rPr>
        <w:t>。本文的无环性属于所采用实验表示的约束，不是对所有论辩语料或抽象论辩理论的定义。若预处理删除环、合并组件或简化边，应报告受影响样本及其比例，以免通过预处理改变测试任务。</w:t>
      </w:r>
    </w:p>
    <w:p>
      <w:r>
        <w:rPr>
          <w:rFonts w:ascii="Times New Roman" w:hAnsi="Times New Roman" w:eastAsia="Songti SC"/>
          <w:color w:val="000000"/>
        </w:rPr>
        <w:t>在“论据指向结论”的边方向下，局部根节点的出度为0，叶节点的入度为0。若需要定义深度，应沿实际边方向计算叶到根路径，或明确在反向图上计算根到叶距离，不能在原图中同时采用根出度为0和根沿出边到达叶的定义。一个文档可能包含多个不连通子图，因此不要求每篇文档恰好一个根。</w:t>
      </w:r>
    </w:p>
    <w:p>
      <w:r>
        <w:rPr>
          <w:rFonts w:ascii="Times New Roman" w:hAnsi="Times New Roman" w:eastAsia="Songti SC"/>
          <w:color w:val="000000"/>
        </w:rPr>
        <w:t>序列化规范包括唯一组件ID、整数跨度、合法类型及关系端点。以下为人工构造的格式示例，不是实验样本。评价token序列为“Libraries / should / stay / open / longer / . / Students / need / study / space / .”，其中Claim跨度为1至5，Premise跨度为7至10，后者支持前者。</w:t>
      </w:r>
    </w:p>
    <w:p>
      <w:pPr>
        <w:keepLines/>
        <w:spacing w:line="264" w:lineRule="auto" w:before="100" w:after="180"/>
        <w:ind w:firstLine="0" w:left="170"/>
      </w:pPr>
      <w:r>
        <w:rPr>
          <w:rFonts w:ascii="Courier New" w:hAnsi="Courier New" w:eastAsia="Songti SC"/>
          <w:color w:val="000000"/>
          <w:sz w:val="19"/>
        </w:rPr>
        <w:t>{</w:t>
        <w:br/>
        <w:t xml:space="preserve">  "components": [</w:t>
        <w:br/>
        <w:t xml:space="preserve">    {"id": 1, "span": [1, 5], "type": "Claim"},</w:t>
        <w:br/>
        <w:t xml:space="preserve">    {"id": 2, "span": [7, 10], "type": "Premise"}</w:t>
        <w:br/>
        <w:t xml:space="preserve">  ],</w:t>
        <w:br/>
        <w:t xml:space="preserve">  "relations": [</w:t>
        <w:br/>
        <w:t xml:space="preserve">    {"source": 2, "target": 1, "type": "Support"}</w:t>
        <w:br/>
        <w:t xml:space="preserve">  ]</w:t>
        <w:br/>
        <w:t>}</w:t>
      </w:r>
    </w:p>
    <w:p>
      <w:r>
        <w:rPr>
          <w:rFonts w:ascii="Times New Roman" w:hAnsi="Times New Roman" w:eastAsia="Songti SC"/>
          <w:color w:val="000000"/>
        </w:rPr>
        <w:t>该例只说明坐标和引用约定。它不声称所有实现均采用相同字段顺序；第三章的门控依赖字段顺序，必须另行核对实际解码配置。去重、重叠跨度消解和编号重排均应同时更新关系端点，并保留原始输出与规范化输出，以便区分生成错误和解析器造成的变化。</w:t>
      </w:r>
    </w:p>
    <w:p>
      <w:pPr>
        <w:pStyle w:val="Heading2"/>
      </w:pPr>
      <w:r>
        <w:t>2.3 生成建模与参数高效适配</w:t>
      </w:r>
    </w:p>
    <w:p>
      <w:r>
        <w:rPr>
          <w:rFonts w:ascii="Times New Roman" w:hAnsi="Times New Roman" w:eastAsia="Songti SC"/>
          <w:color w:val="000000"/>
        </w:rPr>
        <w:t>对序列化输出</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Songti SC"/>
          <w:color w:val="000000"/>
        </w:rPr>
        <w:t>，自回归模型定义为：</w:t>
      </w:r>
    </w:p>
    <w:p>
      <w:pPr>
        <w:keepLines/>
        <w:spacing w:line="288" w:lineRule="auto" w:before="100" w:after="180"/>
        <w:ind w:firstLine="0"/>
        <w:jc w:val="center"/>
      </w:pPr>
      <m:oMath>
        <m:sSub>
          <m:e>
            <m:r>
              <m:t xml:space="preserve">P</m:t>
            </m:r>
          </m:e>
          <m:sub>
            <m:r>
              <m:t xml:space="preserve">θ</m:t>
            </m:r>
          </m:sub>
        </m:sSub>
        <m:r>
          <m:t xml:space="preserve">(</m:t>
        </m:r>
        <m:r>
          <m:t xml:space="preserve">Y</m:t>
        </m:r>
        <m:r>
          <m:t xml:space="preserve">∣</m:t>
        </m:r>
        <m:r>
          <m:t xml:space="preserve">D</m:t>
        </m:r>
        <m:r>
          <m:t xml:space="preserve">)</m:t>
        </m:r>
        <m:r>
          <m:t xml:space="preserve">=</m:t>
        </m:r>
        <m:sSubSup>
          <m:e>
            <m:r>
              <m:t xml:space="preserve">∏</m:t>
            </m:r>
          </m:e>
          <m:sub>
            <m:r>
              <m:t xml:space="preserve">t</m:t>
            </m:r>
            <m:r>
              <m:t xml:space="preserve">=</m:t>
            </m:r>
            <m:r>
              <m:t xml:space="preserve">1</m:t>
            </m:r>
          </m:sub>
          <m:sup>
            <m:r>
              <m:t xml:space="preserve">L</m:t>
            </m:r>
          </m:sup>
        </m:sSubSup>
        <m:sSub>
          <m:e>
            <m:r>
              <m:t xml:space="preserve">P</m:t>
            </m:r>
          </m:e>
          <m:sub>
            <m:r>
              <m:t xml:space="preserve">θ</m:t>
            </m:r>
          </m:sub>
        </m:sSub>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r>
        <w:rPr>
          <w:rFonts w:ascii="Times New Roman" w:hAnsi="Times New Roman" w:eastAsia="Songti SC"/>
          <w:color w:val="000000"/>
          <w:sz w:val="20"/>
        </w:rPr>
        <w:t xml:space="preserve">　（2-1）</w:t>
      </w:r>
    </w:p>
    <w:p>
      <w:r>
        <w:rPr>
          <w:rFonts w:ascii="Times New Roman" w:hAnsi="Times New Roman" w:eastAsia="Songti SC"/>
          <w:color w:val="000000"/>
        </w:rPr>
        <w:t>Transformer通过自注意力聚合上下文信息，为序列建模提供基础[27]。本文使用的骨干为原稿所述Qwen2.5-7B-Instruct；Qwen2.5技术报告可用于说明模型系列，但不能代替本文具体权重版本、训练配置和硬件记录[28]。序列概率受输出长度和字段顺序影响，用于候选排序时需明确是否长度归一化；高概率并不意味着候选图中的每条关系均正确。</w:t>
      </w:r>
    </w:p>
    <w:p>
      <w:r>
        <w:rPr>
          <w:rFonts w:ascii="Times New Roman" w:hAnsi="Times New Roman" w:eastAsia="Songti SC"/>
          <w:color w:val="000000"/>
        </w:rPr>
        <w:t>LoRA在冻结基础权重的条件下引入低秩增量[29]。对于一般线性投影，采用统一表示：</w:t>
      </w:r>
    </w:p>
    <w:p>
      <w:pPr>
        <w:keepLines/>
        <w:spacing w:line="288" w:lineRule="auto" w:before="100" w:after="18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rPr>
            <m:sty m:val="p"/>
          </m:rPr>
          <m:t xml:space="preserve"> </m:t>
        </m:r>
        <m:r>
          <m:t xml:space="preserve">A</m:t>
        </m:r>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r>
          <m:t xml:space="preserve">B</m:t>
        </m:r>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r>
        <w:rPr>
          <w:rFonts w:ascii="Times New Roman" w:hAnsi="Times New Roman" w:eastAsia="Songti SC"/>
          <w:color w:val="000000"/>
          <w:sz w:val="20"/>
        </w:rPr>
        <w:t xml:space="preserve">　（2-2）</w:t>
      </w:r>
    </w:p>
    <w:p>
      <w:r>
        <w:rPr>
          <w:rFonts w:ascii="Times New Roman" w:hAnsi="Times New Roman" w:eastAsia="Songti SC"/>
          <w:color w:val="000000"/>
        </w:rPr>
        <w:t>其中</w:t>
      </w:r>
      <m:oMath>
        <m:r>
          <m:t xml:space="preserve">r</m:t>
        </m:r>
      </m:oMath>
      <w:r>
        <w:rPr>
          <w:rFonts w:ascii="Times New Roman" w:hAnsi="Times New Roman" w:eastAsia="Songti SC"/>
          <w:color w:val="000000"/>
        </w:rPr>
        <w:t>为秩，</w:t>
      </w:r>
      <m:oMath>
        <m:r>
          <m:t xml:space="preserve">α</m:t>
        </m:r>
      </m:oMath>
      <w:r>
        <w:rPr>
          <w:rFonts w:ascii="Times New Roman" w:hAnsi="Times New Roman" w:eastAsia="Songti SC"/>
          <w:color w:val="000000"/>
        </w:rPr>
        <w:t>为缩放系数。第三章的类型条件门控是附加于这一低秩分支的任务设计，不应把LoRA本身描述为新提出的结构。连续提示则使用可学习向量为冻结或部分微调的模型提供任务条件，其相关基础来自参数高效提示调优研究[30]。是否启用提示、提示插入位置及其与LoRA共同训练的方式，均属于具体实现而非方法名称自带的性质。</w:t>
      </w:r>
    </w:p>
    <w:p>
      <w:pPr>
        <w:pStyle w:val="Heading2"/>
      </w:pPr>
      <w:r>
        <w:t>2.4 候选选择与代理评分</w:t>
      </w:r>
    </w:p>
    <w:p>
      <w:r>
        <w:rPr>
          <w:rFonts w:ascii="Times New Roman" w:hAnsi="Times New Roman" w:eastAsia="Songti SC"/>
          <w:color w:val="000000"/>
        </w:rPr>
        <w:t>给定候选集合</w:t>
      </w:r>
      <m:oMath>
        <m:r>
          <m:t xml:space="preserve">𝒮</m:t>
        </m:r>
        <m:r>
          <m:t xml:space="preserve">=</m:t>
        </m:r>
        <m:r>
          <m:rPr>
            <m:sty m:val="p"/>
          </m:rPr>
          <m:t xml:space="preserve">{</m:t>
        </m:r>
        <m:sSub>
          <m:e>
            <m:r>
              <m:t xml:space="preserve">S</m:t>
            </m:r>
          </m:e>
          <m:sub>
            <m:r>
              <m:t xml:space="preserve">1</m:t>
            </m:r>
          </m:sub>
        </m:sSub>
        <m:r>
          <m:t xml:space="preserve">,</m:t>
        </m:r>
        <m:r>
          <m:t xml:space="preserve">…</m:t>
        </m:r>
        <m:r>
          <m:t xml:space="preserve">,</m:t>
        </m:r>
        <m:sSub>
          <m:e>
            <m:r>
              <m:t xml:space="preserve">S</m:t>
            </m:r>
          </m:e>
          <m:sub>
            <m:r>
              <m:t xml:space="preserve">K</m:t>
            </m:r>
          </m:sub>
        </m:sSub>
        <m:r>
          <m:rPr>
            <m:sty m:val="p"/>
          </m:rPr>
          <m:t xml:space="preserve">}</m:t>
        </m:r>
      </m:oMath>
      <w:r>
        <w:rPr>
          <w:rFonts w:ascii="Times New Roman" w:hAnsi="Times New Roman" w:eastAsia="Songti SC"/>
          <w:color w:val="000000"/>
        </w:rPr>
        <w:t>，重排序选择代理评分最高的候选：</w:t>
      </w:r>
    </w:p>
    <w:p>
      <w:pPr>
        <w:keepLines/>
        <w:spacing w:line="288" w:lineRule="auto" w:before="100" w:after="180"/>
        <w:ind w:firstLine="0"/>
        <w:jc w:val="center"/>
      </w:pPr>
      <m:oMath>
        <m:sSup>
          <m:e>
            <m:r>
              <m:t xml:space="preserve">S</m:t>
            </m:r>
          </m:e>
          <m:sup>
            <m:r>
              <m:t xml:space="preserve">*</m:t>
            </m:r>
          </m:sup>
        </m:sSup>
        <m:r>
          <m:t xml:space="preserve">=</m:t>
        </m:r>
        <m:r>
          <m:rPr>
            <m:sty m:val="p"/>
          </m:rPr>
          <m:t xml:space="preserve">arg</m:t>
        </m:r>
        <m:sSub>
          <m:e>
            <m:r>
              <m:rPr>
                <m:sty m:val="p"/>
              </m:rPr>
              <m:t xml:space="preserve">max</m:t>
            </m:r>
          </m:e>
          <m:sub>
            <m:r>
              <m:t xml:space="preserve">S</m:t>
            </m:r>
            <m:r>
              <m:t xml:space="preserve">∈</m:t>
            </m:r>
            <m:r>
              <m:t xml:space="preserve">𝒮</m:t>
            </m:r>
          </m:sub>
        </m:sSub>
        <m:r>
          <m:t xml:space="preserve">E</m:t>
        </m:r>
        <m:r>
          <m:t xml:space="preserve">(</m:t>
        </m:r>
        <m:r>
          <m:t xml:space="preserve">S</m:t>
        </m:r>
        <m:r>
          <m:t xml:space="preserve">)</m:t>
        </m:r>
        <m:r>
          <m:t xml:space="preserve">.</m:t>
        </m:r>
      </m:oMath>
      <w:r>
        <w:rPr>
          <w:rFonts w:ascii="Times New Roman" w:hAnsi="Times New Roman" w:eastAsia="Songti SC"/>
          <w:color w:val="000000"/>
          <w:sz w:val="20"/>
        </w:rPr>
        <w:t xml:space="preserve">　（2-3）</w:t>
      </w:r>
    </w:p>
    <w:p>
      <w:r>
        <w:rPr>
          <w:rFonts w:ascii="Times New Roman" w:hAnsi="Times New Roman" w:eastAsia="Songti SC"/>
          <w:color w:val="000000"/>
        </w:rPr>
        <w:t>这一过程包含两个不同问题：候选池中是否存在较好的结构，以及评分器是否能选到该结构。增加候选数可能改善前者，却不保证后者；重复候选还会增加成本而不扩大结构覆盖。Candidate Oracle可以在预先规定的金标准指标下估计当前候选池的可利用空间，但只能作为离线诊断，不能参与测试时的实际选择。</w:t>
      </w:r>
    </w:p>
    <w:p>
      <w:r>
        <w:rPr>
          <w:rFonts w:ascii="Times New Roman" w:hAnsi="Times New Roman" w:eastAsia="Songti SC"/>
          <w:color w:val="000000"/>
        </w:rPr>
        <w:t>本研究采用语义与结构混合评分。确定性检查能判断跨度越界、引用缺失等形式条件，语义验证器则判断上下文是否支持某条论辩关系。二者性质不同：前者相对于明确定义的检查规则可重复计算，后者仍受模型误判、提示和采样影响。生成器与验证器分开调用并不等于模型或知识来源独立，相关误差也不能通过调用次数自然消除。</w:t>
      </w:r>
    </w:p>
    <w:p>
      <w:pPr>
        <w:pStyle w:val="Heading2"/>
      </w:pPr>
      <w:r>
        <w:t>2.5 评价指标与可比性条件</w:t>
      </w:r>
    </w:p>
    <w:p>
      <w:r>
        <w:rPr>
          <w:rFonts w:ascii="Times New Roman" w:hAnsi="Times New Roman" w:eastAsia="Songti SC"/>
          <w:color w:val="000000"/>
        </w:rPr>
        <w:t>对于组件或关系集合，以</w:t>
      </w:r>
      <m:oMath>
        <m:r>
          <m:t xml:space="preserve">T</m:t>
        </m:r>
        <m:r>
          <m:t xml:space="preserve">P</m:t>
        </m:r>
      </m:oMath>
      <w:r>
        <w:rPr>
          <w:rFonts w:ascii="Times New Roman" w:hAnsi="Times New Roman" w:eastAsia="Songti SC"/>
          <w:color w:val="000000"/>
        </w:rPr>
        <w:t>、</w:t>
      </w:r>
      <m:oMath>
        <m:r>
          <m:t xml:space="preserve">F</m:t>
        </m:r>
        <m:r>
          <m:t xml:space="preserve">P</m:t>
        </m:r>
      </m:oMath>
      <w:r>
        <w:rPr>
          <w:rFonts w:ascii="Times New Roman" w:hAnsi="Times New Roman" w:eastAsia="Songti SC"/>
          <w:color w:val="000000"/>
        </w:rPr>
        <w:t>、</w:t>
      </w:r>
      <m:oMath>
        <m:r>
          <m:t xml:space="preserve">F</m:t>
        </m:r>
        <m:r>
          <m:t xml:space="preserve">N</m:t>
        </m:r>
      </m:oMath>
      <w:r>
        <w:rPr>
          <w:rFonts w:ascii="Times New Roman" w:hAnsi="Times New Roman" w:eastAsia="Songti SC"/>
          <w:color w:val="000000"/>
        </w:rPr>
        <w:t>分别表示正确预测、错误预测和遗漏对象的数量。总体精确率、召回率和F1为：</w:t>
      </w:r>
    </w:p>
    <w:p>
      <w:pPr>
        <w:keepLines/>
        <w:spacing w:line="288" w:lineRule="auto" w:before="100" w:after="18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r>
        <w:rPr>
          <w:rFonts w:ascii="Times New Roman" w:hAnsi="Times New Roman" w:eastAsia="Songti SC"/>
          <w:color w:val="000000"/>
          <w:sz w:val="20"/>
        </w:rPr>
        <w:t xml:space="preserve">　（2-4）</w:t>
      </w:r>
    </w:p>
    <w:p>
      <w:r>
        <w:rPr>
          <w:rFonts w:ascii="Times New Roman" w:hAnsi="Times New Roman" w:eastAsia="Songti SC"/>
          <w:color w:val="000000"/>
        </w:rPr>
        <w:t>组件评价采用跨度和类型精确匹配；关系评价要求源组件、目标组件、方向及关系类型符合预先约定的匹配规则。为避免端点类型处理差异，复现实验必须明确端点匹配是否包含类型，并对所有方法使用同一脚本。总体micro-F1应先汇总对象计数再计算，不能用分类别F1的算术平均替代。每文档macro-F1、跨类别macro-F1和多次运行的均值属于不同统计量，需分别命名。</w:t>
      </w:r>
    </w:p>
    <w:p>
      <w:r>
        <w:rPr>
          <w:rFonts w:ascii="Times New Roman" w:hAnsi="Times New Roman" w:eastAsia="Songti SC"/>
          <w:color w:val="000000"/>
        </w:rPr>
        <w:t>本稿公式和新增分析使用集合级精确匹配解释；原稿表格尚缺评价脚本与重复运行记录，故不据此补填其micro/macro配置，也不把“±”擅自解释为标准差或置信区间。F1数值按百分制报告，两个值相减称为“F1点”，不称相对提升百分比。相对增幅若使用，必须另列分母。</w:t>
      </w:r>
    </w:p>
    <w:p>
      <w:r>
        <w:rPr>
          <w:rFonts w:ascii="Times New Roman" w:hAnsi="Times New Roman" w:eastAsia="Songti SC"/>
          <w:color w:val="000000"/>
        </w:rPr>
        <w:t>跨域Link-F1主动忽略关系类型，不能与域内细粒度Relation-F1直接比较来估计领域性能下降。结构合法率也不能代替任务F1：删除所有关系可能消除引用错误，却同时丢失真实边。完整评价应同时关注组件和关系质量、输出合法性、错误修改风险以及推理成本。</w:t>
      </w:r>
    </w:p>
    <w:p>
      <w:pPr>
        <w:pStyle w:val="Heading2"/>
      </w:pPr>
      <w:commentRangeStart w:id="3"/>
      <w:r>
        <w:t>2.6 训练增强与推理修正的接口</w:t>
      </w:r>
      <w:commentRangeEnd w:id="3"/>
      <w:r>
        <w:commentReference w:id="3"/>
      </w:r>
    </w:p>
    <w:p>
      <w:r>
        <w:rPr>
          <w:rFonts w:ascii="Times New Roman" w:hAnsi="Times New Roman" w:eastAsia="Songti SC"/>
          <w:color w:val="000000"/>
        </w:rPr>
        <w:t>第三章在训练集上构造结论中心增强样本，并将其与原始样本用于组件及结构化生成学习；第四章在测试输入上调用训练后的生成器，形成多个组件假设和对应候选图，再执行选择与局部修改。两个阶段共享第二章定义的组件坐标、类型和关系引用规范，但推理阶段的验证评分不回传为训练损失，本文未定义联合优化验证器和生成器的闭环训练算法。</w:t>
      </w:r>
    </w:p>
    <w:p>
      <w:r>
        <w:rPr>
          <w:rFonts w:ascii="Times New Roman" w:hAnsi="Times New Roman" w:eastAsia="Songti SC"/>
          <w:color w:val="000000"/>
        </w:rPr>
        <w:t>因此，训练增强的作用应在推理策略固定时比较，图级选择与修正的作用应在生成器检查点及候选池固定时比较。完整框架可以报告组合后的表现，但不能用同一Full分数分别证明两个阶段的全部独立贡献。这一接口约定也是第三、四章同名配置核对的依据。</w:t>
      </w:r>
    </w:p>
    <w:p>
      <w:pPr>
        <w:pStyle w:val="Heading2"/>
      </w:pPr>
      <w:r>
        <w:t>2.7 本章小结</w:t>
      </w:r>
    </w:p>
    <w:p>
      <w:r>
        <w:rPr>
          <w:rFonts w:ascii="Times New Roman" w:hAnsi="Times New Roman" w:eastAsia="Songti SC"/>
          <w:color w:val="000000"/>
        </w:rPr>
        <w:t>本章统一了组件坐标、关系方向、数据集特定约束和评价口径，并区分语法合法性、图结构一致性与语义正确性。上述定义为第三章的结论组件增强和第四章的图级修正提供共同接口，也限定了实验结果能够支持的结论范围。</w:t>
      </w:r>
    </w:p>
    <w:p>
      <w:pPr>
        <w:pStyle w:val="Heading1"/>
      </w:pPr>
      <w:r>
        <w:t>第三章 面向结论类组件的局部论辩结构保持增强</w:t>
      </w:r>
    </w:p>
    <w:p>
      <w:commentRangeStart w:id="4"/>
      <w:r>
        <w:rPr>
          <w:rFonts w:ascii="Times New Roman" w:hAnsi="Times New Roman" w:eastAsia="Songti SC"/>
          <w:color w:val="000000"/>
        </w:rPr>
        <w:t>端到端论辩挖掘中的组件集合限定了后续关系搜索空间；在固定组件集的关系预测设定下，遗漏Claim会使其关联金标准边不可达。本章据此设计面向结论类组件的局部论辩结构保持增强方法，以结论及其支撑或攻击邻域组织生成条件，在表达变化中保留类型与关系监督。Claim-specific Adapter、Cue-aware Soft Prompting和句子级辅助目标作为配套表示模块，与增强数据共同服务于结论组件学习，不分别列为独立创新。MajorClaim与局部Claim在当前关系表示中的作用不同，下文分别说明其增强条件和证据范围。</w:t>
      </w:r>
      <w:commentRangeEnd w:id="4"/>
      <w:r>
        <w:commentReference w:id="4"/>
      </w:r>
    </w:p>
    <w:p>
      <w:pPr>
        <w:pStyle w:val="Heading2"/>
      </w:pPr>
      <w:r>
        <w:t>3.1 组件不平衡与结构影响</w:t>
      </w:r>
    </w:p>
    <w:p>
      <w:pPr>
        <w:pStyle w:val="Heading3"/>
      </w:pPr>
      <w:r>
        <w:t>3.1.1 统计口径</w:t>
      </w:r>
    </w:p>
    <w:p>
      <w:r>
        <w:rPr>
          <w:rFonts w:ascii="Times New Roman" w:hAnsi="Times New Roman" w:eastAsia="Songti SC"/>
          <w:color w:val="000000"/>
        </w:rPr>
        <w:t>设训练集组件类型集合为</w:t>
      </w:r>
      <m:oMath>
        <m:r>
          <m:t xml:space="preserve">𝒯</m:t>
        </m:r>
      </m:oMath>
      <w:r>
        <w:rPr>
          <w:rFonts w:ascii="Times New Roman" w:hAnsi="Times New Roman" w:eastAsia="Songti SC"/>
          <w:color w:val="000000"/>
        </w:rPr>
        <w:t>，类型</w:t>
      </w:r>
      <m:oMath>
        <m:r>
          <m:t xml:space="preserve">τ</m:t>
        </m:r>
      </m:oMath>
      <w:r>
        <w:rPr>
          <w:rFonts w:ascii="Times New Roman" w:hAnsi="Times New Roman" w:eastAsia="Songti SC"/>
          <w:color w:val="000000"/>
        </w:rPr>
        <w:t>的组件实例数为</w:t>
      </w:r>
      <m:oMath>
        <m:sSub>
          <m:e>
            <m:r>
              <m:t xml:space="preserve">N</m:t>
            </m:r>
          </m:e>
          <m:sub>
            <m:r>
              <m:t xml:space="preserve">τ</m:t>
            </m:r>
          </m:sub>
        </m:sSub>
      </m:oMath>
      <w:r>
        <w:rPr>
          <w:rFonts w:ascii="Times New Roman" w:hAnsi="Times New Roman" w:eastAsia="Songti SC"/>
          <w:color w:val="000000"/>
        </w:rPr>
        <w:t>，则实例级类别不平衡比定义为：</w:t>
      </w:r>
    </w:p>
    <w:p>
      <w:pPr>
        <w:keepLines/>
        <w:spacing w:line="288" w:lineRule="auto" w:before="100" w:after="180"/>
        <w:ind w:firstLine="0"/>
        <w:jc w:val="center"/>
      </w:pPr>
      <m:oMath>
        <m:r>
          <m:rPr>
            <m:sty m:val="p"/>
          </m:rPr>
          <m:t xml:space="preserve">IR</m:t>
        </m:r>
        <m:r>
          <m:t xml:space="preserve">=</m:t>
        </m:r>
        <m:f>
          <m:num>
            <m:sSub>
              <m:e>
                <m:r>
                  <m:rPr>
                    <m:sty m:val="p"/>
                  </m:rPr>
                  <m:t xml:space="preserve">max</m:t>
                </m:r>
              </m:e>
              <m:sub>
                <m:r>
                  <m:t xml:space="preserve">τ</m:t>
                </m:r>
                <m:r>
                  <m:t xml:space="preserve">∈</m:t>
                </m:r>
                <m:r>
                  <m:t xml:space="preserve">𝒯</m:t>
                </m:r>
              </m:sub>
            </m:sSub>
            <m:sSub>
              <m:e>
                <m:r>
                  <m:t xml:space="preserve">N</m:t>
                </m:r>
              </m:e>
              <m:sub>
                <m:r>
                  <m:t xml:space="preserve">τ</m:t>
                </m:r>
              </m:sub>
            </m:sSub>
          </m:num>
          <m:den>
            <m:sSub>
              <m:e>
                <m:r>
                  <m:rPr>
                    <m:sty m:val="p"/>
                  </m:rPr>
                  <m:t xml:space="preserve">min</m:t>
                </m:r>
              </m:e>
              <m:sub>
                <m:r>
                  <m:t xml:space="preserve">τ</m:t>
                </m:r>
                <m:r>
                  <m:t xml:space="preserve">∈</m:t>
                </m:r>
                <m:r>
                  <m:t xml:space="preserve">𝒯</m:t>
                </m:r>
              </m:sub>
            </m:sSub>
            <m:sSub>
              <m:e>
                <m:r>
                  <m:t xml:space="preserve">N</m:t>
                </m:r>
              </m:e>
              <m:sub>
                <m:r>
                  <m:t xml:space="preserve">τ</m:t>
                </m:r>
              </m:sub>
            </m:sSub>
          </m:den>
        </m:f>
        <m:r>
          <m:t xml:space="preserve">.</m:t>
        </m:r>
      </m:oMath>
      <w:r>
        <w:rPr>
          <w:rFonts w:ascii="Times New Roman" w:hAnsi="Times New Roman" w:eastAsia="Songti SC"/>
          <w:color w:val="000000"/>
          <w:sz w:val="20"/>
        </w:rPr>
        <w:t xml:space="preserve">　（3-1）</w:t>
      </w:r>
    </w:p>
    <w:p>
      <w:r>
        <w:rPr>
          <w:rFonts w:ascii="Times New Roman" w:hAnsi="Times New Roman" w:eastAsia="Songti SC"/>
          <w:color w:val="000000"/>
        </w:rPr>
        <w:t>本文以完成数据划分之后的训练集组件实例作为类别统计单位。该口径不同于token级BIO标签数和句子级标签数，不能相互替代。实例数也不能直接决定生成损失的贡献，因为不同类型组件对应的输出长度和损失归一化方式可能不同。</w:t>
      </w:r>
    </w:p>
    <w:p>
      <w:pPr>
        <w:ind w:firstLine="0"/>
      </w:pPr>
      <w:r>
        <w:rPr>
          <w:rFonts w:ascii="Times New Roman" w:hAnsi="Times New Roman" w:eastAsia="Songti SC"/>
          <w:color w:val="000000"/>
          <w:sz w:val="22"/>
        </w:rPr>
        <w:t>待核验R01：原稿没有提供实际训练划分下各类型的实例数、增强后的数量及IR值。本稿保留结论类增强的研究动机，但不把未经统计的“长尾程度”或“梯度覆盖”当作已证实事实。应分别报告MajorClaim、Claim和Premise的实例数、平均跨度长度及含该类型的文档数。</w:t>
      </w:r>
    </w:p>
    <w:p>
      <w:r>
        <w:rPr>
          <w:rFonts w:ascii="Times New Roman" w:hAnsi="Times New Roman" w:eastAsia="Songti SC"/>
          <w:color w:val="000000"/>
        </w:rPr>
        <w:t>在本文AAEC关系评价中，Claim到MajorClaim的stance不计为关系边。因此，局部Claim的遗漏可直接影响其关联边召回，MajorClaim的优化主要对应文档级类型与语境表示；二者不能共享“高连接度节点”的统一论证。</w:t>
      </w:r>
    </w:p>
    <w:p>
      <w:pPr>
        <w:pStyle w:val="Heading3"/>
      </w:pPr>
      <w:r>
        <w:t>3.1.2 错误传播路径</w:t>
      </w:r>
    </w:p>
    <w:p>
      <w:r>
        <w:rPr>
          <w:rFonts w:ascii="Times New Roman" w:hAnsi="Times New Roman" w:eastAsia="Songti SC"/>
          <w:color w:val="000000"/>
        </w:rPr>
        <w:t>给定金标准组件集合</w:t>
      </w:r>
      <m:oMath>
        <m:r>
          <m:t xml:space="preserve">C</m:t>
        </m:r>
      </m:oMath>
      <w:r>
        <w:rPr>
          <w:rFonts w:ascii="Times New Roman" w:hAnsi="Times New Roman" w:eastAsia="Songti SC"/>
          <w:color w:val="000000"/>
        </w:rPr>
        <w:t>和预测组件集合</w:t>
      </w:r>
      <m:oMath>
        <m:acc>
          <m:accPr>
            <m:chr m:val="̂"/>
          </m:accPr>
          <m:e>
            <m:r>
              <m:t xml:space="preserve">C</m:t>
            </m:r>
          </m:e>
        </m:acc>
      </m:oMath>
      <w:r>
        <w:rPr>
          <w:rFonts w:ascii="Times New Roman" w:hAnsi="Times New Roman" w:eastAsia="Songti SC"/>
          <w:color w:val="000000"/>
        </w:rPr>
        <w:t>，关系模块若不改变组件集合，只能在</w:t>
      </w:r>
      <m:oMath>
        <m:acc>
          <m:accPr>
            <m:chr m:val="̂"/>
          </m:accPr>
          <m:e>
            <m:r>
              <m:t xml:space="preserve">C</m:t>
            </m:r>
          </m:e>
        </m:acc>
        <m:r>
          <m:t xml:space="preserve">×</m:t>
        </m:r>
        <m:acc>
          <m:accPr>
            <m:chr m:val="̂"/>
          </m:accPr>
          <m:e>
            <m:r>
              <m:t xml:space="preserve">C</m:t>
            </m:r>
          </m:e>
        </m:acc>
      </m:oMath>
      <w:r>
        <w:rPr>
          <w:rFonts w:ascii="Times New Roman" w:hAnsi="Times New Roman" w:eastAsia="Songti SC"/>
          <w:color w:val="000000"/>
        </w:rPr>
        <w:t>上预测。令</w:t>
      </w:r>
      <m:oMath>
        <m:sSub>
          <m:e>
            <m:r>
              <m:t xml:space="preserve">V</m:t>
            </m:r>
          </m:e>
          <m:sub>
            <m:r>
              <m:t xml:space="preserve">h</m:t>
            </m:r>
            <m:r>
              <m:t xml:space="preserve">i</m:t>
            </m:r>
            <m:r>
              <m:t xml:space="preserve">t</m:t>
            </m:r>
          </m:sub>
        </m:sSub>
      </m:oMath>
      <w:r>
        <w:rPr>
          <w:rFonts w:ascii="Times New Roman" w:hAnsi="Times New Roman" w:eastAsia="Songti SC"/>
          <w:color w:val="000000"/>
        </w:rPr>
        <w:t>为按既定端点匹配规则被召回的金标准节点集合，定义可达金标准边集合：</w:t>
      </w:r>
    </w:p>
    <w:p>
      <w:pPr>
        <w:keepLines/>
        <w:spacing w:line="288" w:lineRule="auto" w:before="100" w:after="180"/>
        <w:ind w:firstLine="0"/>
        <w:jc w:val="center"/>
      </w:pPr>
      <m:oMath>
        <m:sSub>
          <m:e>
            <m:r>
              <m:t xml:space="preserve">E</m:t>
            </m:r>
          </m:e>
          <m:sub>
            <m:r>
              <m:t xml:space="preserve">r</m:t>
            </m:r>
            <m:r>
              <m:t xml:space="preserve">e</m:t>
            </m:r>
            <m:r>
              <m:t xml:space="preserve">a</m:t>
            </m:r>
            <m:r>
              <m:t xml:space="preserve">c</m:t>
            </m:r>
            <m:r>
              <m:t xml:space="preserve">h</m:t>
            </m:r>
          </m:sub>
        </m:sSub>
        <m:r>
          <m:t xml:space="preserve">=</m:t>
        </m:r>
        <m:r>
          <m:rPr>
            <m:sty m:val="p"/>
          </m:rPr>
          <m:t xml:space="preserve">{</m:t>
        </m:r>
        <m:r>
          <m:t xml:space="preserve">(</m:t>
        </m:r>
        <m:r>
          <m:t xml:space="preserve">i</m:t>
        </m:r>
        <m:r>
          <m:t xml:space="preserve">,</m:t>
        </m:r>
        <m:r>
          <m:t xml:space="preserve">j</m:t>
        </m:r>
        <m:r>
          <m:t xml:space="preserve">,</m:t>
        </m:r>
        <m:r>
          <m:t xml:space="preserve">r</m:t>
        </m:r>
        <m:r>
          <m:t xml:space="preserve">)</m:t>
        </m:r>
        <m:r>
          <m:t xml:space="preserve">∈</m:t>
        </m:r>
        <m:r>
          <m:t xml:space="preserve">E</m:t>
        </m:r>
        <m:r>
          <m:t xml:space="preserve">:</m:t>
        </m:r>
        <m:r>
          <m:t xml:space="preserve">i</m:t>
        </m:r>
        <m:r>
          <m:t xml:space="preserve">∈</m:t>
        </m:r>
        <m:sSub>
          <m:e>
            <m:r>
              <m:t xml:space="preserve">V</m:t>
            </m:r>
          </m:e>
          <m:sub>
            <m:r>
              <m:t xml:space="preserve">h</m:t>
            </m:r>
            <m:r>
              <m:t xml:space="preserve">i</m:t>
            </m:r>
            <m:r>
              <m:t xml:space="preserve">t</m:t>
            </m:r>
          </m:sub>
        </m:sSub>
        <m:r>
          <m:t xml:space="preserve">,</m:t>
        </m:r>
        <m:r>
          <m:t xml:space="preserve">j</m:t>
        </m:r>
        <m:r>
          <m:t xml:space="preserve">∈</m:t>
        </m:r>
        <m:sSub>
          <m:e>
            <m:r>
              <m:t xml:space="preserve">V</m:t>
            </m:r>
          </m:e>
          <m:sub>
            <m:r>
              <m:t xml:space="preserve">h</m:t>
            </m:r>
            <m:r>
              <m:t xml:space="preserve">i</m:t>
            </m:r>
            <m:r>
              <m:t xml:space="preserve">t</m:t>
            </m:r>
          </m:sub>
        </m:sSub>
        <m:r>
          <m:rPr>
            <m:sty m:val="p"/>
          </m:rPr>
          <m:t xml:space="preserve">}</m:t>
        </m:r>
        <m:r>
          <m:t xml:space="preserve">.</m:t>
        </m:r>
      </m:oMath>
      <w:r>
        <w:rPr>
          <w:rFonts w:ascii="Times New Roman" w:hAnsi="Times New Roman" w:eastAsia="Songti SC"/>
          <w:color w:val="000000"/>
          <w:sz w:val="20"/>
        </w:rPr>
        <w:t xml:space="preserve">　（3-2）</w:t>
      </w:r>
    </w:p>
    <w:p>
      <w:r>
        <w:rPr>
          <w:rFonts w:ascii="Times New Roman" w:hAnsi="Times New Roman" w:eastAsia="Songti SC"/>
          <w:color w:val="000000"/>
        </w:rPr>
        <w:t>当</w:t>
      </w:r>
      <m:oMath>
        <m:r>
          <m:t xml:space="preserve">|</m:t>
        </m:r>
        <m:r>
          <m:t xml:space="preserve">E</m:t>
        </m:r>
        <m:r>
          <m:t xml:space="preserve">|</m:t>
        </m:r>
        <m:r>
          <m:t xml:space="preserve">&gt;</m:t>
        </m:r>
        <m:r>
          <m:t xml:space="preserve">0</m:t>
        </m:r>
      </m:oMath>
      <w:r>
        <w:rPr>
          <w:rFonts w:ascii="Times New Roman" w:hAnsi="Times New Roman" w:eastAsia="Songti SC"/>
          <w:color w:val="000000"/>
        </w:rPr>
        <w:t>且评价要求两端点精确匹配时，关系召回率满足：</w:t>
      </w:r>
    </w:p>
    <w:p>
      <w:pPr>
        <w:keepLines/>
        <w:spacing w:line="288" w:lineRule="auto" w:before="100" w:after="180"/>
        <w:ind w:firstLine="0"/>
        <w:jc w:val="center"/>
      </w:pPr>
      <m:oMath>
        <m:sSub>
          <m:e>
            <m:r>
              <m:t xml:space="preserve">R</m:t>
            </m:r>
          </m:e>
          <m:sub>
            <m:r>
              <m:t xml:space="preserve">r</m:t>
            </m:r>
            <m:r>
              <m:t xml:space="preserve">e</m:t>
            </m:r>
            <m:r>
              <m:t xml:space="preserve">l</m:t>
            </m:r>
          </m:sub>
        </m:sSub>
        <m:r>
          <m:t xml:space="preserve">≤</m:t>
        </m:r>
        <m:f>
          <m:num>
            <m:r>
              <m:t xml:space="preserve">|</m:t>
            </m:r>
            <m:sSub>
              <m:e>
                <m:r>
                  <m:t xml:space="preserve">E</m:t>
                </m:r>
              </m:e>
              <m:sub>
                <m:r>
                  <m:t xml:space="preserve">r</m:t>
                </m:r>
                <m:r>
                  <m:t xml:space="preserve">e</m:t>
                </m:r>
                <m:r>
                  <m:t xml:space="preserve">a</m:t>
                </m:r>
                <m:r>
                  <m:t xml:space="preserve">c</m:t>
                </m:r>
                <m:r>
                  <m:t xml:space="preserve">h</m:t>
                </m:r>
              </m:sub>
            </m:sSub>
            <m:r>
              <m:t xml:space="preserve">|</m:t>
            </m:r>
          </m:num>
          <m:den>
            <m:r>
              <m:t xml:space="preserve">|</m:t>
            </m:r>
            <m:r>
              <m:t xml:space="preserve">E</m:t>
            </m:r>
            <m:r>
              <m:t xml:space="preserve">|</m:t>
            </m:r>
          </m:den>
        </m:f>
        <m:r>
          <m:t xml:space="preserve">.</m:t>
        </m:r>
      </m:oMath>
      <w:r>
        <w:rPr>
          <w:rFonts w:ascii="Times New Roman" w:hAnsi="Times New Roman" w:eastAsia="Songti SC"/>
          <w:color w:val="000000"/>
          <w:sz w:val="20"/>
        </w:rPr>
        <w:t xml:space="preserve">　（3-3）</w:t>
      </w:r>
    </w:p>
    <w:p>
      <w:r>
        <w:rPr>
          <w:rFonts w:ascii="Times New Roman" w:hAnsi="Times New Roman" w:eastAsia="Songti SC"/>
          <w:color w:val="000000"/>
        </w:rPr>
        <w:t>证明：任何计为正确的预测关系，其两个端点都必须存在于当前可匹配组件集合中，因此正确关系集合是</w:t>
      </w:r>
      <m:oMath>
        <m:sSub>
          <m:e>
            <m:r>
              <m:t xml:space="preserve">E</m:t>
            </m:r>
          </m:e>
          <m:sub>
            <m:r>
              <m:t xml:space="preserve">r</m:t>
            </m:r>
            <m:r>
              <m:t xml:space="preserve">e</m:t>
            </m:r>
            <m:r>
              <m:t xml:space="preserve">a</m:t>
            </m:r>
            <m:r>
              <m:t xml:space="preserve">c</m:t>
            </m:r>
            <m:r>
              <m:t xml:space="preserve">h</m:t>
            </m:r>
          </m:sub>
        </m:sSub>
      </m:oMath>
      <w:r>
        <w:rPr>
          <w:rFonts w:ascii="Times New Roman" w:hAnsi="Times New Roman" w:eastAsia="Songti SC"/>
          <w:color w:val="000000"/>
        </w:rPr>
        <w:t>的子集。该上界只描述候选空间，不保证这些边能被关系模块预测正确。对多个遗漏节点，应按关联边的并集计数，避免一条边因两个端点均遗漏而重复计入损失；对于在当前关系表示中没有关联边的MajorClaim，不能由该式推出直接的关系召回损失。</w:t>
      </w:r>
    </w:p>
    <w:p>
      <w:r>
        <w:rPr>
          <w:rFonts w:ascii="Times New Roman" w:hAnsi="Times New Roman" w:eastAsia="Songti SC"/>
          <w:color w:val="000000"/>
        </w:rPr>
        <w:t>本文据此将优化目标从一般类别平衡进一步收敛为两点：一是提高结论类组件的边界与类型识别能力；二是在不过度牺牲Premise性能的前提下，提高包含高连接度结论节点的候选图召回率。</w:t>
      </w:r>
    </w:p>
    <w:p>
      <w:pPr>
        <w:pStyle w:val="Heading2"/>
      </w:pPr>
      <w:r>
        <w:t>3.2 结论中心的局部结构保持增强</w:t>
      </w:r>
    </w:p>
    <w:p>
      <w:pPr>
        <w:pStyle w:val="Heading3"/>
      </w:pPr>
      <w:r>
        <w:t>3.2.1 局部子图作为增强单位</w:t>
      </w:r>
    </w:p>
    <w:p>
      <w:r>
        <w:rPr>
          <w:rFonts w:ascii="Times New Roman" w:hAnsi="Times New Roman" w:eastAsia="Songti SC"/>
          <w:color w:val="000000"/>
        </w:rPr>
        <w:t>若文本改写仅约束句子语义而未同步维护标注，组件边界和关系方向可能失配。本文以局部论辩子图而非孤立句子作为增强单位。对训练文档图</w:t>
      </w:r>
      <m:oMath>
        <m:r>
          <m:t xml:space="preserve">G</m:t>
        </m:r>
        <m:r>
          <m:t xml:space="preserve">=</m:t>
        </m:r>
        <m:r>
          <m:t xml:space="preserve">(</m:t>
        </m:r>
        <m:r>
          <m:t xml:space="preserve">V</m:t>
        </m:r>
        <m:r>
          <m:t xml:space="preserve">,</m:t>
        </m:r>
        <m:r>
          <m:t xml:space="preserve">E</m:t>
        </m:r>
        <m:r>
          <m:t xml:space="preserve">)</m:t>
        </m:r>
      </m:oMath>
      <w:r>
        <w:rPr>
          <w:rFonts w:ascii="Times New Roman" w:hAnsi="Times New Roman" w:eastAsia="Songti SC"/>
          <w:color w:val="000000"/>
        </w:rPr>
        <w:t>中的结论类节点</w:t>
      </w:r>
      <m:oMath>
        <m:sSub>
          <m:e>
            <m:r>
              <m:t xml:space="preserve">v</m:t>
            </m:r>
          </m:e>
          <m:sub>
            <m:r>
              <m:t xml:space="preserve">c</m:t>
            </m:r>
          </m:sub>
        </m:sSub>
      </m:oMath>
      <w:r>
        <w:rPr>
          <w:rFonts w:ascii="Times New Roman" w:hAnsi="Times New Roman" w:eastAsia="Songti SC"/>
          <w:color w:val="000000"/>
        </w:rPr>
        <w:t>，提取其一跳支撑或攻击邻域：</w:t>
      </w:r>
    </w:p>
    <w:p>
      <w:pPr>
        <w:keepLines/>
        <w:spacing w:line="288" w:lineRule="auto" w:before="100" w:after="180"/>
        <w:ind w:firstLine="0"/>
        <w:jc w:val="center"/>
      </w:pPr>
      <m:oMath>
        <m:sSub>
          <m:e>
            <m:r>
              <m:t xml:space="preserve">G</m:t>
            </m:r>
          </m:e>
          <m:sub>
            <m:r>
              <m:t xml:space="preserve">c</m:t>
            </m:r>
          </m:sub>
        </m:sSub>
        <m:r>
          <m:t xml:space="preserve">=</m:t>
        </m:r>
        <m:r>
          <m:t xml:space="preserve">(</m:t>
        </m:r>
        <m:sSub>
          <m:e>
            <m:r>
              <m:t xml:space="preserve">V</m:t>
            </m:r>
          </m:e>
          <m:sub>
            <m:r>
              <m:t xml:space="preserve">c</m:t>
            </m:r>
          </m:sub>
        </m:sSub>
        <m:r>
          <m:t xml:space="preserve">,</m:t>
        </m:r>
        <m:sSub>
          <m:e>
            <m:r>
              <m:t xml:space="preserve">E</m:t>
            </m:r>
          </m:e>
          <m:sub>
            <m:r>
              <m:t xml:space="preserve">c</m:t>
            </m:r>
          </m:sub>
        </m:sSub>
        <m:r>
          <m:t xml:space="preserve">)</m:t>
        </m:r>
        <m:r>
          <m:t xml:space="preserve">,</m:t>
        </m:r>
        <m:r>
          <m:rPr>
            <m:sty m:val="p"/>
          </m:rPr>
          <m:t xml:space="preserve"> </m:t>
        </m:r>
        <m:sSub>
          <m:e>
            <m:r>
              <m:t xml:space="preserve">V</m:t>
            </m:r>
          </m:e>
          <m:sub>
            <m:r>
              <m:t xml:space="preserve">c</m:t>
            </m:r>
          </m:sub>
        </m:sSub>
        <m:r>
          <m:t xml:space="preserve">=</m:t>
        </m:r>
        <m:r>
          <m:rPr>
            <m:sty m:val="p"/>
          </m:rPr>
          <m:t xml:space="preserve">{</m:t>
        </m:r>
        <m:sSub>
          <m:e>
            <m:r>
              <m:t xml:space="preserve">v</m:t>
            </m:r>
          </m:e>
          <m:sub>
            <m:r>
              <m:t xml:space="preserve">c</m:t>
            </m:r>
          </m:sub>
        </m:sSub>
        <m:r>
          <m:rPr>
            <m:sty m:val="p"/>
          </m:rPr>
          <m:t xml:space="preserve">}</m:t>
        </m:r>
        <m:r>
          <m:t xml:space="preserve">∪</m:t>
        </m:r>
        <m:r>
          <m:rPr>
            <m:sty m:val="p"/>
          </m:rPr>
          <m:t xml:space="preserve">{</m:t>
        </m:r>
        <m:sSub>
          <m:e>
            <m:r>
              <m:t xml:space="preserve">v</m:t>
            </m:r>
          </m:e>
          <m:sub>
            <m:r>
              <m:t xml:space="preserve">i</m:t>
            </m:r>
          </m:sub>
        </m:sSub>
        <m:r>
          <m:t xml:space="preserve">∣</m:t>
        </m:r>
        <m:r>
          <m:t xml:space="preserve">(</m:t>
        </m:r>
        <m:sSub>
          <m:e>
            <m:r>
              <m:t xml:space="preserve">v</m:t>
            </m:r>
          </m:e>
          <m:sub>
            <m:r>
              <m:t xml:space="preserve">i</m:t>
            </m:r>
          </m:sub>
        </m:sSub>
        <m:r>
          <m:t xml:space="preserve">,</m:t>
        </m:r>
        <m:sSub>
          <m:e>
            <m:r>
              <m:t xml:space="preserve">v</m:t>
            </m:r>
          </m:e>
          <m:sub>
            <m:r>
              <m:t xml:space="preserve">c</m:t>
            </m:r>
          </m:sub>
        </m:sSub>
        <m:r>
          <m:t xml:space="preserve">,</m:t>
        </m:r>
        <m:r>
          <m:t xml:space="preserve">r</m:t>
        </m:r>
        <m:r>
          <m:t xml:space="preserve">)</m:t>
        </m:r>
        <m:r>
          <m:t xml:space="preserve">∈</m:t>
        </m:r>
        <m:r>
          <m:t xml:space="preserve">E</m:t>
        </m:r>
        <m:r>
          <m:rPr>
            <m:sty m:val="p"/>
          </m:rPr>
          <m:t xml:space="preserve">}</m:t>
        </m:r>
        <m:r>
          <m:t xml:space="preserve">.</m:t>
        </m:r>
      </m:oMath>
      <w:r>
        <w:rPr>
          <w:rFonts w:ascii="Times New Roman" w:hAnsi="Times New Roman" w:eastAsia="Songti SC"/>
          <w:color w:val="000000"/>
          <w:sz w:val="20"/>
        </w:rPr>
        <w:t xml:space="preserve">　（3-4）</w:t>
      </w:r>
    </w:p>
    <w:p>
      <w:r>
        <w:rPr>
          <w:rFonts w:ascii="Times New Roman" w:hAnsi="Times New Roman" w:eastAsia="Songti SC"/>
          <w:color w:val="000000"/>
        </w:rPr>
        <w:t>在AAEC中，局部子图按段落关系标注构造，不将未标注的Claim—MajorClaim立场直接转化为关系边。增强模型接收组件文本、组件类型、关系方向和目标结构等条件，生成保持图拓扑不变但表述不同的文本变体。这样既增加结论表达的词汇与句法多样性，也保留关系训练所需的结构监督。</w:t>
      </w:r>
    </w:p>
    <w:p>
      <w:pPr>
        <w:pStyle w:val="Heading3"/>
      </w:pPr>
      <w:r>
        <w:t>3.2.2 条件生成约束</w:t>
      </w:r>
    </w:p>
    <w:p>
      <w:r>
        <w:rPr>
          <w:rFonts w:ascii="Times New Roman" w:hAnsi="Times New Roman" w:eastAsia="Songti SC"/>
          <w:color w:val="000000"/>
        </w:rPr>
        <w:t>对局部子图</w:t>
      </w:r>
      <m:oMath>
        <m:sSub>
          <m:e>
            <m:r>
              <m:t xml:space="preserve">G</m:t>
            </m:r>
          </m:e>
          <m:sub>
            <m:r>
              <m:t xml:space="preserve">c</m:t>
            </m:r>
          </m:sub>
        </m:sSub>
      </m:oMath>
      <w:r>
        <w:rPr>
          <w:rFonts w:ascii="Times New Roman" w:hAnsi="Times New Roman" w:eastAsia="Songti SC"/>
          <w:color w:val="000000"/>
        </w:rPr>
        <w:t>，生成过程表示为：</w:t>
      </w:r>
    </w:p>
    <w:p>
      <w:pPr>
        <w:keepLines/>
        <w:spacing w:line="288" w:lineRule="auto" w:before="100" w:after="180"/>
        <w:ind w:firstLine="0"/>
        <w:jc w:val="center"/>
      </w:pPr>
      <m:oMath>
        <m:sSub>
          <m:e>
            <m:r>
              <m:t xml:space="preserve">D</m:t>
            </m:r>
          </m:e>
          <m:sub>
            <m:r>
              <m:t xml:space="preserve">c</m:t>
            </m:r>
          </m:sub>
        </m:sSub>
        <m:r>
          <m:t xml:space="preserve">'</m:t>
        </m:r>
        <m:r>
          <m:t xml:space="preserve">=</m:t>
        </m:r>
        <m:sSub>
          <m:e>
            <m:r>
              <m:rPr>
                <m:sty m:val="p"/>
              </m:rPr>
              <m:t xml:space="preserve">LLM</m:t>
            </m:r>
          </m:e>
          <m:sub>
            <m:r>
              <m:t xml:space="preserve">a</m:t>
            </m:r>
            <m:r>
              <m:t xml:space="preserve">u</m:t>
            </m:r>
            <m:r>
              <m:t xml:space="preserve">g</m:t>
            </m:r>
          </m:sub>
        </m:sSub>
        <m:r>
          <m:t xml:space="preserve">(</m:t>
        </m:r>
        <m:sSub>
          <m:e>
            <m:r>
              <m:t xml:space="preserve">D</m:t>
            </m:r>
          </m:e>
          <m:sub>
            <m:r>
              <m:t xml:space="preserve">c</m:t>
            </m:r>
          </m:sub>
        </m:sSub>
        <m:r>
          <m:t xml:space="preserve">∣</m:t>
        </m:r>
        <m:sSub>
          <m:e>
            <m:r>
              <m:t xml:space="preserve">𝒯</m:t>
            </m:r>
          </m:e>
          <m:sub>
            <m:r>
              <m:t xml:space="preserve">c</m:t>
            </m:r>
          </m:sub>
        </m:sSub>
        <m:r>
          <m:t xml:space="preserve">,</m:t>
        </m:r>
        <m:sSub>
          <m:e>
            <m:r>
              <m:t xml:space="preserve">E</m:t>
            </m:r>
          </m:e>
          <m:sub>
            <m:r>
              <m:t xml:space="preserve">c</m:t>
            </m:r>
          </m:sub>
        </m:sSub>
        <m:r>
          <m:t xml:space="preserve">,</m:t>
        </m:r>
        <m:r>
          <m:t xml:space="preserve">Π</m:t>
        </m:r>
        <m:r>
          <m:t xml:space="preserve">)</m:t>
        </m:r>
        <m:r>
          <m:t xml:space="preserve">,</m:t>
        </m:r>
      </m:oMath>
      <w:r>
        <w:rPr>
          <w:rFonts w:ascii="Times New Roman" w:hAnsi="Times New Roman" w:eastAsia="Songti SC"/>
          <w:color w:val="000000"/>
          <w:sz w:val="20"/>
        </w:rPr>
        <w:t xml:space="preserve">　（3-5）</w:t>
      </w:r>
    </w:p>
    <w:p>
      <w:r>
        <w:rPr>
          <w:rFonts w:ascii="Times New Roman" w:hAnsi="Times New Roman" w:eastAsia="Songti SC"/>
          <w:color w:val="000000"/>
        </w:rPr>
        <w:t>其中</w:t>
      </w:r>
      <m:oMath>
        <m:sSub>
          <m:e>
            <m:r>
              <m:t xml:space="preserve">D</m:t>
            </m:r>
          </m:e>
          <m:sub>
            <m:r>
              <m:t xml:space="preserve">c</m:t>
            </m:r>
          </m:sub>
        </m:sSub>
      </m:oMath>
      <w:r>
        <w:rPr>
          <w:rFonts w:ascii="Times New Roman" w:hAnsi="Times New Roman" w:eastAsia="Songti SC"/>
          <w:color w:val="000000"/>
        </w:rPr>
        <w:t>为原始局部文本，</w:t>
      </w:r>
      <m:oMath>
        <m:sSub>
          <m:e>
            <m:r>
              <m:t xml:space="preserve">𝒯</m:t>
            </m:r>
          </m:e>
          <m:sub>
            <m:r>
              <m:t xml:space="preserve">c</m:t>
            </m:r>
          </m:sub>
        </m:sSub>
      </m:oMath>
      <w:r>
        <w:rPr>
          <w:rFonts w:ascii="Times New Roman" w:hAnsi="Times New Roman" w:eastAsia="Songti SC"/>
          <w:color w:val="000000"/>
        </w:rPr>
        <w:t>为目标组件类型，</w:t>
      </w:r>
      <m:oMath>
        <m:sSub>
          <m:e>
            <m:r>
              <m:t xml:space="preserve">E</m:t>
            </m:r>
          </m:e>
          <m:sub>
            <m:r>
              <m:t xml:space="preserve">c</m:t>
            </m:r>
          </m:sub>
        </m:sSub>
      </m:oMath>
      <w:r>
        <w:rPr>
          <w:rFonts w:ascii="Times New Roman" w:hAnsi="Times New Roman" w:eastAsia="Songti SC"/>
          <w:color w:val="000000"/>
        </w:rPr>
        <w:t>为需要保持的关系集合，</w:t>
      </w:r>
      <m:oMath>
        <m:r>
          <m:t xml:space="preserve">Π</m:t>
        </m:r>
      </m:oMath>
      <w:r>
        <w:rPr>
          <w:rFonts w:ascii="Times New Roman" w:hAnsi="Times New Roman" w:eastAsia="Songti SC"/>
          <w:color w:val="000000"/>
        </w:rPr>
        <w:t>为生成约束。约束包括：组件数量和类型保持一致；关系端点必须能够在生成文本中对齐；不得新增原结构之外的支持或攻击关系；不得复制验证集或测试集文本。</w:t>
      </w:r>
    </w:p>
    <w:p>
      <w:r>
        <w:rPr>
          <w:rFonts w:ascii="Times New Roman" w:hAnsi="Times New Roman" w:eastAsia="Songti SC"/>
          <w:color w:val="000000"/>
        </w:rPr>
        <w:t>为降低模板化生成造成的分布偏差，增强提示同时允许词汇替换、句法重组和论据表述变化，但不允许改变原有立场。生成仅基于训练集进行；原始文档的全部增强版本与原文保持在同一数据划分中，防止同源样本跨集合泄漏。</w:t>
      </w:r>
    </w:p>
    <w:p>
      <w:pPr>
        <w:pStyle w:val="Heading3"/>
      </w:pPr>
      <w:r>
        <w:t>3.2.3 三层质量筛选</w:t>
      </w:r>
    </w:p>
    <w:p>
      <w:r>
        <w:rPr>
          <w:rFonts w:ascii="Times New Roman" w:hAnsi="Times New Roman" w:eastAsia="Songti SC"/>
          <w:color w:val="000000"/>
        </w:rPr>
        <w:t>对生成样本</w:t>
      </w:r>
      <m:oMath>
        <m:r>
          <m:t xml:space="preserve">(</m:t>
        </m:r>
        <m:sSub>
          <m:e>
            <m:r>
              <m:t xml:space="preserve">D</m:t>
            </m:r>
          </m:e>
          <m:sub>
            <m:r>
              <m:t xml:space="preserve">c</m:t>
            </m:r>
          </m:sub>
        </m:sSub>
        <m:r>
          <m:t xml:space="preserve">'</m:t>
        </m:r>
        <m:r>
          <m:t xml:space="preserve">,</m:t>
        </m:r>
        <m:sSub>
          <m:e>
            <m:r>
              <m:t xml:space="preserve">G</m:t>
            </m:r>
          </m:e>
          <m:sub>
            <m:r>
              <m:t xml:space="preserve">c</m:t>
            </m:r>
          </m:sub>
        </m:sSub>
        <m:r>
          <m:t xml:space="preserve">'</m:t>
        </m:r>
        <m:r>
          <m:t xml:space="preserve">)</m:t>
        </m:r>
      </m:oMath>
      <w:r>
        <w:rPr>
          <w:rFonts w:ascii="Times New Roman" w:hAnsi="Times New Roman" w:eastAsia="Songti SC"/>
          <w:color w:val="000000"/>
        </w:rPr>
        <w:t>依次执行三层筛选：</w:t>
      </w:r>
    </w:p>
    <w:p>
      <w:pPr>
        <w:ind w:firstLine="0"/>
      </w:pPr>
      <w:r>
        <w:rPr>
          <w:rFonts w:ascii="Times New Roman" w:hAnsi="Times New Roman" w:eastAsia="Songti SC"/>
          <w:color w:val="000000"/>
        </w:rPr>
        <w:t xml:space="preserve">1. </w:t>
      </w:r>
      <w:r>
        <w:rPr>
          <w:rFonts w:ascii="Times New Roman" w:hAnsi="Times New Roman" w:eastAsia="Songti SC"/>
          <w:b/>
          <w:color w:val="000000"/>
        </w:rPr>
        <w:t>格式合法性</w:t>
      </w:r>
      <w:r>
        <w:rPr>
          <w:rFonts w:ascii="Times New Roman" w:hAnsi="Times New Roman" w:eastAsia="Songti SC"/>
          <w:color w:val="000000"/>
        </w:rPr>
        <w:t>：JSON可解析、必需字段存在、组件编号唯一且跨度位于文本范围内；</w:t>
      </w:r>
    </w:p>
    <w:p>
      <w:pPr>
        <w:ind w:firstLine="0"/>
      </w:pPr>
      <w:r>
        <w:rPr>
          <w:rFonts w:ascii="Times New Roman" w:hAnsi="Times New Roman" w:eastAsia="Songti SC"/>
          <w:color w:val="000000"/>
        </w:rPr>
        <w:t xml:space="preserve">2. </w:t>
      </w:r>
      <w:r>
        <w:rPr>
          <w:rFonts w:ascii="Times New Roman" w:hAnsi="Times New Roman" w:eastAsia="Songti SC"/>
          <w:b/>
          <w:color w:val="000000"/>
        </w:rPr>
        <w:t>结构一致性</w:t>
      </w:r>
      <w:r>
        <w:rPr>
          <w:rFonts w:ascii="Times New Roman" w:hAnsi="Times New Roman" w:eastAsia="Songti SC"/>
          <w:color w:val="000000"/>
        </w:rPr>
        <w:t>：组件数量、类型集合和关系方向满足给定模板，且不存在悬空引用和循环边；</w:t>
      </w:r>
    </w:p>
    <w:p>
      <w:pPr>
        <w:ind w:firstLine="0"/>
      </w:pPr>
      <w:r>
        <w:rPr>
          <w:rFonts w:ascii="Times New Roman" w:hAnsi="Times New Roman" w:eastAsia="Songti SC"/>
          <w:color w:val="000000"/>
        </w:rPr>
        <w:t xml:space="preserve">3. </w:t>
      </w:r>
      <w:r>
        <w:rPr>
          <w:rFonts w:ascii="Times New Roman" w:hAnsi="Times New Roman" w:eastAsia="Songti SC"/>
          <w:b/>
          <w:color w:val="000000"/>
        </w:rPr>
        <w:t>语义一致性</w:t>
      </w:r>
      <w:r>
        <w:rPr>
          <w:rFonts w:ascii="Times New Roman" w:hAnsi="Times New Roman" w:eastAsia="Songti SC"/>
          <w:color w:val="000000"/>
        </w:rPr>
        <w:t>：独立验证器判断生成组件是否承担目标论辩角色，并检查每条关系是否获得上下文支持。</w:t>
      </w:r>
    </w:p>
    <w:p>
      <w:r>
        <w:rPr>
          <w:rFonts w:ascii="Times New Roman" w:hAnsi="Times New Roman" w:eastAsia="Songti SC"/>
          <w:color w:val="000000"/>
        </w:rPr>
        <w:t>定义三个二值检查函数</w:t>
      </w:r>
      <m:oMath>
        <m:sSub>
          <m:e>
            <m:r>
              <m:t xml:space="preserve">q</m:t>
            </m:r>
          </m:e>
          <m:sub>
            <m:r>
              <m:t xml:space="preserve">f</m:t>
            </m:r>
            <m:r>
              <m:t xml:space="preserve">m</m:t>
            </m:r>
            <m:r>
              <m:t xml:space="preserve">t</m:t>
            </m:r>
          </m:sub>
        </m:sSub>
      </m:oMath>
      <w:r>
        <w:rPr>
          <w:rFonts w:ascii="Times New Roman" w:hAnsi="Times New Roman" w:eastAsia="Songti SC"/>
          <w:color w:val="000000"/>
        </w:rPr>
        <w:t>、</w:t>
      </w:r>
      <m:oMath>
        <m:sSub>
          <m:e>
            <m:r>
              <m:t xml:space="preserve">q</m:t>
            </m:r>
          </m:e>
          <m:sub>
            <m:r>
              <m:t xml:space="preserve">s</m:t>
            </m:r>
            <m:r>
              <m:t xml:space="preserve">t</m:t>
            </m:r>
            <m:r>
              <m:t xml:space="preserve">r</m:t>
            </m:r>
          </m:sub>
        </m:sSub>
      </m:oMath>
      <w:r>
        <w:rPr>
          <w:rFonts w:ascii="Times New Roman" w:hAnsi="Times New Roman" w:eastAsia="Songti SC"/>
          <w:color w:val="000000"/>
        </w:rPr>
        <w:t>和</w:t>
      </w:r>
      <m:oMath>
        <m:sSub>
          <m:e>
            <m:r>
              <m:t xml:space="preserve">q</m:t>
            </m:r>
          </m:e>
          <m:sub>
            <m:r>
              <m:t xml:space="preserve">s</m:t>
            </m:r>
            <m:r>
              <m:t xml:space="preserve">e</m:t>
            </m:r>
            <m:r>
              <m:t xml:space="preserve">m</m:t>
            </m:r>
          </m:sub>
        </m:sSub>
      </m:oMath>
      <w:r>
        <w:rPr>
          <w:rFonts w:ascii="Times New Roman" w:hAnsi="Times New Roman" w:eastAsia="Songti SC"/>
          <w:color w:val="000000"/>
        </w:rPr>
        <w:t>，样本接受条件为：</w:t>
      </w:r>
    </w:p>
    <w:p>
      <w:pPr>
        <w:keepLines/>
        <w:spacing w:line="288" w:lineRule="auto" w:before="100" w:after="180"/>
        <w:ind w:firstLine="0"/>
        <w:jc w:val="center"/>
      </w:pPr>
      <m:oMath>
        <m:r>
          <m:t xml:space="preserve">q</m:t>
        </m:r>
        <m:r>
          <m:t xml:space="preserve">(</m:t>
        </m:r>
        <m:sSub>
          <m:e>
            <m:r>
              <m:t xml:space="preserve">D</m:t>
            </m:r>
          </m:e>
          <m:sub>
            <m:r>
              <m:t xml:space="preserve">c</m:t>
            </m:r>
          </m:sub>
        </m:sSub>
        <m:r>
          <m:t xml:space="preserve">'</m:t>
        </m:r>
        <m:r>
          <m:t xml:space="preserve">,</m:t>
        </m:r>
        <m:sSub>
          <m:e>
            <m:r>
              <m:t xml:space="preserve">G</m:t>
            </m:r>
          </m:e>
          <m:sub>
            <m:r>
              <m:t xml:space="preserve">c</m:t>
            </m:r>
          </m:sub>
        </m:sSub>
        <m:r>
          <m:t xml:space="preserve">'</m:t>
        </m:r>
        <m:r>
          <m:t xml:space="preserve">)</m:t>
        </m:r>
        <m:r>
          <m:t xml:space="preserve">=</m:t>
        </m:r>
        <m:sSub>
          <m:e>
            <m:r>
              <m:t xml:space="preserve">q</m:t>
            </m:r>
          </m:e>
          <m:sub>
            <m:r>
              <m:t xml:space="preserve">f</m:t>
            </m:r>
            <m:r>
              <m:t xml:space="preserve">m</m:t>
            </m:r>
            <m:r>
              <m:t xml:space="preserve">t</m:t>
            </m:r>
          </m:sub>
        </m:sSub>
        <m:r>
          <m:t xml:space="preserve">·</m:t>
        </m:r>
        <m:sSub>
          <m:e>
            <m:r>
              <m:t xml:space="preserve">q</m:t>
            </m:r>
          </m:e>
          <m:sub>
            <m:r>
              <m:t xml:space="preserve">s</m:t>
            </m:r>
            <m:r>
              <m:t xml:space="preserve">t</m:t>
            </m:r>
            <m:r>
              <m:t xml:space="preserve">r</m:t>
            </m:r>
          </m:sub>
        </m:sSub>
        <m:r>
          <m:t xml:space="preserve">·</m:t>
        </m:r>
        <m:sSub>
          <m:e>
            <m:r>
              <m:t xml:space="preserve">q</m:t>
            </m:r>
          </m:e>
          <m:sub>
            <m:r>
              <m:t xml:space="preserve">s</m:t>
            </m:r>
            <m:r>
              <m:t xml:space="preserve">e</m:t>
            </m:r>
            <m:r>
              <m:t xml:space="preserve">m</m:t>
            </m:r>
          </m:sub>
        </m:sSub>
        <m:r>
          <m:t xml:space="preserve">=</m:t>
        </m:r>
        <m:r>
          <m:t xml:space="preserve">1</m:t>
        </m:r>
        <m:r>
          <m:t xml:space="preserve">.</m:t>
        </m:r>
      </m:oMath>
      <w:r>
        <w:rPr>
          <w:rFonts w:ascii="Times New Roman" w:hAnsi="Times New Roman" w:eastAsia="Songti SC"/>
          <w:color w:val="000000"/>
          <w:sz w:val="20"/>
        </w:rPr>
        <w:t xml:space="preserve">　（3-6）</w:t>
      </w:r>
    </w:p>
    <w:p>
      <w:r>
        <w:rPr>
          <w:rFonts w:ascii="Times New Roman" w:hAnsi="Times New Roman" w:eastAsia="Songti SC"/>
          <w:color w:val="000000"/>
        </w:rPr>
        <w:t>三层筛选区分可解析性、拓扑一致性和语义合理性。前两层不能证明标签语义正确，第三层也只是验证器判断，仍需人工抽检估计其误判。这里的“独立验证器”指单独验证调用，是否与增强模型使用不同权重、提示或训练数据须由实际配置说明。</w:t>
      </w:r>
    </w:p>
    <w:p>
      <w:pPr>
        <w:pStyle w:val="Heading3"/>
      </w:pPr>
      <w:r>
        <w:t>3.2.4 增强效果的可识别性与数据追踪</w:t>
      </w:r>
    </w:p>
    <w:p>
      <w:r>
        <w:rPr>
          <w:rFonts w:ascii="Times New Roman" w:hAnsi="Times New Roman" w:eastAsia="Songti SC"/>
          <w:color w:val="000000"/>
        </w:rPr>
        <w:t>若一个以Claim为中心的增强单位包含一个Claim和</w:t>
      </w:r>
      <m:oMath>
        <m:r>
          <m:t xml:space="preserve">k</m:t>
        </m:r>
      </m:oMath>
      <w:r>
        <w:rPr>
          <w:rFonts w:ascii="Times New Roman" w:hAnsi="Times New Roman" w:eastAsia="Songti SC"/>
          <w:color w:val="000000"/>
        </w:rPr>
        <w:t>个Premise，接受</w:t>
      </w:r>
      <m:oMath>
        <m:r>
          <m:t xml:space="preserve">u</m:t>
        </m:r>
      </m:oMath>
      <w:r>
        <w:rPr>
          <w:rFonts w:ascii="Times New Roman" w:hAnsi="Times New Roman" w:eastAsia="Songti SC"/>
          <w:color w:val="000000"/>
        </w:rPr>
        <w:t>个同类变体后，两类实例数分别变为</w:t>
      </w:r>
      <m:oMath>
        <m:sSub>
          <m:e>
            <m:r>
              <m:t xml:space="preserve">N</m:t>
            </m:r>
          </m:e>
          <m:sub>
            <m:r>
              <m:t xml:space="preserve">C</m:t>
            </m:r>
          </m:sub>
        </m:sSub>
        <m:r>
          <m:t xml:space="preserve">+</m:t>
        </m:r>
        <m:r>
          <m:t xml:space="preserve">u</m:t>
        </m:r>
      </m:oMath>
      <w:r>
        <w:rPr>
          <w:rFonts w:ascii="Times New Roman" w:hAnsi="Times New Roman" w:eastAsia="Songti SC"/>
          <w:color w:val="000000"/>
        </w:rPr>
        <w:t>和</w:t>
      </w:r>
      <m:oMath>
        <m:sSub>
          <m:e>
            <m:r>
              <m:t xml:space="preserve">N</m:t>
            </m:r>
          </m:e>
          <m:sub>
            <m:r>
              <m:t xml:space="preserve">P</m:t>
            </m:r>
          </m:sub>
        </m:sSub>
        <m:r>
          <m:t xml:space="preserve">+</m:t>
        </m:r>
        <m:r>
          <m:t xml:space="preserve">k</m:t>
        </m:r>
        <m:r>
          <m:t xml:space="preserve">u</m:t>
        </m:r>
      </m:oMath>
      <w:r>
        <w:rPr>
          <w:rFonts w:ascii="Times New Roman" w:hAnsi="Times New Roman" w:eastAsia="Songti SC"/>
          <w:color w:val="000000"/>
        </w:rPr>
        <w:t>。当</w:t>
      </w:r>
      <m:oMath>
        <m:r>
          <m:t xml:space="preserve">u</m:t>
        </m:r>
        <m:r>
          <m:t xml:space="preserve">&gt;</m:t>
        </m:r>
        <m:r>
          <m:t xml:space="preserve">0</m:t>
        </m:r>
      </m:oMath>
      <w:r>
        <w:rPr>
          <w:rFonts w:ascii="Times New Roman" w:hAnsi="Times New Roman" w:eastAsia="Songti SC"/>
          <w:color w:val="000000"/>
        </w:rPr>
        <w:t>时，Claim相对Premise的数量比提高，当且仅当</w:t>
      </w:r>
      <m:oMath>
        <m:sSub>
          <m:e>
            <m:r>
              <m:t xml:space="preserve">N</m:t>
            </m:r>
          </m:e>
          <m:sub>
            <m:r>
              <m:t xml:space="preserve">P</m:t>
            </m:r>
          </m:sub>
        </m:sSub>
        <m:r>
          <m:t xml:space="preserve">&gt;</m:t>
        </m:r>
        <m:r>
          <m:t xml:space="preserve">k</m:t>
        </m:r>
        <m:sSub>
          <m:e>
            <m:r>
              <m:t xml:space="preserve">N</m:t>
            </m:r>
          </m:e>
          <m:sub>
            <m:r>
              <m:t xml:space="preserve">C</m:t>
            </m:r>
          </m:sub>
        </m:sSub>
      </m:oMath>
      <w:r>
        <w:rPr>
          <w:rFonts w:ascii="Times New Roman" w:hAnsi="Times New Roman" w:eastAsia="Songti SC"/>
          <w:color w:val="000000"/>
        </w:rPr>
        <w:t>。因此，保留局部拓扑并不自动改善类别平衡，应分别验证实例比例变化和表达多样性变化。该推导是对增强机制的分析，不是本稿新增的实验结果。</w:t>
      </w:r>
    </w:p>
    <w:p>
      <w:r>
        <w:rPr>
          <w:rFonts w:ascii="Times New Roman" w:hAnsi="Times New Roman" w:eastAsia="Songti SC"/>
          <w:color w:val="000000"/>
        </w:rPr>
        <w:t>MajorClaim在不包含stance边的AAEC表示中可能形成单节点增强单位。这时只能声称增强了结论表达，不能声称保留了原本不存在的关系监督。局部子图文本若单独作为训练实例，需要说明输入上下文与测试时整篇输入的差异；若回填原文，则必须重新分词、更新所有受影响跨度及引用。两种路径不能在方法与实验之间混用。</w:t>
      </w:r>
    </w:p>
    <w:p>
      <w:pPr>
        <w:ind w:firstLine="0"/>
      </w:pPr>
      <w:r>
        <w:rPr>
          <w:rFonts w:ascii="Times New Roman" w:hAnsi="Times New Roman" w:eastAsia="Songti SC"/>
          <w:color w:val="000000"/>
          <w:sz w:val="22"/>
        </w:rPr>
        <w:t>待核验R02：需补充增强模型名称与版本、完整提示、每个种子子图的尝试数、三层筛选各自通过数、去重规则、原始与增强样本混合比例，以及局部文本回填方式。不得使用测试集标签调节筛选阈值。建议为每个增强样本保留源文档ID、源组件ID、生成配置、拒绝原因和坐标映射，以支持训练集去重与错误追踪。</w:t>
      </w:r>
    </w:p>
    <w:p>
      <w:pPr>
        <w:pStyle w:val="Heading2"/>
      </w:pPr>
      <w:commentRangeStart w:id="5"/>
      <w:r>
        <w:t>3.3 面向结论组件的配套表示增强</w:t>
      </w:r>
      <w:commentRangeEnd w:id="5"/>
      <w:r>
        <w:commentReference w:id="5"/>
      </w:r>
    </w:p>
    <w:p>
      <w:r>
        <w:rPr>
          <w:rFonts w:ascii="Times New Roman" w:hAnsi="Times New Roman" w:eastAsia="Songti SC"/>
          <w:color w:val="000000"/>
        </w:rPr>
        <w:t>本节的适配器、连续提示和辅助目标用于利用前节的训练监督，属于结论组件增强方案的配套实现。与DENIM的篇章结构前缀[12]和关联关键短语方法[13]相比，本文关注结论类型条件和显式线索触发，而不将结构或线索的使用本身视为原创。三项模块的作用需分别通过受控消融解释。</w:t>
      </w:r>
    </w:p>
    <w:p>
      <w:pPr>
        <w:pStyle w:val="Heading3"/>
      </w:pPr>
      <w:r>
        <w:t>3.3.1 Claim-specific Adapter</w:t>
      </w:r>
    </w:p>
    <w:p>
      <w:r>
        <w:rPr>
          <w:rFonts w:ascii="Times New Roman" w:hAnsi="Times New Roman" w:eastAsia="Songti SC"/>
          <w:color w:val="000000"/>
        </w:rPr>
        <w:t>本文在组件生成器的注意力投影层旁路注入低秩适配器。对基础权重</w:t>
      </w:r>
      <m:oMath>
        <m:sSub>
          <m:e>
            <m:r>
              <m:t xml:space="preserve">W</m:t>
            </m:r>
          </m:e>
          <m:sub>
            <m:r>
              <m:t xml:space="preserve">0</m:t>
            </m:r>
          </m:sub>
        </m:sSub>
      </m:oMath>
      <w:r>
        <w:rPr>
          <w:rFonts w:ascii="Times New Roman" w:hAnsi="Times New Roman" w:eastAsia="Songti SC"/>
          <w:color w:val="000000"/>
        </w:rPr>
        <w:t>和隐藏状态</w:t>
      </w:r>
      <m:oMath>
        <m:sSub>
          <m:e>
            <m:r>
              <m:t xml:space="preserve">h</m:t>
            </m:r>
          </m:e>
          <m:sub>
            <m:r>
              <m:t xml:space="preserve">t</m:t>
            </m:r>
          </m:sub>
        </m:sSub>
      </m:oMath>
      <w:r>
        <w:rPr>
          <w:rFonts w:ascii="Times New Roman" w:hAnsi="Times New Roman" w:eastAsia="Songti SC"/>
          <w:color w:val="000000"/>
        </w:rPr>
        <w:t>，结论分支的输出表示为：</w:t>
      </w:r>
    </w:p>
    <w:p>
      <w:pPr>
        <w:keepLines/>
        <w:spacing w:line="288" w:lineRule="auto" w:before="100" w:after="180"/>
        <w:ind w:firstLine="0"/>
        <w:jc w:val="center"/>
      </w:pPr>
      <m:oMath>
        <m:sSub>
          <m:e>
            <m:r>
              <m:t xml:space="preserve">h</m:t>
            </m:r>
          </m:e>
          <m:sub>
            <m:r>
              <m:t xml:space="preserve">t</m:t>
            </m:r>
          </m:sub>
        </m:sSub>
        <m:r>
          <m:t xml:space="preserve">'</m:t>
        </m:r>
        <m:r>
          <m:t xml:space="preserve">=</m:t>
        </m:r>
        <m:sSub>
          <m:e>
            <m:r>
              <m:t xml:space="preserve">W</m:t>
            </m:r>
          </m:e>
          <m:sub>
            <m:r>
              <m:t xml:space="preserve">0</m:t>
            </m:r>
          </m:sub>
        </m:sSub>
        <m:sSub>
          <m:e>
            <m:r>
              <m:t xml:space="preserve">h</m:t>
            </m:r>
          </m:e>
          <m:sub>
            <m:r>
              <m:t xml:space="preserve">t</m:t>
            </m:r>
          </m:sub>
        </m:sSub>
        <m:r>
          <m:t xml:space="preserve">+</m:t>
        </m:r>
        <m:sSub>
          <m:e>
            <m:r>
              <m:t xml:space="preserve">g</m:t>
            </m:r>
          </m:e>
          <m:sub>
            <m:r>
              <m:t xml:space="preserve">t</m:t>
            </m:r>
          </m:sub>
        </m:sSub>
        <m:f>
          <m:num>
            <m:r>
              <m:t xml:space="preserve">α</m:t>
            </m:r>
          </m:num>
          <m:den>
            <m:r>
              <m:t xml:space="preserve">r</m:t>
            </m:r>
          </m:den>
        </m:f>
        <m:r>
          <m:t xml:space="preserve">B</m:t>
        </m:r>
        <m:r>
          <m:t xml:space="preserve">A</m:t>
        </m:r>
        <m:sSub>
          <m:e>
            <m:r>
              <m:t xml:space="preserve">h</m:t>
            </m:r>
          </m:e>
          <m:sub>
            <m:r>
              <m:t xml:space="preserve">t</m:t>
            </m:r>
          </m:sub>
        </m:sSub>
        <m:r>
          <m:t xml:space="preserve">,</m:t>
        </m:r>
      </m:oMath>
      <w:r>
        <w:rPr>
          <w:rFonts w:ascii="Times New Roman" w:hAnsi="Times New Roman" w:eastAsia="Songti SC"/>
          <w:color w:val="000000"/>
          <w:sz w:val="20"/>
        </w:rPr>
        <w:t xml:space="preserve">　（3-7）</w:t>
      </w:r>
    </w:p>
    <w:p>
      <w:r>
        <w:rPr>
          <w:rFonts w:ascii="Times New Roman" w:hAnsi="Times New Roman" w:eastAsia="Songti SC"/>
          <w:color w:val="000000"/>
        </w:rPr>
        <w:t>式中为说明方便写作等输入输出维度</w:t>
      </w:r>
      <m:oMath>
        <m:r>
          <m:t xml:space="preserve">d</m:t>
        </m:r>
      </m:oMath>
      <w:r>
        <w:rPr>
          <w:rFonts w:ascii="Times New Roman" w:hAnsi="Times New Roman" w:eastAsia="Songti SC"/>
          <w:color w:val="000000"/>
        </w:rPr>
        <w:t>；一般投影的矩阵维度按第二章定义。原稿给出的参数为</w:t>
      </w:r>
      <m:oMath>
        <m:r>
          <m:t xml:space="preserve">r</m:t>
        </m:r>
        <m:r>
          <m:t xml:space="preserve">=</m:t>
        </m:r>
        <m:r>
          <m:t xml:space="preserve">1</m:t>
        </m:r>
        <m:r>
          <m:t xml:space="preserve">6</m:t>
        </m:r>
      </m:oMath>
      <w:r>
        <w:rPr>
          <w:rFonts w:ascii="Times New Roman" w:hAnsi="Times New Roman" w:eastAsia="Songti SC"/>
          <w:color w:val="000000"/>
        </w:rPr>
        <w:t>、</w:t>
      </w:r>
      <m:oMath>
        <m:r>
          <m:t xml:space="preserve">α</m:t>
        </m:r>
        <m:r>
          <m:t xml:space="preserve">=</m:t>
        </m:r>
        <m:r>
          <m:t xml:space="preserve">3</m:t>
        </m:r>
        <m:r>
          <m:t xml:space="preserve">2</m:t>
        </m:r>
      </m:oMath>
      <w:r>
        <w:rPr>
          <w:rFonts w:ascii="Times New Roman" w:hAnsi="Times New Roman" w:eastAsia="Songti SC"/>
          <w:color w:val="000000"/>
        </w:rPr>
        <w:t>，</w:t>
      </w:r>
      <m:oMath>
        <m:sSub>
          <m:e>
            <m:r>
              <m:t xml:space="preserve">g</m:t>
            </m:r>
          </m:e>
          <m:sub>
            <m:r>
              <m:t xml:space="preserve">t</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表示生成状态门控。原稿将门控描述为依赖JSON状态和已经生成的标签前缀，不读取测试金标准标签。</w:t>
      </w:r>
    </w:p>
    <w:p>
      <w:pPr>
        <w:ind w:firstLine="0"/>
      </w:pPr>
      <w:r>
        <w:rPr>
          <w:rFonts w:ascii="Times New Roman" w:hAnsi="Times New Roman" w:eastAsia="Songti SC"/>
          <w:color w:val="000000"/>
          <w:sz w:val="22"/>
        </w:rPr>
        <w:t>待核验R03：这一描述尚不能确定可执行门控。如果类型值的首个token尚未生成，不能提前依据该类型是否为Claim决定门控；如果span字段先于type字段生成，后续类型分支也不能回溯改变已生成跨度。教师强制训练时也应避免把当前位置尚不可见的金标准类型作为推理时不可获得的门控信号。</w:t>
      </w:r>
    </w:p>
    <w:p>
      <w:r>
        <w:rPr>
          <w:rFonts w:ascii="Times New Roman" w:hAnsi="Times New Roman" w:eastAsia="Songti SC"/>
          <w:color w:val="000000"/>
        </w:rPr>
        <w:t>因此，该分支目前只能作为需与代码对齐的条件适配设计，不能直接归因于“提前改善组件边界”或“减少Premise梯度覆盖”。确认时需给出字段顺序、首个类型token的处理、门控启停位置、基础LoRA与专项LoRA是否并存，以及相同参数预算下的全局LoRA对照。改变门控或字段顺序后必须重跑实验，不能沿用旧分数作为新实现的结果。</w:t>
      </w:r>
    </w:p>
    <w:p>
      <w:pPr>
        <w:pStyle w:val="Heading3"/>
      </w:pPr>
      <w:r>
        <w:t>3.3.2 Cue-aware Soft Prompting</w:t>
      </w:r>
    </w:p>
    <w:p>
      <w:r>
        <w:rPr>
          <w:rFonts w:ascii="Times New Roman" w:hAnsi="Times New Roman" w:eastAsia="Songti SC"/>
          <w:color w:val="000000"/>
        </w:rPr>
        <w:t>显式篇章线索可作为结论识别的候选信号，但线索词与组件类型并非一一对应，其实际收益需由消融验证。本文首先在输入中检测预定义线索，如“therefore”“thus”“in conclusion”等，再向输入表示附加</w:t>
      </w:r>
      <m:oMath>
        <m:r>
          <m:t xml:space="preserve">m</m:t>
        </m:r>
        <m:r>
          <m:t xml:space="preserve">=</m:t>
        </m:r>
        <m:r>
          <m:t xml:space="preserve">4</m:t>
        </m:r>
      </m:oMath>
      <w:r>
        <w:rPr>
          <w:rFonts w:ascii="Times New Roman" w:hAnsi="Times New Roman" w:eastAsia="Songti SC"/>
          <w:color w:val="000000"/>
        </w:rPr>
        <w:t>个可学习连续提示向量：</w:t>
      </w:r>
    </w:p>
    <w:p>
      <w:pPr>
        <w:keepLines/>
        <w:spacing w:line="288" w:lineRule="auto" w:before="100" w:after="180"/>
        <w:ind w:firstLine="0"/>
        <w:jc w:val="center"/>
      </w:pPr>
      <m:oMath>
        <m:r>
          <m:t xml:space="preserve">X</m:t>
        </m:r>
        <m:r>
          <m:t xml:space="preserve">'</m:t>
        </m:r>
        <m:r>
          <m:t xml:space="preserve">=</m:t>
        </m:r>
        <m:r>
          <m:t xml:space="preserve">[</m:t>
        </m:r>
        <m:sSub>
          <m:e>
            <m:r>
              <m:t xml:space="preserve">P</m:t>
            </m:r>
          </m:e>
          <m:sub>
            <m:r>
              <m:t xml:space="preserve">1</m:t>
            </m:r>
          </m:sub>
        </m:sSub>
        <m:r>
          <m:t xml:space="preserve">,</m:t>
        </m:r>
        <m:sSub>
          <m:e>
            <m:r>
              <m:t xml:space="preserve">P</m:t>
            </m:r>
          </m:e>
          <m:sub>
            <m:r>
              <m:t xml:space="preserve">2</m:t>
            </m:r>
          </m:sub>
        </m:sSub>
        <m:r>
          <m:t xml:space="preserve">,</m:t>
        </m:r>
        <m:r>
          <m:t xml:space="preserve">…</m:t>
        </m:r>
        <m:r>
          <m:t xml:space="preserve">,</m:t>
        </m:r>
        <m:sSub>
          <m:e>
            <m:r>
              <m:t xml:space="preserve">P</m:t>
            </m:r>
          </m:e>
          <m:sub>
            <m:r>
              <m:t xml:space="preserve">m</m:t>
            </m:r>
          </m:sub>
        </m:sSub>
        <m:r>
          <m:t xml:space="preserve">;</m:t>
        </m:r>
        <m:r>
          <m:t xml:space="preserve">X</m:t>
        </m:r>
        <m:r>
          <m:t xml:space="preserve">]</m:t>
        </m:r>
        <m:r>
          <m:t xml:space="preserve">,</m:t>
        </m:r>
      </m:oMath>
      <w:r>
        <w:rPr>
          <w:rFonts w:ascii="Times New Roman" w:hAnsi="Times New Roman" w:eastAsia="Songti SC"/>
          <w:color w:val="000000"/>
          <w:sz w:val="20"/>
        </w:rPr>
        <w:t xml:space="preserve">　（3-8）</w:t>
      </w:r>
    </w:p>
    <w:p>
      <w:r>
        <w:rPr>
          <w:rFonts w:ascii="Times New Roman" w:hAnsi="Times New Roman" w:eastAsia="Songti SC"/>
          <w:color w:val="000000"/>
        </w:rPr>
        <w:t>其中</w:t>
      </w:r>
      <m:oMath>
        <m:sSub>
          <m:e>
            <m:r>
              <m:t xml:space="preserve">P</m:t>
            </m:r>
          </m:e>
          <m:sub>
            <m:r>
              <m:t xml:space="preserve">i</m:t>
            </m:r>
          </m:sub>
        </m:sSub>
        <m:r>
          <m:t xml:space="preserve">∈</m:t>
        </m:r>
        <m:sSup>
          <m:e>
            <m:r>
              <m:t xml:space="preserve">ℝ</m:t>
            </m:r>
          </m:e>
          <m:sup>
            <m:r>
              <m:t xml:space="preserve">d</m:t>
            </m:r>
          </m:sup>
        </m:sSup>
      </m:oMath>
      <w:r>
        <w:rPr>
          <w:rFonts w:ascii="Times New Roman" w:hAnsi="Times New Roman" w:eastAsia="Songti SC"/>
          <w:color w:val="000000"/>
        </w:rPr>
        <w:t>为可训练提示向量。线索检测仅控制提示分支是否启用，最终组件边界与类型仍由上下文模型联合判断，从而避免把词典匹配直接等同于结论标签。对于未出现显式线索的隐式结论，模型仍可依赖正文语义和辅助目标进行预测。</w:t>
      </w:r>
    </w:p>
    <w:p>
      <w:pPr>
        <w:pStyle w:val="Heading3"/>
      </w:pPr>
      <w:r>
        <w:t>3.3.3 多目标训练</w:t>
      </w:r>
    </w:p>
    <w:p>
      <w:r>
        <w:rPr>
          <w:rFonts w:ascii="Times New Roman" w:hAnsi="Times New Roman" w:eastAsia="Songti SC"/>
          <w:color w:val="000000"/>
        </w:rPr>
        <w:t>主任务采用结构化序列生成损失：</w:t>
      </w:r>
    </w:p>
    <w:p>
      <w:pPr>
        <w:keepLines/>
        <w:spacing w:line="288" w:lineRule="auto" w:before="100" w:after="180"/>
        <w:ind w:firstLine="0"/>
        <w:jc w:val="center"/>
      </w:pPr>
      <m:oMath>
        <m:sSub>
          <m:e>
            <m:r>
              <m:t xml:space="preserve">ℒ</m:t>
            </m:r>
          </m:e>
          <m:sub>
            <m:r>
              <m:t xml:space="preserve">g</m:t>
            </m:r>
            <m:r>
              <m:t xml:space="preserve">e</m:t>
            </m:r>
            <m:r>
              <m:t xml:space="preserve">n</m:t>
            </m:r>
          </m:sub>
        </m:sSub>
        <m:r>
          <m:t xml:space="preserve">=</m:t>
        </m:r>
        <m:r>
          <m:t xml:space="preserve">-</m:t>
        </m:r>
        <m:sSubSup>
          <m:e>
            <m:r>
              <m:t xml:space="preserve">∑</m:t>
            </m:r>
          </m:e>
          <m:sub>
            <m:r>
              <m:t xml:space="preserve">t</m:t>
            </m:r>
            <m:r>
              <m:t xml:space="preserve">=</m:t>
            </m:r>
            <m:r>
              <m:t xml:space="preserve">1</m:t>
            </m:r>
          </m:sub>
          <m:sup>
            <m:sSub>
              <m:e>
                <m:r>
                  <m:t xml:space="preserve">T</m:t>
                </m:r>
              </m:e>
              <m:sub>
                <m:r>
                  <m:t xml:space="preserve">y</m:t>
                </m:r>
              </m:sub>
            </m:sSub>
          </m:sup>
        </m:sSubSup>
        <m:r>
          <m:rPr>
            <m:sty m:val="p"/>
          </m:rPr>
          <m:t xml:space="preserve">log</m:t>
        </m:r>
        <m:r>
          <m:t xml:space="preserve">P</m:t>
        </m:r>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r>
        <w:rPr>
          <w:rFonts w:ascii="Times New Roman" w:hAnsi="Times New Roman" w:eastAsia="Songti SC"/>
          <w:color w:val="000000"/>
          <w:sz w:val="20"/>
        </w:rPr>
        <w:t xml:space="preserve">　（3-9）</w:t>
      </w:r>
    </w:p>
    <w:p>
      <w:r>
        <w:rPr>
          <w:rFonts w:ascii="Times New Roman" w:hAnsi="Times New Roman" w:eastAsia="Songti SC"/>
          <w:color w:val="000000"/>
        </w:rPr>
        <w:t>为在编码阶段提供结论存在性监督，本文为每个句子增加二分类头。若句子包含MajorClaim或Claim，则标签</w:t>
      </w:r>
      <m:oMath>
        <m:sSub>
          <m:e>
            <m:r>
              <m:t xml:space="preserve">z</m:t>
            </m:r>
          </m:e>
          <m:sub>
            <m:r>
              <m:t xml:space="preserve">i</m:t>
            </m:r>
          </m:sub>
        </m:sSub>
        <m:r>
          <m:t xml:space="preserve">=</m:t>
        </m:r>
        <m:r>
          <m:t xml:space="preserve">1</m:t>
        </m:r>
      </m:oMath>
      <w:r>
        <w:rPr>
          <w:rFonts w:ascii="Times New Roman" w:hAnsi="Times New Roman" w:eastAsia="Songti SC"/>
          <w:color w:val="000000"/>
        </w:rPr>
        <w:t>，否则为0：</w:t>
      </w:r>
    </w:p>
    <w:p>
      <w:pPr>
        <w:keepLines/>
        <w:spacing w:line="288" w:lineRule="auto" w:before="100" w:after="180"/>
        <w:ind w:firstLine="0"/>
        <w:jc w:val="center"/>
      </w:pPr>
      <m:oMath>
        <m:sSub>
          <m:e>
            <m:r>
              <m:t xml:space="preserve">ℒ</m:t>
            </m:r>
          </m:e>
          <m:sub>
            <m:r>
              <m:t xml:space="preserve">s</m:t>
            </m:r>
            <m:r>
              <m:t xml:space="preserve">a</m:t>
            </m:r>
            <m:r>
              <m:t xml:space="preserve">t</m:t>
            </m:r>
          </m:sub>
        </m:sSub>
        <m:r>
          <m:t xml:space="preserve">=</m:t>
        </m:r>
        <m:r>
          <m:t xml:space="preserve">-</m:t>
        </m:r>
        <m:sSub>
          <m:e>
            <m:r>
              <m:t xml:space="preserve">∑</m:t>
            </m:r>
          </m:e>
          <m:sub>
            <m:r>
              <m:t xml:space="preserve">i</m:t>
            </m:r>
          </m:sub>
        </m:sSub>
        <m:r>
          <m:t xml:space="preserve">[</m:t>
        </m:r>
        <m:sSub>
          <m:e>
            <m:r>
              <m:t xml:space="preserve">z</m:t>
            </m:r>
          </m:e>
          <m:sub>
            <m:r>
              <m:t xml:space="preserve">i</m:t>
            </m:r>
          </m:sub>
        </m:sSub>
        <m:r>
          <m:rPr>
            <m:sty m:val="p"/>
          </m:rPr>
          <m:t xml:space="preserve">log</m:t>
        </m:r>
        <m:sSub>
          <m:e>
            <m:acc>
              <m:accPr>
                <m:chr m:val="̂"/>
              </m:accPr>
              <m:e>
                <m:r>
                  <m:t xml:space="preserve">z</m:t>
                </m:r>
              </m:e>
            </m:acc>
          </m:e>
          <m:sub>
            <m:r>
              <m:t xml:space="preserve">i</m:t>
            </m:r>
          </m:sub>
        </m:sSub>
        <m:r>
          <m:t xml:space="preserve">+</m:t>
        </m:r>
        <m:r>
          <m:t xml:space="preserve">(</m:t>
        </m:r>
        <m:r>
          <m:t xml:space="preserve">1</m:t>
        </m:r>
        <m:r>
          <m:t xml:space="preserve">-</m:t>
        </m:r>
        <m:sSub>
          <m:e>
            <m:r>
              <m:t xml:space="preserve">z</m:t>
            </m:r>
          </m:e>
          <m:sub>
            <m:r>
              <m:t xml:space="preserve">i</m:t>
            </m:r>
          </m:sub>
        </m:sSub>
        <m:r>
          <m:t xml:space="preserve">)</m:t>
        </m:r>
        <m:r>
          <m:rPr>
            <m:sty m:val="p"/>
          </m:rPr>
          <m:t xml:space="preserve">log</m:t>
        </m:r>
        <m:r>
          <m:t xml:space="preserve">(</m:t>
        </m:r>
        <m:r>
          <m:t xml:space="preserve">1</m:t>
        </m:r>
        <m:r>
          <m:t xml:space="preserve">-</m:t>
        </m:r>
        <m:sSub>
          <m:e>
            <m:acc>
              <m:accPr>
                <m:chr m:val="̂"/>
              </m:accPr>
              <m:e>
                <m:r>
                  <m:t xml:space="preserve">z</m:t>
                </m:r>
              </m:e>
            </m:acc>
          </m:e>
          <m:sub>
            <m:r>
              <m:t xml:space="preserve">i</m:t>
            </m:r>
          </m:sub>
        </m:sSub>
        <m:r>
          <m:t xml:space="preserve">)</m:t>
        </m:r>
        <m:r>
          <m:t xml:space="preserve">]</m:t>
        </m:r>
        <m:r>
          <m:t xml:space="preserve">.</m:t>
        </m:r>
      </m:oMath>
      <w:r>
        <w:rPr>
          <w:rFonts w:ascii="Times New Roman" w:hAnsi="Times New Roman" w:eastAsia="Songti SC"/>
          <w:color w:val="000000"/>
          <w:sz w:val="20"/>
        </w:rPr>
        <w:t xml:space="preserve">　（3-10）</w:t>
      </w:r>
    </w:p>
    <w:p>
      <w:r>
        <w:rPr>
          <w:rFonts w:ascii="Times New Roman" w:hAnsi="Times New Roman" w:eastAsia="Songti SC"/>
          <w:color w:val="000000"/>
        </w:rPr>
        <w:t>联合目标为：</w:t>
      </w:r>
    </w:p>
    <w:p>
      <w:pPr>
        <w:keepLines/>
        <w:spacing w:line="288" w:lineRule="auto" w:before="100" w:after="180"/>
        <w:ind w:firstLine="0"/>
        <w:jc w:val="center"/>
      </w:pPr>
      <m:oMath>
        <m:sSub>
          <m:e>
            <m:r>
              <m:t xml:space="preserve">ℒ</m:t>
            </m:r>
          </m:e>
          <m:sub>
            <m:r>
              <m:t xml:space="preserve">c</m:t>
            </m:r>
            <m:r>
              <m:t xml:space="preserve">o</m:t>
            </m:r>
            <m:r>
              <m:t xml:space="preserve">m</m:t>
            </m:r>
            <m:r>
              <m:t xml:space="preserve">p</m:t>
            </m:r>
          </m:sub>
        </m:sSub>
        <m:r>
          <m:t xml:space="preserve">=</m:t>
        </m:r>
        <m:sSub>
          <m:e>
            <m:r>
              <m:t xml:space="preserve">ℒ</m:t>
            </m:r>
          </m:e>
          <m:sub>
            <m:r>
              <m:t xml:space="preserve">g</m:t>
            </m:r>
            <m:r>
              <m:t xml:space="preserve">e</m:t>
            </m:r>
            <m:r>
              <m:t xml:space="preserve">n</m:t>
            </m:r>
          </m:sub>
        </m:sSub>
        <m:r>
          <m:t xml:space="preserve">+</m:t>
        </m:r>
        <m:r>
          <m:t xml:space="preserve">λ</m:t>
        </m:r>
        <m:sSub>
          <m:e>
            <m:r>
              <m:t xml:space="preserve">ℒ</m:t>
            </m:r>
          </m:e>
          <m:sub>
            <m:r>
              <m:t xml:space="preserve">s</m:t>
            </m:r>
            <m:r>
              <m:t xml:space="preserve">a</m:t>
            </m:r>
            <m:r>
              <m:t xml:space="preserve">t</m:t>
            </m:r>
          </m:sub>
        </m:sSub>
        <m:r>
          <m:t xml:space="preserve">,</m:t>
        </m:r>
        <m:r>
          <m:rPr>
            <m:sty m:val="p"/>
          </m:rPr>
          <m:t xml:space="preserve"> </m:t>
        </m:r>
        <m:r>
          <m:t xml:space="preserve">λ</m:t>
        </m:r>
        <m:r>
          <m:t xml:space="preserve">=</m:t>
        </m:r>
        <m:r>
          <m:t xml:space="preserve">0</m:t>
        </m:r>
        <m:r>
          <m:t xml:space="preserve">.</m:t>
        </m:r>
        <m:r>
          <m:t xml:space="preserve">5</m:t>
        </m:r>
        <m:r>
          <m:t xml:space="preserve">.</m:t>
        </m:r>
      </m:oMath>
      <w:r>
        <w:rPr>
          <w:rFonts w:ascii="Times New Roman" w:hAnsi="Times New Roman" w:eastAsia="Songti SC"/>
          <w:color w:val="000000"/>
          <w:sz w:val="20"/>
        </w:rPr>
        <w:t xml:space="preserve">　（3-11）</w:t>
      </w:r>
    </w:p>
    <w:p>
      <w:r>
        <w:rPr>
          <w:rFonts w:ascii="Times New Roman" w:hAnsi="Times New Roman" w:eastAsia="Songti SC"/>
          <w:color w:val="000000"/>
        </w:rPr>
        <w:t>辅助目标只参与训练，推理时不增加JSON字段。不过，对decoder-only骨干，“句子表示”仍需明确来自哪些输入token、哪一层以及何种池化；不能笼统称为额外编码器提供的表示。原稿的两个损失均写为求和形式，实际损失尺度随输出长度和句子数变化。实现若采用均值归一化，应同步修改公式并重新解释</w:t>
      </w:r>
      <m:oMath>
        <m:r>
          <m:t xml:space="preserve">λ</m:t>
        </m:r>
        <m:r>
          <m:t xml:space="preserve">=</m:t>
        </m:r>
        <m:r>
          <m:t xml:space="preserve">0</m:t>
        </m:r>
        <m:r>
          <m:t xml:space="preserve">.</m:t>
        </m:r>
        <m:r>
          <m:t xml:space="preserve">5</m:t>
        </m:r>
      </m:oMath>
      <w:r>
        <w:rPr>
          <w:rFonts w:ascii="Times New Roman" w:hAnsi="Times New Roman" w:eastAsia="Songti SC"/>
          <w:color w:val="000000"/>
        </w:rPr>
        <w:t>。</w:t>
      </w:r>
    </w:p>
    <w:p>
      <w:pPr>
        <w:ind w:firstLine="0"/>
      </w:pPr>
      <w:r>
        <w:rPr>
          <w:rFonts w:ascii="Times New Roman" w:hAnsi="Times New Roman" w:eastAsia="Songti SC"/>
          <w:color w:val="000000"/>
          <w:sz w:val="22"/>
        </w:rPr>
        <w:t>待核验R04：需补充句子切分、跨句组件的句子标签规则、分类头结构、池化方式、loss mask和归一化方式；Cue-aware分支需补充完整词典、大小写及短语匹配规则、提示插入位置和无显式线索样本的结果。这里不代填未提供的配置。</w:t>
      </w:r>
    </w:p>
    <w:p>
      <w:pPr>
        <w:pStyle w:val="Heading2"/>
      </w:pPr>
      <w:r>
        <w:t>3.4 实验设置与结果分析</w:t>
      </w:r>
    </w:p>
    <w:p>
      <w:pPr>
        <w:pStyle w:val="Heading3"/>
      </w:pPr>
      <w:r>
        <w:t>3.4.1 设置与评价指标</w:t>
      </w:r>
    </w:p>
    <w:p>
      <w:r>
        <w:rPr>
          <w:rFonts w:ascii="Times New Roman" w:hAnsi="Times New Roman" w:eastAsia="Songti SC"/>
          <w:color w:val="000000"/>
        </w:rPr>
        <w:t>实验采用Qwen2.5-7B-Instruct作为骨干模型，并使用LoRA进行参数高效微调。组件评价采用边界和类型同时精确匹配的F1；除整体Component-F1外，分别报告MajorClaim-F1和Claim-F1，以避免总体指标被高频类别主导。所有增强样本均由训练集产生，验证集用于模型选择和超参数确定，测试集仅用于最终评价。</w:t>
      </w:r>
    </w:p>
    <w:p>
      <w:r>
        <w:rPr>
          <w:rFonts w:ascii="Times New Roman" w:hAnsi="Times New Roman" w:eastAsia="Songti SC"/>
          <w:color w:val="000000"/>
        </w:rPr>
        <w:t>表3-1暂作为原稿分类别结果记录保留，不能独立确认训练增强的净贡献：本表Single-Pass的Comp-F1为81.67，而第四章同名记录为77.82；本表Full的83.71又与第四章包含推理修正的Full相同。需根据run ID确认是否使用相同训练数据、检查点、推理预算和评价脚本，再决定拆表或更正名称。本稿不从两个冲突值中任选其一。</w:t>
      </w:r>
    </w:p>
    <w:p>
      <w:pPr>
        <w:ind w:firstLine="0"/>
      </w:pPr>
      <w:r>
        <w:rPr>
          <w:rFonts w:ascii="Times New Roman" w:hAnsi="Times New Roman" w:eastAsia="Songti SC"/>
          <w:color w:val="000000"/>
          <w:sz w:val="22"/>
        </w:rPr>
        <w:t>待核验R05：本表配置对应关系以及外部基线分类别分数来源未确定。</w:t>
      </w:r>
    </w:p>
    <w:p>
      <w:pPr>
        <w:pStyle w:val="Heading3"/>
      </w:pPr>
      <w:r>
        <w:t>3.4.2 主要结果</w:t>
      </w:r>
    </w:p>
    <w:p>
      <w:pPr>
        <w:keepNext/>
        <w:ind w:firstLine="0"/>
        <w:jc w:val="center"/>
      </w:pPr>
      <w:r>
        <w:rPr>
          <w:rFonts w:ascii="Times New Roman" w:hAnsi="Times New Roman" w:eastAsia="Songti SC"/>
          <w:color w:val="000000"/>
          <w:sz w:val="22"/>
        </w:rPr>
        <w:t>表3-1 AAEC组件分类别结果原稿记录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8"/>
        <w:gridCol w:w="1757"/>
        <w:gridCol w:w="1757"/>
        <w:gridCol w:w="1757"/>
      </w:tblGrid>
      <w:tr>
        <w:trPr>
          <w:cantSplit/>
          <w:tblHeader/>
        </w:trPr>
        <w:tc>
          <w:tcPr>
            <w:tcW w:type="dxa" w:w="362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MajorClaim-F1</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Claim-F1</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FLAN-T5 (XXL)</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71.23</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76.45</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80.15</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73.45</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78.21</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81.67</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77.34</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81.77</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w:t>
            </w:r>
          </w:p>
        </w:tc>
      </w:tr>
    </w:tbl>
    <w:p>
      <w:pPr>
        <w:spacing w:after="0" w:line="240" w:lineRule="auto"/>
      </w:pPr>
    </w:p>
    <w:p>
      <w:r>
        <w:rPr>
          <w:rFonts w:ascii="Times New Roman" w:hAnsi="Times New Roman" w:eastAsia="Songti SC"/>
          <w:color w:val="000000"/>
        </w:rPr>
        <w:t>按表内数值相减，Full相对本表Single-Pass的MajorClaim-F1、Claim-F1和Component-F1差值分别为3.89、3.56和2.04个F1点；相对FLAN-T5 (XXL)的整体差值为3.56个点。这些是算术差值，不是已完成配置控制的因果归因。当前没有Premise分类结果、组件Precision与Recall或错误混淆矩阵，不能据此排除对高频类别的损害，也不能把各类别F1与总体F1的差值直接解释为贡献比例。</w:t>
      </w:r>
    </w:p>
    <w:p>
      <w:pPr>
        <w:pStyle w:val="Heading3"/>
      </w:pPr>
      <w:r>
        <w:t>3.4.3 模块作用与解释边界</w:t>
      </w:r>
    </w:p>
    <w:p>
      <w:r>
        <w:rPr>
          <w:rFonts w:ascii="Times New Roman" w:hAnsi="Times New Roman" w:eastAsia="Songti SC"/>
          <w:color w:val="000000"/>
        </w:rPr>
        <w:t>第四章的完整消融结果显示，移除Claim-specific Adapter后Component-F1下降1.75个点，移除Cue-aware Soft Prompting后下降1.37个点，移除辅助目标后下降0.82个点。由于各模块共享训练数据和生成器参数，消融差值反映的是“在其他模块保留条件下”的边际影响，不应将多个差值简单相加解释为总增益。</w:t>
      </w:r>
    </w:p>
    <w:p>
      <w:r>
        <w:rPr>
          <w:rFonts w:ascii="Times New Roman" w:hAnsi="Times New Roman" w:eastAsia="Songti SC"/>
          <w:color w:val="000000"/>
        </w:rPr>
        <w:t>结构感知数据增强的独立效果还应同时结合合成样本通过率、人工抽检一致性和真实测试集性能判断。本文不以生成样本数量本身作为有效性证据，而以未参与增强的测试集表现作为主要依据。</w:t>
      </w:r>
    </w:p>
    <w:p>
      <w:pPr>
        <w:pStyle w:val="Heading2"/>
      </w:pPr>
      <w:r>
        <w:t>3.5 误差类型与讨论</w:t>
      </w:r>
    </w:p>
    <w:p>
      <w:r>
        <w:rPr>
          <w:rFonts w:ascii="Times New Roman" w:hAnsi="Times New Roman" w:eastAsia="Songti SC"/>
          <w:color w:val="000000"/>
        </w:rPr>
        <w:t>结论组件学习需要重点检验以下三类潜在错误；当前缺少逐例输出，尚不将其视为已完成标注的错误分布。第一，隐式结论没有显式线索词，Cue-aware分支难以提供额外信息；第二，一个长句同时包含论据和结论时，模型容易扩大组件边界；第三，MajorClaim与Claim语义相近，模型可能在类型之间混淆。前两类错误需要更细粒度的边界建模，第三类错误则说明仅依赖局部语义不足，还需要结合文档级位置和段落结构。</w:t>
      </w:r>
    </w:p>
    <w:p>
      <w:r>
        <w:rPr>
          <w:rFonts w:ascii="Times New Roman" w:hAnsi="Times New Roman" w:eastAsia="Songti SC"/>
          <w:color w:val="000000"/>
        </w:rPr>
        <w:t>本章方法以改善候选组件质量为目标；其净效果仍需消除表格配置冲突后验证。下一章进一步保留多个组件假设，并利用完整关系结构对候选进行重排序和局部修复，以分析仅改变训练阶段之外的恢复空间。</w:t>
      </w:r>
    </w:p>
    <w:p>
      <w:pPr>
        <w:pStyle w:val="Heading2"/>
      </w:pPr>
      <w:r>
        <w:t>3.6 本章小结</w:t>
      </w:r>
    </w:p>
    <w:p>
      <w:r>
        <w:rPr>
          <w:rFonts w:ascii="Times New Roman" w:hAnsi="Times New Roman" w:eastAsia="Songti SC"/>
          <w:color w:val="000000"/>
        </w:rPr>
        <w:t>本章以结论中心局部子图作为增强单位，将表达多样化与组件类型、关系端点和方向保持相结合，并通过分层筛选控制监督一致性。类型条件适配、线索感知提示和辅助目标作为配套模块支持结论组件学习。与孤立改写相比，该设计的差异是显式维护局部关系监督，其独立收益仍需通过等训练预算的增强对照验证。原稿分类别记录呈现了正向差值，但配置核验、Premise性能和门控可执行性仍是解释结果的必要前提。</w:t>
      </w:r>
    </w:p>
    <w:p>
      <w:pPr>
        <w:pStyle w:val="Heading1"/>
      </w:pPr>
      <w:r>
        <w:t>第四章 基于候选图评估与异常驱动局部修正的论辩图生成</w:t>
      </w:r>
    </w:p>
    <w:p>
      <w:commentRangeStart w:id="6"/>
      <w:r>
        <w:rPr>
          <w:rFonts w:ascii="Times New Roman" w:hAnsi="Times New Roman" w:eastAsia="Songti SC"/>
          <w:color w:val="000000"/>
        </w:rPr>
        <w:t>本章提出基于完整候选图评估与异常驱动局部修正的MCR-BR方法。其评估对象包含组件和关系，先为多个组件假设构建完整图，再以结构检查和单独调用的语义验证信号选择初始状态；检测到的异常触发局部动作，并通过接受检查、回退、轮数和接受动作数限制控制修改。完整流程包括候选组件生成、候选图构建、一致性评分、初始解选择、异常检测和有界局部修正六个阶段。这里的“有界”特指所定义的修正步数约束，不代表已给出全部生成与验证调用的严格上界。</w:t>
      </w:r>
      <w:commentRangeEnd w:id="6"/>
      <w:r>
        <w:commentReference w:id="6"/>
      </w:r>
    </w:p>
    <w:p>
      <w:pPr>
        <w:pStyle w:val="Heading2"/>
      </w:pPr>
      <w:r>
        <w:t>4.1 单次生成的错误传播与恢复目标</w:t>
      </w:r>
    </w:p>
    <w:p>
      <w:r>
        <w:rPr>
          <w:rFonts w:ascii="Times New Roman" w:hAnsi="Times New Roman" w:eastAsia="Songti SC"/>
          <w:color w:val="000000"/>
        </w:rPr>
        <w:t>单次生成系统直接输出一个组件列表和关系列表。一旦组件被遗漏、边界偏移或编号错误，后续关系便可能出现悬空引用、孤立节点和错误连接。仅删除非法边的后处理不能补回缺失组件；自由生成式修订则可能同时改变正确结构。MCR-BR据此限定修改对象和接受条件，但其当前动作集合同样不提供一般性的缺失节点插入能力。</w:t>
      </w:r>
    </w:p>
    <w:p>
      <w:r>
        <w:rPr>
          <w:rFonts w:ascii="Times New Roman" w:hAnsi="Times New Roman" w:eastAsia="Songti SC"/>
          <w:color w:val="000000"/>
        </w:rPr>
        <w:t>原稿记录的AAEC修正触发率为42.5%，修正前无效组件引用比例为18.5%，JSON格式错误比例为6.2%，验证器判定的不连贯边比例为22.4%。这些指标的分母可能分别是文档、引用或关系边，不能相加为总体错误率。触发率还依赖异常阈值，不等于经人工确认的错误文档比例。</w:t>
      </w:r>
    </w:p>
    <w:p>
      <w:r>
        <w:rPr>
          <w:rFonts w:ascii="Times New Roman" w:hAnsi="Times New Roman" w:eastAsia="Songti SC"/>
          <w:color w:val="000000"/>
        </w:rPr>
        <w:t>相应恢复目标是改善可解析性与引用有效性、边级语义一致性和预设的连接覆盖偏好。覆盖不足并不必然是标注错误，未带显式理由的合法Claim也可能触发这一软偏好。</w:t>
      </w:r>
    </w:p>
    <w:p>
      <w:pPr>
        <w:pStyle w:val="Heading2"/>
      </w:pPr>
      <w:r>
        <w:t>4.2 多候选组件生成与完整图构建</w:t>
      </w:r>
    </w:p>
    <w:p>
      <w:pPr>
        <w:pStyle w:val="Heading3"/>
      </w:pPr>
      <w:r>
        <w:t>4.2.1 候选组件集合</w:t>
      </w:r>
    </w:p>
    <w:p>
      <w:r>
        <w:rPr>
          <w:rFonts w:ascii="Times New Roman" w:hAnsi="Times New Roman" w:eastAsia="Songti SC"/>
          <w:color w:val="000000"/>
        </w:rPr>
        <w:t>给定文档</w:t>
      </w:r>
      <m:oMath>
        <m:r>
          <m:t xml:space="preserve">D</m:t>
        </m:r>
      </m:oMath>
      <w:r>
        <w:rPr>
          <w:rFonts w:ascii="Times New Roman" w:hAnsi="Times New Roman" w:eastAsia="Songti SC"/>
          <w:color w:val="000000"/>
        </w:rPr>
        <w:t>，模型不立即提交单一结果，而是通过温度采样和提示改写生成</w:t>
      </w:r>
      <m:oMath>
        <m:r>
          <m:t xml:space="preserve">K</m:t>
        </m:r>
      </m:oMath>
      <w:r>
        <w:rPr>
          <w:rFonts w:ascii="Times New Roman" w:hAnsi="Times New Roman" w:eastAsia="Songti SC"/>
          <w:color w:val="000000"/>
        </w:rPr>
        <w:t>个组件候选集：</w:t>
      </w:r>
    </w:p>
    <w:p>
      <w:pPr>
        <w:keepLines/>
        <w:spacing w:line="288" w:lineRule="auto" w:before="100" w:after="180"/>
        <w:ind w:firstLine="0"/>
        <w:jc w:val="center"/>
      </w:pPr>
      <m:oMath>
        <m:r>
          <m:t xml:space="preserve">𝒞</m:t>
        </m:r>
        <m:r>
          <m:t xml:space="preserve">=</m:t>
        </m:r>
        <m:r>
          <m:rPr>
            <m:sty m:val="p"/>
          </m:rPr>
          <m:t xml:space="preserve">{</m:t>
        </m:r>
        <m:sSup>
          <m:e>
            <m:r>
              <m:t xml:space="preserve">C</m:t>
            </m:r>
          </m:e>
          <m:sup>
            <m:r>
              <m:t xml:space="preserve">(</m:t>
            </m:r>
            <m:r>
              <m:t xml:space="preserve">1</m:t>
            </m:r>
            <m:r>
              <m:t xml:space="preserve">)</m:t>
            </m:r>
          </m:sup>
        </m:sSup>
        <m:r>
          <m:t xml:space="preserve">,</m:t>
        </m:r>
        <m:sSup>
          <m:e>
            <m:r>
              <m:t xml:space="preserve">C</m:t>
            </m:r>
          </m:e>
          <m:sup>
            <m:r>
              <m:t xml:space="preserve">(</m:t>
            </m:r>
            <m:r>
              <m:t xml:space="preserve">2</m:t>
            </m:r>
            <m:r>
              <m:t xml:space="preserve">)</m:t>
            </m:r>
          </m:sup>
        </m:sSup>
        <m:r>
          <m:t xml:space="preserve">,</m:t>
        </m:r>
        <m:r>
          <m:t xml:space="preserve">…</m:t>
        </m:r>
        <m:r>
          <m:t xml:space="preserve">,</m:t>
        </m:r>
        <m:sSup>
          <m:e>
            <m:r>
              <m:t xml:space="preserve">C</m:t>
            </m:r>
          </m:e>
          <m:sup>
            <m:r>
              <m:t xml:space="preserve">(</m:t>
            </m:r>
            <m:r>
              <m:t xml:space="preserve">K</m:t>
            </m:r>
            <m:r>
              <m:t xml:space="preserve">)</m:t>
            </m:r>
          </m:sup>
        </m:sSup>
        <m:r>
          <m:rPr>
            <m:sty m:val="p"/>
          </m:rPr>
          <m:t xml:space="preserve">}</m:t>
        </m:r>
        <m:r>
          <m:t xml:space="preserve">.</m:t>
        </m:r>
      </m:oMath>
      <w:r>
        <w:rPr>
          <w:rFonts w:ascii="Times New Roman" w:hAnsi="Times New Roman" w:eastAsia="Songti SC"/>
          <w:color w:val="000000"/>
          <w:sz w:val="20"/>
        </w:rPr>
        <w:t xml:space="preserve">　（4-1）</w:t>
      </w:r>
    </w:p>
    <w:p>
      <w:r>
        <w:rPr>
          <w:rFonts w:ascii="Times New Roman" w:hAnsi="Times New Roman" w:eastAsia="Songti SC"/>
          <w:color w:val="000000"/>
        </w:rPr>
        <w:t>每个</w:t>
      </w:r>
      <m:oMath>
        <m:sSup>
          <m:e>
            <m:r>
              <m:t xml:space="preserve">C</m:t>
            </m:r>
          </m:e>
          <m:sup>
            <m:r>
              <m:t xml:space="preserve">(</m:t>
            </m:r>
            <m:r>
              <m:t xml:space="preserve">k</m:t>
            </m:r>
            <m:r>
              <m:t xml:space="preserve">)</m:t>
            </m:r>
          </m:sup>
        </m:sSup>
      </m:oMath>
      <w:r>
        <w:rPr>
          <w:rFonts w:ascii="Times New Roman" w:hAnsi="Times New Roman" w:eastAsia="Songti SC"/>
          <w:color w:val="000000"/>
        </w:rPr>
        <w:t>包含组件跨度和类型。生成结果使用统一JSON Schema解析。原稿提出按模型置信度、跨度长度和文本位置消解重叠，但未给出排序优先级、置信度定义和并列处理规则，故目前尚不是可复现的确定性算法；待核验R06要求同时保存消解前后结果及端点重映射。候选的目的不是重复采样相同输出，而是保留在组件边界、类型或遗漏节点上存在差异的竞争假设。</w:t>
      </w:r>
    </w:p>
    <w:p>
      <w:pPr>
        <w:pStyle w:val="Heading3"/>
      </w:pPr>
      <w:r>
        <w:t>4.2.2 候选论辩图构建</w:t>
      </w:r>
    </w:p>
    <w:p>
      <w:r>
        <w:rPr>
          <w:rFonts w:ascii="Times New Roman" w:hAnsi="Times New Roman" w:eastAsia="Songti SC"/>
          <w:color w:val="000000"/>
        </w:rPr>
        <w:t>对每个组件候选集</w:t>
      </w:r>
      <m:oMath>
        <m:sSup>
          <m:e>
            <m:r>
              <m:t xml:space="preserve">C</m:t>
            </m:r>
          </m:e>
          <m:sup>
            <m:r>
              <m:t xml:space="preserve">(</m:t>
            </m:r>
            <m:r>
              <m:t xml:space="preserve">k</m:t>
            </m:r>
            <m:r>
              <m:t xml:space="preserve">)</m:t>
            </m:r>
          </m:sup>
        </m:sSup>
      </m:oMath>
      <w:r>
        <w:rPr>
          <w:rFonts w:ascii="Times New Roman" w:hAnsi="Times New Roman" w:eastAsia="Songti SC"/>
          <w:color w:val="000000"/>
        </w:rPr>
        <w:t>，关系模块在有效组件编号之间预测关系集合</w:t>
      </w:r>
      <m:oMath>
        <m:sSup>
          <m:e>
            <m:r>
              <m:t xml:space="preserve">R</m:t>
            </m:r>
          </m:e>
          <m:sup>
            <m:r>
              <m:t xml:space="preserve">(</m:t>
            </m:r>
            <m:r>
              <m:t xml:space="preserve">k</m:t>
            </m:r>
            <m:r>
              <m:t xml:space="preserve">)</m:t>
            </m:r>
          </m:sup>
        </m:sSup>
      </m:oMath>
      <w:r>
        <w:rPr>
          <w:rFonts w:ascii="Times New Roman" w:hAnsi="Times New Roman" w:eastAsia="Songti SC"/>
          <w:color w:val="000000"/>
        </w:rPr>
        <w:t>，得到完整候选结构：</w:t>
      </w:r>
    </w:p>
    <w:p>
      <w:pPr>
        <w:keepLines/>
        <w:spacing w:line="288" w:lineRule="auto" w:before="100" w:after="180"/>
        <w:ind w:firstLine="0"/>
        <w:jc w:val="center"/>
      </w:pPr>
      <m:oMath>
        <m:sSub>
          <m:e>
            <m:r>
              <m:t xml:space="preserve">S</m:t>
            </m:r>
          </m:e>
          <m:sub>
            <m:r>
              <m:t xml:space="preserve">k</m:t>
            </m:r>
          </m:sub>
        </m:sSub>
        <m:r>
          <m:t xml:space="preserve">=</m:t>
        </m:r>
        <m:r>
          <m:t xml:space="preserve">(</m:t>
        </m:r>
        <m:sSup>
          <m:e>
            <m:r>
              <m:t xml:space="preserve">C</m:t>
            </m:r>
          </m:e>
          <m:sup>
            <m:r>
              <m:t xml:space="preserve">(</m:t>
            </m:r>
            <m:r>
              <m:t xml:space="preserve">k</m:t>
            </m:r>
            <m:r>
              <m:t xml:space="preserve">)</m:t>
            </m:r>
          </m:sup>
        </m:sSup>
        <m:r>
          <m:t xml:space="preserve">,</m:t>
        </m:r>
        <m:sSup>
          <m:e>
            <m:r>
              <m:t xml:space="preserve">R</m:t>
            </m:r>
          </m:e>
          <m:sup>
            <m:r>
              <m:t xml:space="preserve">(</m:t>
            </m:r>
            <m:r>
              <m:t xml:space="preserve">k</m:t>
            </m:r>
            <m:r>
              <m:t xml:space="preserve">)</m:t>
            </m:r>
          </m:sup>
        </m:sSup>
        <m:r>
          <m:t xml:space="preserve">,</m:t>
        </m:r>
        <m:sSup>
          <m:e>
            <m:r>
              <m:t xml:space="preserve">G</m:t>
            </m:r>
          </m:e>
          <m:sup>
            <m:r>
              <m:t xml:space="preserve">(</m:t>
            </m:r>
            <m:r>
              <m:t xml:space="preserve">k</m:t>
            </m:r>
            <m:r>
              <m:t xml:space="preserve">)</m:t>
            </m:r>
          </m:sup>
        </m:sSup>
        <m:r>
          <m:t xml:space="preserve">)</m:t>
        </m:r>
        <m:r>
          <m:t xml:space="preserve">,</m:t>
        </m:r>
        <m:r>
          <m:rPr>
            <m:sty m:val="p"/>
          </m:rPr>
          <m:t xml:space="preserve"> </m:t>
        </m:r>
        <m:sSup>
          <m:e>
            <m:r>
              <m:t xml:space="preserve">G</m:t>
            </m:r>
          </m:e>
          <m:sup>
            <m:r>
              <m:t xml:space="preserve">(</m:t>
            </m:r>
            <m:r>
              <m:t xml:space="preserve">k</m:t>
            </m:r>
            <m:r>
              <m:t xml:space="preserve">)</m:t>
            </m:r>
          </m:sup>
        </m:sSup>
        <m:r>
          <m:t xml:space="preserve">=</m:t>
        </m:r>
        <m:r>
          <m:t xml:space="preserve">(</m:t>
        </m:r>
        <m:sSup>
          <m:e>
            <m:r>
              <m:t xml:space="preserve">V</m:t>
            </m:r>
          </m:e>
          <m:sup>
            <m:r>
              <m:t xml:space="preserve">(</m:t>
            </m:r>
            <m:r>
              <m:t xml:space="preserve">k</m:t>
            </m:r>
            <m:r>
              <m:t xml:space="preserve">)</m:t>
            </m:r>
          </m:sup>
        </m:sSup>
        <m:r>
          <m:t xml:space="preserve">,</m:t>
        </m:r>
        <m:sSup>
          <m:e>
            <m:r>
              <m:t xml:space="preserve">E</m:t>
            </m:r>
          </m:e>
          <m:sup>
            <m:r>
              <m:t xml:space="preserve">(</m:t>
            </m:r>
            <m:r>
              <m:t xml:space="preserve">k</m:t>
            </m:r>
            <m:r>
              <m:t xml:space="preserve">)</m:t>
            </m:r>
          </m:sup>
        </m:sSup>
        <m:r>
          <m:t xml:space="preserve">)</m:t>
        </m:r>
        <m:r>
          <m:t xml:space="preserve">.</m:t>
        </m:r>
      </m:oMath>
      <w:r>
        <w:rPr>
          <w:rFonts w:ascii="Times New Roman" w:hAnsi="Times New Roman" w:eastAsia="Songti SC"/>
          <w:color w:val="000000"/>
          <w:sz w:val="20"/>
        </w:rPr>
        <w:t xml:space="preserve">　（4-2）</w:t>
      </w:r>
    </w:p>
    <w:p>
      <w:r>
        <w:rPr>
          <w:rFonts w:ascii="Times New Roman" w:hAnsi="Times New Roman" w:eastAsia="Songti SC"/>
          <w:color w:val="000000"/>
        </w:rPr>
        <w:t>关系预测的目标是只引用</w:t>
      </w:r>
      <m:oMath>
        <m:sSup>
          <m:e>
            <m:r>
              <m:t xml:space="preserve">C</m:t>
            </m:r>
          </m:e>
          <m:sup>
            <m:r>
              <m:t xml:space="preserve">(</m:t>
            </m:r>
            <m:r>
              <m:t xml:space="preserve">k</m:t>
            </m:r>
            <m:r>
              <m:t xml:space="preserve">)</m:t>
            </m:r>
          </m:sup>
        </m:sSup>
      </m:oMath>
      <w:r>
        <w:rPr>
          <w:rFonts w:ascii="Times New Roman" w:hAnsi="Times New Roman" w:eastAsia="Songti SC"/>
          <w:color w:val="000000"/>
        </w:rPr>
        <w:t>中存在的组件。若这一限制通过每一步解码的硬约束实施，且后处理不破坏映射，则该阶段不应再产生悬空ID；仅在提示中列出ID不构成同样的保证。原稿残余无效ID记录与约束阶段的关系须在日志中核对。AAEC关系标签为Support/Attack；CDCP域内实验保留Reason/Evidence；跨领域实验映射为有向Link。</w:t>
      </w:r>
    </w:p>
    <w:p>
      <w:r>
        <w:rPr>
          <w:rFonts w:ascii="Times New Roman" w:hAnsi="Times New Roman" w:eastAsia="Songti SC"/>
          <w:color w:val="000000"/>
        </w:rPr>
        <w:t>以下流程整理原稿的模块关系，不代表新增实验或新增修复动作。</w:t>
      </w:r>
    </w:p>
    <w:p>
      <w:pPr>
        <w:keepNext/>
        <w:ind w:firstLine="0"/>
        <w:jc w:val="center"/>
      </w:pPr>
      <w:r>
        <w:rPr>
          <w:rFonts w:ascii="Times New Roman" w:hAnsi="Times New Roman" w:eastAsia="Songti SC"/>
          <w:color w:val="000000"/>
          <w:sz w:val="22"/>
        </w:rPr>
        <w:t>图4-1 MCR-BR候选选择与局部修正流程</w:t>
      </w:r>
    </w:p>
    <w:p>
      <w:pPr>
        <w:keepLines/>
        <w:spacing w:line="264" w:lineRule="auto" w:before="100" w:after="180"/>
        <w:ind w:firstLine="0" w:left="170"/>
        <w:jc w:val="center"/>
      </w:pPr>
      <w:r>
        <w:rPr>
          <w:rFonts w:ascii="Times New Roman" w:hAnsi="Times New Roman" w:eastAsia="Songti SC"/>
          <w:color w:val="000000"/>
          <w:sz w:val="22"/>
        </w:rPr>
        <w:t>原始文档</w:t>
        <w:br/>
        <w:t xml:space="preserve">  ↓ 组件生成与规范化</w:t>
        <w:br/>
        <w:t>K个组件候选</w:t>
        <w:br/>
        <w:t xml:space="preserve">  ↓ 对每个候选预测关系</w:t>
        <w:br/>
        <w:t>K个完整候选图</w:t>
        <w:br/>
        <w:t xml:space="preserve">  ↓ 合法性检查与语义验证</w:t>
        <w:br/>
        <w:t>候选评分与初始图选择</w:t>
        <w:br/>
        <w:t xml:space="preserve">  ↓ 检测异常并尝试局部动作</w:t>
        <w:br/>
        <w:t>接受或回退 → 终止判断 → 输出图</w:t>
      </w:r>
    </w:p>
    <w:p>
      <w:r>
        <w:rPr>
          <w:rFonts w:ascii="Times New Roman" w:hAnsi="Times New Roman" w:eastAsia="Songti SC"/>
          <w:color w:val="000000"/>
        </w:rPr>
        <w:t>如果候选不能解析，则其节点、关系和语义分量无法直接定义。应记录为解析失败并执行实现明确规定的处置，不能把解析失败偷偷当作空图加入正常语义统计。</w:t>
      </w:r>
    </w:p>
    <w:p>
      <w:pPr>
        <w:pStyle w:val="Heading2"/>
      </w:pPr>
      <w:r>
        <w:t>4.3 一致性引导的候选评分</w:t>
      </w:r>
    </w:p>
    <w:p>
      <w:r>
        <w:rPr>
          <w:rFonts w:ascii="Times New Roman" w:hAnsi="Times New Roman" w:eastAsia="Songti SC"/>
          <w:color w:val="000000"/>
        </w:rPr>
        <w:t>综合评分函数定义为：</w:t>
      </w:r>
    </w:p>
    <w:p>
      <w:pPr>
        <w:keepLines/>
        <w:spacing w:line="288" w:lineRule="auto" w:before="100" w:after="180"/>
        <w:ind w:firstLine="0"/>
        <w:jc w:val="center"/>
      </w:pPr>
      <m:oMath>
        <m:r>
          <m:t xml:space="preserve">E</m:t>
        </m:r>
        <m:r>
          <m:t xml:space="preserve">(</m:t>
        </m:r>
        <m:sSub>
          <m:e>
            <m:r>
              <m:t xml:space="preserve">S</m:t>
            </m:r>
          </m:e>
          <m:sub>
            <m:r>
              <m:t xml:space="preserve">k</m:t>
            </m:r>
          </m:sub>
        </m:sSub>
        <m:r>
          <m:t xml:space="preserve">)</m:t>
        </m:r>
        <m:r>
          <m:t xml:space="preserve">=</m:t>
        </m:r>
        <m:r>
          <m:t xml:space="preserve">α</m:t>
        </m:r>
        <m:sSub>
          <m:e>
            <m:r>
              <m:t xml:space="preserve">E</m:t>
            </m:r>
          </m:e>
          <m:sub>
            <m:r>
              <m:t xml:space="preserve">d</m:t>
            </m:r>
            <m:r>
              <m:t xml:space="preserve">e</m:t>
            </m:r>
            <m:r>
              <m:t xml:space="preserve">n</m:t>
            </m:r>
            <m:r>
              <m:t xml:space="preserve">s</m:t>
            </m:r>
          </m:sub>
        </m:sSub>
        <m:r>
          <m:t xml:space="preserve">(</m:t>
        </m:r>
        <m:sSub>
          <m:e>
            <m:r>
              <m:t xml:space="preserve">S</m:t>
            </m:r>
          </m:e>
          <m:sub>
            <m:r>
              <m:t xml:space="preserve">k</m:t>
            </m:r>
          </m:sub>
        </m:sSub>
        <m:r>
          <m:t xml:space="preserve">)</m:t>
        </m:r>
        <m:r>
          <m:t xml:space="preserve">+</m:t>
        </m:r>
        <m:r>
          <m:t xml:space="preserve">β</m:t>
        </m:r>
        <m:sSub>
          <m:e>
            <m:r>
              <m:t xml:space="preserve">E</m:t>
            </m:r>
          </m:e>
          <m:sub>
            <m:r>
              <m:t xml:space="preserve">c</m:t>
            </m:r>
            <m:r>
              <m:t xml:space="preserve">o</m:t>
            </m:r>
            <m:r>
              <m:t xml:space="preserve">h</m:t>
            </m:r>
          </m:sub>
        </m:sSub>
        <m:r>
          <m:t xml:space="preserve">(</m:t>
        </m:r>
        <m:sSub>
          <m:e>
            <m:r>
              <m:t xml:space="preserve">S</m:t>
            </m:r>
          </m:e>
          <m:sub>
            <m:r>
              <m:t xml:space="preserve">k</m:t>
            </m:r>
          </m:sub>
        </m:sSub>
        <m:r>
          <m:t xml:space="preserve">)</m:t>
        </m:r>
        <m:r>
          <m:t xml:space="preserve">+</m:t>
        </m:r>
        <m:r>
          <m:t xml:space="preserve">γ</m:t>
        </m:r>
        <m:sSub>
          <m:e>
            <m:r>
              <m:t xml:space="preserve">E</m:t>
            </m:r>
          </m:e>
          <m:sub>
            <m:r>
              <m:t xml:space="preserve">v</m:t>
            </m:r>
            <m:r>
              <m:t xml:space="preserve">a</m:t>
            </m:r>
            <m:r>
              <m:t xml:space="preserve">l</m:t>
            </m:r>
          </m:sub>
        </m:sSub>
        <m:r>
          <m:t xml:space="preserve">(</m:t>
        </m:r>
        <m:sSub>
          <m:e>
            <m:r>
              <m:t xml:space="preserve">S</m:t>
            </m:r>
          </m:e>
          <m:sub>
            <m:r>
              <m:t xml:space="preserve">k</m:t>
            </m:r>
          </m:sub>
        </m:sSub>
        <m:r>
          <m:t xml:space="preserve">)</m:t>
        </m:r>
        <m:r>
          <m:t xml:space="preserve">,</m:t>
        </m:r>
      </m:oMath>
      <w:r>
        <w:rPr>
          <w:rFonts w:ascii="Times New Roman" w:hAnsi="Times New Roman" w:eastAsia="Songti SC"/>
          <w:color w:val="000000"/>
          <w:sz w:val="20"/>
        </w:rPr>
        <w:t xml:space="preserve">　（4-3）</w:t>
      </w:r>
    </w:p>
    <w:p>
      <w:r>
        <w:rPr>
          <w:rFonts w:ascii="Times New Roman" w:hAnsi="Times New Roman" w:eastAsia="Songti SC"/>
          <w:color w:val="000000"/>
        </w:rPr>
        <w:t>其中</w:t>
      </w:r>
      <m:oMath>
        <m:r>
          <m:t xml:space="preserve">α</m:t>
        </m:r>
        <m:r>
          <m:t xml:space="preserve">=</m:t>
        </m:r>
        <m:r>
          <m:t xml:space="preserve">0</m:t>
        </m:r>
        <m:r>
          <m:t xml:space="preserve">.</m:t>
        </m:r>
        <m:r>
          <m:t xml:space="preserve">4</m:t>
        </m:r>
      </m:oMath>
      <w:r>
        <w:rPr>
          <w:rFonts w:ascii="Times New Roman" w:hAnsi="Times New Roman" w:eastAsia="Songti SC"/>
          <w:color w:val="000000"/>
        </w:rPr>
        <w:t>、</w:t>
      </w:r>
      <m:oMath>
        <m:r>
          <m:t xml:space="preserve">β</m:t>
        </m:r>
        <m:r>
          <m:t xml:space="preserve">=</m:t>
        </m:r>
        <m:r>
          <m:t xml:space="preserve">0</m:t>
        </m:r>
        <m:r>
          <m:t xml:space="preserve">.</m:t>
        </m:r>
        <m:r>
          <m:t xml:space="preserve">4</m:t>
        </m:r>
      </m:oMath>
      <w:r>
        <w:rPr>
          <w:rFonts w:ascii="Times New Roman" w:hAnsi="Times New Roman" w:eastAsia="Songti SC"/>
          <w:color w:val="000000"/>
        </w:rPr>
        <w:t>、</w:t>
      </w:r>
      <m:oMath>
        <m:r>
          <m:t xml:space="preserve">γ</m:t>
        </m:r>
        <m:r>
          <m:t xml:space="preserve">=</m:t>
        </m:r>
        <m:r>
          <m:t xml:space="preserve">0</m:t>
        </m:r>
        <m:r>
          <m:t xml:space="preserve">.</m:t>
        </m:r>
        <m:r>
          <m:t xml:space="preserve">2</m:t>
        </m:r>
      </m:oMath>
      <w:r>
        <w:rPr>
          <w:rFonts w:ascii="Times New Roman" w:hAnsi="Times New Roman" w:eastAsia="Songti SC"/>
          <w:color w:val="000000"/>
        </w:rPr>
        <w:t>。三个分量均归一化到</w:t>
      </w:r>
      <m:oMath>
        <m:r>
          <m:t xml:space="preserve">[</m:t>
        </m:r>
        <m:r>
          <m:t xml:space="preserve">0</m:t>
        </m:r>
        <m:r>
          <m:t xml:space="preserve">,</m:t>
        </m:r>
        <m:r>
          <m:t xml:space="preserve">1</m:t>
        </m:r>
        <m:r>
          <m:t xml:space="preserve">]</m:t>
        </m:r>
      </m:oMath>
      <w:r>
        <w:rPr>
          <w:rFonts w:ascii="Times New Roman" w:hAnsi="Times New Roman" w:eastAsia="Songti SC"/>
          <w:color w:val="000000"/>
        </w:rPr>
        <w:t>，分别评价论证连接覆盖、边语义连贯性和输出合法性。其中覆盖分数只是对预测图的启发式偏好，不是相对于金标准的完整性度量。</w:t>
      </w:r>
    </w:p>
    <w:p>
      <w:pPr>
        <w:pStyle w:val="Heading3"/>
      </w:pPr>
      <w:r>
        <w:t>4.3.1 论证连接覆盖</w:t>
      </w:r>
    </w:p>
    <w:p>
      <w:r>
        <w:rPr>
          <w:rFonts w:ascii="Times New Roman" w:hAnsi="Times New Roman" w:eastAsia="Songti SC"/>
          <w:color w:val="000000"/>
        </w:rPr>
        <w:t>令</w:t>
      </w:r>
      <m:oMath>
        <m:r>
          <m:t xml:space="preserve">𝒬</m:t>
        </m:r>
        <m:r>
          <m:t xml:space="preserve">(</m:t>
        </m:r>
        <m:sSub>
          <m:e>
            <m:r>
              <m:t xml:space="preserve">S</m:t>
            </m:r>
          </m:e>
          <m:sub>
            <m:r>
              <m:t xml:space="preserve">k</m:t>
            </m:r>
          </m:sub>
        </m:sSub>
        <m:r>
          <m:t xml:space="preserve">)</m:t>
        </m:r>
      </m:oMath>
      <w:r>
        <w:rPr>
          <w:rFonts w:ascii="Times New Roman" w:hAnsi="Times New Roman" w:eastAsia="Songti SC"/>
          <w:color w:val="000000"/>
        </w:rPr>
        <w:t>为根据预设规则从预测组件中选出的覆盖评价节点集合，不使用测试金标准确定该集合。在AAEC中不要求文档级MajorClaim具有关系入边。集合成员的具体选择规则需与实现一起公开；若按已有入边选择，就可能漏掉本应诊断的孤立节点。验证器对边</w:t>
      </w:r>
      <m:oMath>
        <m:r>
          <m:t xml:space="preserve">(</m:t>
        </m:r>
        <m:r>
          <m:t xml:space="preserve">i</m:t>
        </m:r>
        <m:r>
          <m:t xml:space="preserve">,</m:t>
        </m:r>
        <m:r>
          <m:t xml:space="preserve">j</m:t>
        </m:r>
        <m:r>
          <m:t xml:space="preserve">,</m:t>
        </m:r>
        <m:sSub>
          <m:e>
            <m:r>
              <m:t xml:space="preserve">r</m:t>
            </m:r>
          </m:e>
          <m:sub>
            <m:r>
              <m:t xml:space="preserve">i</m:t>
            </m:r>
            <m:r>
              <m:t xml:space="preserve">j</m:t>
            </m:r>
          </m:sub>
        </m:sSub>
        <m:r>
          <m:t xml:space="preserve">)</m:t>
        </m:r>
      </m:oMath>
      <w:r>
        <w:rPr>
          <w:rFonts w:ascii="Times New Roman" w:hAnsi="Times New Roman" w:eastAsia="Songti SC"/>
          <w:color w:val="000000"/>
        </w:rPr>
        <w:t>返回</w:t>
      </w:r>
      <m:oMath>
        <m:sSub>
          <m:e>
            <m:r>
              <m:t xml:space="preserve">p</m:t>
            </m:r>
          </m:e>
          <m:sub>
            <m:r>
              <m:t xml:space="preserve">i</m:t>
            </m:r>
            <m:r>
              <m:t xml:space="preserve">j</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，结论节点</w:t>
      </w:r>
      <m:oMath>
        <m:sSub>
          <m:e>
            <m:r>
              <m:t xml:space="preserve">v</m:t>
            </m:r>
          </m:e>
          <m:sub>
            <m:r>
              <m:t xml:space="preserve">j</m:t>
            </m:r>
          </m:sub>
        </m:sSub>
      </m:oMath>
      <w:r>
        <w:rPr>
          <w:rFonts w:ascii="Times New Roman" w:hAnsi="Times New Roman" w:eastAsia="Songti SC"/>
          <w:color w:val="000000"/>
        </w:rPr>
        <w:t>的通过验证的入边数为：</w:t>
      </w:r>
    </w:p>
    <w:p>
      <w:pPr>
        <w:keepLines/>
        <w:spacing w:line="288" w:lineRule="auto" w:before="100" w:after="180"/>
        <w:ind w:firstLine="0"/>
        <w:jc w:val="center"/>
      </w:pPr>
      <m:oMath>
        <m:sSubSup>
          <m:e>
            <m:r>
              <m:t xml:space="preserve">d</m:t>
            </m:r>
          </m:e>
          <m:sub>
            <m:r>
              <m:t xml:space="preserve">c</m:t>
            </m:r>
            <m:r>
              <m:t xml:space="preserve">o</m:t>
            </m:r>
            <m:r>
              <m:t xml:space="preserve">h</m:t>
            </m:r>
          </m:sub>
          <m:sup>
            <m:r>
              <m:t xml:space="preserve">i</m:t>
            </m:r>
            <m:r>
              <m:t xml:space="preserve">n</m:t>
            </m:r>
          </m:sup>
        </m:sSubSup>
        <m:r>
          <m:t xml:space="preserve">(</m:t>
        </m:r>
        <m:sSub>
          <m:e>
            <m:r>
              <m:t xml:space="preserve">v</m:t>
            </m:r>
          </m:e>
          <m:sub>
            <m:r>
              <m:t xml:space="preserve">j</m:t>
            </m:r>
          </m:sub>
        </m:sSub>
        <m:r>
          <m:t xml:space="preserve">)</m:t>
        </m:r>
        <m:r>
          <m:t xml:space="preserve">=</m:t>
        </m:r>
        <m:sSub>
          <m:e>
            <m:r>
              <m:t xml:space="preserve">∑</m:t>
            </m:r>
          </m:e>
          <m:sub>
            <m:r>
              <m:t xml:space="preserve">(</m:t>
            </m:r>
            <m:r>
              <m:t xml:space="preserve">i</m:t>
            </m:r>
            <m:r>
              <m:t xml:space="preserve">,</m:t>
            </m:r>
            <m:r>
              <m:t xml:space="preserve">j</m:t>
            </m:r>
            <m:r>
              <m:t xml:space="preserve">,</m:t>
            </m:r>
            <m:sSub>
              <m:e>
                <m:r>
                  <m:t xml:space="preserve">r</m:t>
                </m:r>
              </m:e>
              <m:sub>
                <m:r>
                  <m:t xml:space="preserve">i</m:t>
                </m:r>
                <m:r>
                  <m:t xml:space="preserve">j</m:t>
                </m:r>
              </m:sub>
            </m:sSub>
            <m:r>
              <m:t xml:space="preserve">)</m:t>
            </m:r>
            <m:r>
              <m:t xml:space="preserve">∈</m:t>
            </m:r>
            <m:sSup>
              <m:e>
                <m:r>
                  <m:t xml:space="preserve">R</m:t>
                </m:r>
              </m:e>
              <m:sup>
                <m:r>
                  <m:t xml:space="preserve">(</m:t>
                </m:r>
                <m:r>
                  <m:t xml:space="preserve">k</m:t>
                </m:r>
                <m:r>
                  <m:t xml:space="preserve">)</m:t>
                </m:r>
              </m:sup>
            </m:sSup>
          </m:sub>
        </m:sSub>
        <m:sSub>
          <m:e>
            <m:r>
              <m:t xml:space="preserve">p</m:t>
            </m:r>
          </m:e>
          <m:sub>
            <m:r>
              <m:t xml:space="preserve">i</m:t>
            </m:r>
            <m:r>
              <m:t xml:space="preserve">j</m:t>
            </m:r>
          </m:sub>
        </m:sSub>
        <m:r>
          <m:t xml:space="preserve">.</m:t>
        </m:r>
      </m:oMath>
      <w:r>
        <w:rPr>
          <w:rFonts w:ascii="Times New Roman" w:hAnsi="Times New Roman" w:eastAsia="Songti SC"/>
          <w:color w:val="000000"/>
          <w:sz w:val="20"/>
        </w:rPr>
        <w:t xml:space="preserve">　（4-4）</w:t>
      </w:r>
    </w:p>
    <w:p>
      <w:r>
        <w:rPr>
          <w:rFonts w:ascii="Times New Roman" w:hAnsi="Times New Roman" w:eastAsia="Songti SC"/>
          <w:color w:val="000000"/>
        </w:rPr>
        <w:t>论证连接覆盖得分为：</w:t>
      </w:r>
    </w:p>
    <w:p>
      <w:pPr>
        <w:keepLines/>
        <w:spacing w:line="288" w:lineRule="auto" w:before="100" w:after="180"/>
        <w:ind w:firstLine="0"/>
        <w:jc w:val="center"/>
      </w:pPr>
      <m:oMath>
        <m:sSub>
          <m:e>
            <m:r>
              <m:t xml:space="preserve">E</m:t>
            </m:r>
          </m:e>
          <m:sub>
            <m:r>
              <m:t xml:space="preserve">d</m:t>
            </m:r>
            <m:r>
              <m:t xml:space="preserve">e</m:t>
            </m:r>
            <m:r>
              <m:t xml:space="preserve">n</m:t>
            </m:r>
            <m:r>
              <m:t xml:space="preserve">s</m:t>
            </m:r>
          </m:sub>
        </m:sSub>
        <m:r>
          <m:t xml:space="preserve">(</m:t>
        </m:r>
        <m:sSub>
          <m:e>
            <m:r>
              <m:t xml:space="preserve">S</m:t>
            </m:r>
          </m:e>
          <m:sub>
            <m:r>
              <m:t xml:space="preserve">k</m:t>
            </m:r>
          </m:sub>
        </m:sSub>
        <m:r>
          <m:t xml:space="preserve">)</m:t>
        </m:r>
        <m:r>
          <m:t xml:space="preserve">=</m:t>
        </m:r>
        <m:d>
          <m:dPr>
            <m:begChr m:val="{"/>
            <m:endChr m:val=""/>
          </m:dPr>
          <m:e>
            <m:m>
              <m:mPr>
                <m:mcs>
                  <m:mc>
                    <m:mcPr>
                      <m:count m:val="2"/>
                      <m:mcJc m:val="left"/>
                    </m:mcPr>
                  </m:mc>
                </m:mcs>
              </m:mPr>
              <m:mr>
                <m:e>
                  <m:f>
                    <m:num>
                      <m:r>
                        <m:t xml:space="preserve">1</m:t>
                      </m:r>
                    </m:num>
                    <m:den>
                      <m:r>
                        <m:t xml:space="preserve">|</m:t>
                      </m:r>
                      <m:r>
                        <m:t xml:space="preserve">𝒬</m:t>
                      </m:r>
                      <m:r>
                        <m:t xml:space="preserve">(</m:t>
                      </m:r>
                      <m:sSub>
                        <m:e>
                          <m:r>
                            <m:t xml:space="preserve">S</m:t>
                          </m:r>
                        </m:e>
                        <m:sub>
                          <m:r>
                            <m:t xml:space="preserve">k</m:t>
                          </m:r>
                        </m:sub>
                      </m:sSub>
                      <m:r>
                        <m:t xml:space="preserve">)</m:t>
                      </m:r>
                      <m:r>
                        <m:t xml:space="preserve">|</m:t>
                      </m:r>
                    </m:den>
                  </m:f>
                  <m:sSub>
                    <m:e>
                      <m:r>
                        <m:t xml:space="preserve">∑</m:t>
                      </m:r>
                    </m:e>
                    <m:sub>
                      <m:sSub>
                        <m:e>
                          <m:r>
                            <m:t xml:space="preserve">v</m:t>
                          </m:r>
                        </m:e>
                        <m:sub>
                          <m:r>
                            <m:t xml:space="preserve">j</m:t>
                          </m:r>
                        </m:sub>
                      </m:sSub>
                      <m:r>
                        <m:t xml:space="preserve">∈</m:t>
                      </m:r>
                      <m:r>
                        <m:t xml:space="preserve">𝒬</m:t>
                      </m:r>
                      <m:r>
                        <m:t xml:space="preserve">(</m:t>
                      </m:r>
                      <m:sSub>
                        <m:e>
                          <m:r>
                            <m:t xml:space="preserve">S</m:t>
                          </m:r>
                        </m:e>
                        <m:sub>
                          <m:r>
                            <m:t xml:space="preserve">k</m:t>
                          </m:r>
                        </m:sub>
                      </m:sSub>
                      <m:r>
                        <m:t xml:space="preserve">)</m:t>
                      </m:r>
                    </m:sub>
                  </m:sSub>
                  <m:r>
                    <m:rPr>
                      <m:sty m:val="p"/>
                    </m:rPr>
                    <m:t xml:space="preserve">min</m:t>
                  </m:r>
                  <m:d>
                    <m:dPr>
                      <m:begChr m:val="("/>
                      <m:endChr m:val=")"/>
                    </m:dPr>
                    <m:e>
                      <m:f>
                        <m:num>
                          <m:sSubSup>
                            <m:e>
                              <m:r>
                                <m:t xml:space="preserve">d</m:t>
                              </m:r>
                            </m:e>
                            <m:sub>
                              <m:r>
                                <m:t xml:space="preserve">c</m:t>
                              </m:r>
                              <m:r>
                                <m:t xml:space="preserve">o</m:t>
                              </m:r>
                              <m:r>
                                <m:t xml:space="preserve">h</m:t>
                              </m:r>
                            </m:sub>
                            <m:sup>
                              <m:r>
                                <m:t xml:space="preserve">i</m:t>
                              </m:r>
                              <m:r>
                                <m:t xml:space="preserve">n</m:t>
                              </m:r>
                            </m:sup>
                          </m:sSubSup>
                          <m:r>
                            <m:t xml:space="preserve">(</m:t>
                          </m:r>
                          <m:sSub>
                            <m:e>
                              <m:r>
                                <m:t xml:space="preserve">v</m:t>
                              </m:r>
                            </m:e>
                            <m:sub>
                              <m:r>
                                <m:t xml:space="preserve">j</m:t>
                              </m:r>
                            </m:sub>
                          </m:sSub>
                          <m:r>
                            <m:t xml:space="preserve">)</m:t>
                          </m:r>
                        </m:num>
                        <m:den>
                          <m:r>
                            <m:t xml:space="preserve">τ</m:t>
                          </m:r>
                          <m:r>
                            <m:t xml:space="preserve">(</m:t>
                          </m:r>
                          <m:sSub>
                            <m:e>
                              <m:r>
                                <m:t xml:space="preserve">t</m:t>
                              </m:r>
                            </m:e>
                            <m:sub>
                              <m:r>
                                <m:t xml:space="preserve">j</m:t>
                              </m:r>
                            </m:sub>
                          </m:sSub>
                          <m:r>
                            <m:t xml:space="preserve">)</m:t>
                          </m:r>
                        </m:den>
                      </m:f>
                      <m:r>
                        <m:t xml:space="preserve">,</m:t>
                      </m:r>
                      <m:r>
                        <m:t xml:space="preserve">1</m:t>
                      </m:r>
                    </m:e>
                  </m:d>
                  <m:r>
                    <m:t xml:space="preserve">,</m:t>
                  </m:r>
                </m:e>
                <m:e>
                  <m:r>
                    <m:t xml:space="preserve">|</m:t>
                  </m:r>
                  <m:r>
                    <m:t xml:space="preserve">𝒬</m:t>
                  </m:r>
                  <m:r>
                    <m:t xml:space="preserve">(</m:t>
                  </m:r>
                  <m:sSub>
                    <m:e>
                      <m:r>
                        <m:t xml:space="preserve">S</m:t>
                      </m:r>
                    </m:e>
                    <m:sub>
                      <m:r>
                        <m:t xml:space="preserve">k</m:t>
                      </m:r>
                    </m:sub>
                  </m:sSub>
                  <m:r>
                    <m:t xml:space="preserve">)</m:t>
                  </m:r>
                  <m:r>
                    <m:t xml:space="preserve">|</m:t>
                  </m:r>
                  <m:r>
                    <m:t xml:space="preserve">&gt;</m:t>
                  </m:r>
                  <m:r>
                    <m:t xml:space="preserve">0</m:t>
                  </m:r>
                  <m:r>
                    <m:t xml:space="preserve">,</m:t>
                  </m:r>
                </m:e>
              </m:mr>
              <m:mr>
                <m:e>
                  <m:r>
                    <m:t xml:space="preserve">0</m:t>
                  </m:r>
                  <m:r>
                    <m:t xml:space="preserve">,</m:t>
                  </m:r>
                </m:e>
                <m:e>
                  <m:r>
                    <m:t xml:space="preserve">|</m:t>
                  </m:r>
                  <m:r>
                    <m:t xml:space="preserve">𝒬</m:t>
                  </m:r>
                  <m:r>
                    <m:t xml:space="preserve">(</m:t>
                  </m:r>
                  <m:sSub>
                    <m:e>
                      <m:r>
                        <m:t xml:space="preserve">S</m:t>
                      </m:r>
                    </m:e>
                    <m:sub>
                      <m:r>
                        <m:t xml:space="preserve">k</m:t>
                      </m:r>
                    </m:sub>
                  </m:sSub>
                  <m:r>
                    <m:t xml:space="preserve">)</m:t>
                  </m:r>
                  <m:r>
                    <m:t xml:space="preserve">|</m:t>
                  </m:r>
                  <m:r>
                    <m:t xml:space="preserve">=</m:t>
                  </m:r>
                  <m:r>
                    <m:t xml:space="preserve">0</m:t>
                  </m:r>
                  <m:r>
                    <m:t xml:space="preserve">.</m:t>
                  </m:r>
                </m:e>
              </m:mr>
            </m:m>
          </m:e>
        </m:d>
      </m:oMath>
      <w:r>
        <w:rPr>
          <w:rFonts w:ascii="Times New Roman" w:hAnsi="Times New Roman" w:eastAsia="Songti SC"/>
          <w:color w:val="000000"/>
          <w:sz w:val="20"/>
        </w:rPr>
        <w:t xml:space="preserve">　（4-5）</w:t>
      </w:r>
    </w:p>
    <w:p>
      <w:r>
        <w:rPr>
          <w:rFonts w:ascii="Times New Roman" w:hAnsi="Times New Roman" w:eastAsia="Songti SC"/>
          <w:color w:val="000000"/>
        </w:rPr>
        <w:t>其中</w:t>
      </w:r>
      <m:oMath>
        <m:r>
          <m:t xml:space="preserve">τ</m:t>
        </m:r>
        <m:r>
          <m:t xml:space="preserve">(</m:t>
        </m:r>
        <m:sSub>
          <m:e>
            <m:r>
              <m:t xml:space="preserve">t</m:t>
            </m:r>
          </m:e>
          <m:sub>
            <m:r>
              <m:t xml:space="preserve">j</m:t>
            </m:r>
          </m:sub>
        </m:sSub>
        <m:r>
          <m:t xml:space="preserve">)</m:t>
        </m:r>
      </m:oMath>
      <w:r>
        <w:rPr>
          <w:rFonts w:ascii="Times New Roman" w:hAnsi="Times New Roman" w:eastAsia="Songti SC"/>
          <w:color w:val="000000"/>
        </w:rPr>
        <w:t>是原稿设置的期望连接数；此处</w:t>
      </w:r>
      <m:oMath>
        <m:sSub>
          <m:e>
            <m:r>
              <m:t xml:space="preserve">t</m:t>
            </m:r>
          </m:e>
          <m:sub>
            <m:r>
              <m:t xml:space="preserve">j</m:t>
            </m:r>
          </m:sub>
        </m:sSub>
      </m:oMath>
      <w:r>
        <w:rPr>
          <w:rFonts w:ascii="Times New Roman" w:hAnsi="Times New Roman" w:eastAsia="Songti SC"/>
          <w:color w:val="000000"/>
        </w:rPr>
        <w:t>应理解为节点结构角色，而非只含组件类别的</w:t>
      </w:r>
      <m:oMath>
        <m:sSub>
          <m:e>
            <m:r>
              <m:t xml:space="preserve">τ</m:t>
            </m:r>
          </m:e>
          <m:sub>
            <m:r>
              <m:t xml:space="preserve">j</m:t>
            </m:r>
          </m:sub>
        </m:sSub>
      </m:oMath>
      <w:r>
        <w:rPr>
          <w:rFonts w:ascii="Times New Roman" w:hAnsi="Times New Roman" w:eastAsia="Songti SC"/>
          <w:color w:val="000000"/>
        </w:rPr>
        <w:t>。原稿给出顶层关系结论节点取2、其他评价节点取1，但未给出角色识别和阈值选择记录，均需核验。此计数包含通过验证的Attack边，故称“论证连接”而非“支持证据数量”。它不测量前提的事实真实性，也不要求所有合法Claim必须至少有两条理由。</w:t>
      </w:r>
    </w:p>
    <w:p>
      <w:r>
        <w:rPr>
          <w:rFonts w:ascii="Times New Roman" w:hAnsi="Times New Roman" w:eastAsia="Songti SC"/>
          <w:color w:val="000000"/>
        </w:rPr>
        <w:t>该分量是软偏好，不直接删除低入度节点。但它依赖预测的</w:t>
      </w:r>
      <m:oMath>
        <m:r>
          <m:t xml:space="preserve">𝒬</m:t>
        </m:r>
      </m:oMath>
      <w:r>
        <w:rPr>
          <w:rFonts w:ascii="Times New Roman" w:hAnsi="Times New Roman" w:eastAsia="Songti SC"/>
          <w:color w:val="000000"/>
        </w:rPr>
        <w:t>，遗漏难以满足阈值的结论节点反而可能抬高平均分；因此高覆盖得分也可能与低组件召回并存。需用固定候选池比较移除该项后的F1、预测边数和孤立节点分布，检查其是否诱导过连边或过删节点。</w:t>
      </w:r>
    </w:p>
    <w:p>
      <w:pPr>
        <w:pStyle w:val="Heading3"/>
      </w:pPr>
      <w:r>
        <w:t>4.3.2 语义连贯性</w:t>
      </w:r>
    </w:p>
    <w:p>
      <w:r>
        <w:rPr>
          <w:rFonts w:ascii="Times New Roman" w:hAnsi="Times New Roman" w:eastAsia="Songti SC"/>
          <w:color w:val="000000"/>
        </w:rPr>
        <w:t>对每条预测边，验证器结合源组件、目标组件、关系类型和上下文判断关系是否成立。语义连贯性得分为：</w:t>
      </w:r>
    </w:p>
    <w:p>
      <w:pPr>
        <w:keepLines/>
        <w:spacing w:line="288" w:lineRule="auto" w:before="100" w:after="180"/>
        <w:ind w:firstLine="0"/>
        <w:jc w:val="center"/>
      </w:pPr>
      <m:oMath>
        <m:sSub>
          <m:e>
            <m:r>
              <m:t xml:space="preserve">E</m:t>
            </m:r>
          </m:e>
          <m:sub>
            <m:r>
              <m:t xml:space="preserve">c</m:t>
            </m:r>
            <m:r>
              <m:t xml:space="preserve">o</m:t>
            </m:r>
            <m:r>
              <m:t xml:space="preserve">h</m:t>
            </m:r>
          </m:sub>
        </m:sSub>
        <m:r>
          <m:t xml:space="preserve">(</m:t>
        </m:r>
        <m:sSub>
          <m:e>
            <m:r>
              <m:t xml:space="preserve">S</m:t>
            </m:r>
          </m:e>
          <m:sub>
            <m:r>
              <m:t xml:space="preserve">k</m:t>
            </m:r>
          </m:sub>
        </m:sSub>
        <m:r>
          <m:t xml:space="preserve">)</m:t>
        </m:r>
        <m:r>
          <m:t xml:space="preserve">=</m:t>
        </m:r>
        <m:d>
          <m:dPr>
            <m:begChr m:val="{"/>
            <m:endChr m:val=""/>
          </m:dPr>
          <m:e>
            <m:m>
              <m:mPr>
                <m:mcs>
                  <m:mc>
                    <m:mcPr>
                      <m:count m:val="2"/>
                      <m:mcJc m:val="left"/>
                    </m:mcPr>
                  </m:mc>
                </m:mcs>
              </m:mPr>
              <m:mr>
                <m:e>
                  <m:f>
                    <m:num>
                      <m:r>
                        <m:t xml:space="preserve">1</m:t>
                      </m:r>
                    </m:num>
                    <m:den>
                      <m:r>
                        <m:t xml:space="preserve">|</m:t>
                      </m:r>
                      <m:sSup>
                        <m:e>
                          <m:r>
                            <m:t xml:space="preserve">R</m:t>
                          </m:r>
                        </m:e>
                        <m:sup>
                          <m:r>
                            <m:t xml:space="preserve">(</m:t>
                          </m:r>
                          <m:r>
                            <m:t xml:space="preserve">k</m:t>
                          </m:r>
                          <m:r>
                            <m:t xml:space="preserve">)</m:t>
                          </m:r>
                        </m:sup>
                      </m:sSup>
                      <m:r>
                        <m:t xml:space="preserve">|</m:t>
                      </m:r>
                    </m:den>
                  </m:f>
                  <m:sSub>
                    <m:e>
                      <m:r>
                        <m:t xml:space="preserve">∑</m:t>
                      </m:r>
                    </m:e>
                    <m:sub>
                      <m:r>
                        <m:t xml:space="preserve">(</m:t>
                      </m:r>
                      <m:r>
                        <m:t xml:space="preserve">i</m:t>
                      </m:r>
                      <m:r>
                        <m:t xml:space="preserve">,</m:t>
                      </m:r>
                      <m:r>
                        <m:t xml:space="preserve">j</m:t>
                      </m:r>
                      <m:r>
                        <m:t xml:space="preserve">,</m:t>
                      </m:r>
                      <m:sSub>
                        <m:e>
                          <m:r>
                            <m:t xml:space="preserve">r</m:t>
                          </m:r>
                        </m:e>
                        <m:sub>
                          <m:r>
                            <m:t xml:space="preserve">i</m:t>
                          </m:r>
                          <m:r>
                            <m:t xml:space="preserve">j</m:t>
                          </m:r>
                        </m:sub>
                      </m:sSub>
                      <m:r>
                        <m:t xml:space="preserve">)</m:t>
                      </m:r>
                      <m:r>
                        <m:t xml:space="preserve">∈</m:t>
                      </m:r>
                      <m:sSup>
                        <m:e>
                          <m:r>
                            <m:t xml:space="preserve">R</m:t>
                          </m:r>
                        </m:e>
                        <m:sup>
                          <m:r>
                            <m:t xml:space="preserve">(</m:t>
                          </m:r>
                          <m:r>
                            <m:t xml:space="preserve">k</m:t>
                          </m:r>
                          <m:r>
                            <m:t xml:space="preserve">)</m:t>
                          </m:r>
                        </m:sup>
                      </m:sSup>
                    </m:sub>
                  </m:sSub>
                  <m:sSub>
                    <m:e>
                      <m:r>
                        <m:t xml:space="preserve">p</m:t>
                      </m:r>
                    </m:e>
                    <m:sub>
                      <m:r>
                        <m:t xml:space="preserve">i</m:t>
                      </m:r>
                      <m:r>
                        <m:t xml:space="preserve">j</m:t>
                      </m:r>
                    </m:sub>
                  </m:sSub>
                  <m:r>
                    <m:t xml:space="preserve">,</m:t>
                  </m:r>
                </m:e>
                <m:e>
                  <m:r>
                    <m:t xml:space="preserve">|</m:t>
                  </m:r>
                  <m:sSup>
                    <m:e>
                      <m:r>
                        <m:t xml:space="preserve">R</m:t>
                      </m:r>
                    </m:e>
                    <m:sup>
                      <m:r>
                        <m:t xml:space="preserve">(</m:t>
                      </m:r>
                      <m:r>
                        <m:t xml:space="preserve">k</m:t>
                      </m:r>
                      <m:r>
                        <m:t xml:space="preserve">)</m:t>
                      </m:r>
                    </m:sup>
                  </m:sSup>
                  <m:r>
                    <m:t xml:space="preserve">|</m:t>
                  </m:r>
                  <m:r>
                    <m:t xml:space="preserve">&gt;</m:t>
                  </m:r>
                  <m:r>
                    <m:t xml:space="preserve">0</m:t>
                  </m:r>
                  <m:r>
                    <m:t xml:space="preserve">,</m:t>
                  </m:r>
                </m:e>
              </m:mr>
              <m:mr>
                <m:e>
                  <m:r>
                    <m:t xml:space="preserve">0</m:t>
                  </m:r>
                  <m:r>
                    <m:t xml:space="preserve">,</m:t>
                  </m:r>
                </m:e>
                <m:e>
                  <m:r>
                    <m:t xml:space="preserve">|</m:t>
                  </m:r>
                  <m:sSup>
                    <m:e>
                      <m:r>
                        <m:t xml:space="preserve">R</m:t>
                      </m:r>
                    </m:e>
                    <m:sup>
                      <m:r>
                        <m:t xml:space="preserve">(</m:t>
                      </m:r>
                      <m:r>
                        <m:t xml:space="preserve">k</m:t>
                      </m:r>
                      <m:r>
                        <m:t xml:space="preserve">)</m:t>
                      </m:r>
                    </m:sup>
                  </m:sSup>
                  <m:r>
                    <m:t xml:space="preserve">|</m:t>
                  </m:r>
                  <m:r>
                    <m:t xml:space="preserve">=</m:t>
                  </m:r>
                  <m:r>
                    <m:t xml:space="preserve">0</m:t>
                  </m:r>
                  <m:r>
                    <m:t xml:space="preserve">.</m:t>
                  </m:r>
                </m:e>
              </m:mr>
            </m:m>
          </m:e>
        </m:d>
      </m:oMath>
      <w:r>
        <w:rPr>
          <w:rFonts w:ascii="Times New Roman" w:hAnsi="Times New Roman" w:eastAsia="Songti SC"/>
          <w:color w:val="000000"/>
          <w:sz w:val="20"/>
        </w:rPr>
        <w:t xml:space="preserve">　（4-6）</w:t>
      </w:r>
    </w:p>
    <w:p>
      <w:r>
        <w:rPr>
          <w:rFonts w:ascii="Times New Roman" w:hAnsi="Times New Roman" w:eastAsia="Songti SC"/>
          <w:color w:val="000000"/>
        </w:rPr>
        <w:t>该得分与生成模型的序列概率不同：序列概率衡量输出在生成模型下是否常见，而</w:t>
      </w:r>
      <m:oMath>
        <m:sSub>
          <m:e>
            <m:r>
              <m:t xml:space="preserve">E</m:t>
            </m:r>
          </m:e>
          <m:sub>
            <m:r>
              <m:t xml:space="preserve">c</m:t>
            </m:r>
            <m:r>
              <m:t xml:space="preserve">o</m:t>
            </m:r>
            <m:r>
              <m:t xml:space="preserve">h</m:t>
            </m:r>
          </m:sub>
        </m:sSub>
      </m:oMath>
      <w:r>
        <w:rPr>
          <w:rFonts w:ascii="Times New Roman" w:hAnsi="Times New Roman" w:eastAsia="Songti SC"/>
          <w:color w:val="000000"/>
        </w:rPr>
        <w:t>专门判断边是否得到当前上下文支持。</w:t>
      </w:r>
    </w:p>
    <w:p>
      <w:pPr>
        <w:pStyle w:val="Heading3"/>
      </w:pPr>
      <w:r>
        <w:t>4.3.3 输出合法性</w:t>
      </w:r>
    </w:p>
    <w:p>
      <w:r>
        <w:rPr>
          <w:rFonts w:ascii="Times New Roman" w:hAnsi="Times New Roman" w:eastAsia="Songti SC"/>
          <w:color w:val="000000"/>
        </w:rPr>
        <w:t>若候选通过全部确定性检查，则</w:t>
      </w:r>
      <m:oMath>
        <m:sSub>
          <m:e>
            <m:r>
              <m:t xml:space="preserve">E</m:t>
            </m:r>
          </m:e>
          <m:sub>
            <m:r>
              <m:t xml:space="preserve">v</m:t>
            </m:r>
            <m:r>
              <m:t xml:space="preserve">a</m:t>
            </m:r>
            <m:r>
              <m:t xml:space="preserve">l</m:t>
            </m:r>
          </m:sub>
        </m:sSub>
        <m:r>
          <m:t xml:space="preserve">(</m:t>
        </m:r>
        <m:sSub>
          <m:e>
            <m:r>
              <m:t xml:space="preserve">S</m:t>
            </m:r>
          </m:e>
          <m:sub>
            <m:r>
              <m:t xml:space="preserve">k</m:t>
            </m:r>
          </m:sub>
        </m:sSub>
        <m:r>
          <m:t xml:space="preserve">)</m:t>
        </m:r>
        <m:r>
          <m:t xml:space="preserve">=</m:t>
        </m:r>
        <m:r>
          <m:t xml:space="preserve">1</m:t>
        </m:r>
      </m:oMath>
      <w:r>
        <w:rPr>
          <w:rFonts w:ascii="Times New Roman" w:hAnsi="Times New Roman" w:eastAsia="Songti SC"/>
          <w:color w:val="000000"/>
        </w:rPr>
        <w:t>，否则为0。检查项目包括JSON可解析性、必需字段完整性、token跨度合法性、组件编号引用完整性、自环与结构环检测，以及数据集Schema允许的组件和关系类型。约束解码只能保证部分语法条件，无法替代跨度、引用和拓扑检查。</w:t>
      </w:r>
    </w:p>
    <w:p>
      <w:r>
        <w:rPr>
          <w:rFonts w:ascii="Times New Roman" w:hAnsi="Times New Roman" w:eastAsia="Songti SC"/>
          <w:color w:val="000000"/>
        </w:rPr>
        <w:t>最终选择：</w:t>
      </w:r>
    </w:p>
    <w:p>
      <w:pPr>
        <w:keepLines/>
        <w:spacing w:line="288" w:lineRule="auto" w:before="100" w:after="180"/>
        <w:ind w:firstLine="0"/>
        <w:jc w:val="center"/>
      </w:pPr>
      <m:oMath>
        <m:sSup>
          <m:e>
            <m:r>
              <m:t xml:space="preserve">k</m:t>
            </m:r>
          </m:e>
          <m:sup>
            <m:r>
              <m:t xml:space="preserve">*</m:t>
            </m:r>
          </m:sup>
        </m:sSup>
        <m:r>
          <m:t xml:space="preserve">=</m:t>
        </m:r>
        <m:r>
          <m:rPr>
            <m:sty m:val="p"/>
          </m:rPr>
          <m:t xml:space="preserve">arg</m:t>
        </m:r>
        <m:sSub>
          <m:e>
            <m:r>
              <m:rPr>
                <m:sty m:val="p"/>
              </m:rPr>
              <m:t xml:space="preserve">max</m:t>
            </m:r>
          </m:e>
          <m:sub>
            <m:r>
              <m:t xml:space="preserve">1</m:t>
            </m:r>
            <m:r>
              <m:t xml:space="preserve">≤</m:t>
            </m:r>
            <m:r>
              <m:t xml:space="preserve">k</m:t>
            </m:r>
            <m:r>
              <m:t xml:space="preserve">≤</m:t>
            </m:r>
            <m:r>
              <m:t xml:space="preserve">K</m:t>
            </m:r>
          </m:sub>
        </m:sSub>
        <m:r>
          <m:t xml:space="preserve">E</m:t>
        </m:r>
        <m:r>
          <m:t xml:space="preserve">(</m:t>
        </m:r>
        <m:sSub>
          <m:e>
            <m:r>
              <m:t xml:space="preserve">S</m:t>
            </m:r>
          </m:e>
          <m:sub>
            <m:r>
              <m:t xml:space="preserve">k</m:t>
            </m:r>
          </m:sub>
        </m:sSub>
        <m:r>
          <m:t xml:space="preserve">)</m:t>
        </m:r>
        <m:r>
          <m:t xml:space="preserve">,</m:t>
        </m:r>
        <m:r>
          <m:rPr>
            <m:sty m:val="p"/>
          </m:rPr>
          <m:t xml:space="preserve"> </m:t>
        </m:r>
        <m:sSup>
          <m:e>
            <m:r>
              <m:t xml:space="preserve">S</m:t>
            </m:r>
          </m:e>
          <m:sup>
            <m:r>
              <m:t xml:space="preserve">(</m:t>
            </m:r>
            <m:r>
              <m:t xml:space="preserve">0</m:t>
            </m:r>
            <m:r>
              <m:t xml:space="preserve">)</m:t>
            </m:r>
          </m:sup>
        </m:sSup>
        <m:r>
          <m:t xml:space="preserve">=</m:t>
        </m:r>
        <m:sSub>
          <m:e>
            <m:r>
              <m:t xml:space="preserve">S</m:t>
            </m:r>
          </m:e>
          <m:sub>
            <m:sSup>
              <m:e>
                <m:r>
                  <m:t xml:space="preserve">k</m:t>
                </m:r>
              </m:e>
              <m:sup>
                <m:r>
                  <m:t xml:space="preserve">*</m:t>
                </m:r>
              </m:sup>
            </m:sSup>
          </m:sub>
        </m:sSub>
        <m:r>
          <m:t xml:space="preserve">.</m:t>
        </m:r>
      </m:oMath>
      <w:r>
        <w:rPr>
          <w:rFonts w:ascii="Times New Roman" w:hAnsi="Times New Roman" w:eastAsia="Songti SC"/>
          <w:color w:val="000000"/>
          <w:sz w:val="20"/>
        </w:rPr>
        <w:t xml:space="preserve">　（4-7）</w:t>
      </w:r>
    </w:p>
    <w:p>
      <w:pPr>
        <w:pStyle w:val="Heading2"/>
      </w:pPr>
      <w:r>
        <w:t>4.4 图约束下的有界局部修正</w:t>
      </w:r>
    </w:p>
    <w:p>
      <w:pPr>
        <w:pStyle w:val="Heading3"/>
      </w:pPr>
      <w:r>
        <w:t>4.4.1 异常表示与优先级</w:t>
      </w:r>
    </w:p>
    <w:p>
      <w:r>
        <w:rPr>
          <w:rFonts w:ascii="Times New Roman" w:hAnsi="Times New Roman" w:eastAsia="Songti SC"/>
          <w:color w:val="000000"/>
        </w:rPr>
        <w:t>对当前图</w:t>
      </w:r>
      <m:oMath>
        <m:r>
          <m:t xml:space="preserve">S</m:t>
        </m:r>
      </m:oMath>
      <w:r>
        <w:rPr>
          <w:rFonts w:ascii="Times New Roman" w:hAnsi="Times New Roman" w:eastAsia="Songti SC"/>
          <w:color w:val="000000"/>
        </w:rPr>
        <w:t>，错误检测器返回异常集合：</w:t>
      </w:r>
    </w:p>
    <w:p>
      <w:pPr>
        <w:keepLines/>
        <w:spacing w:line="288" w:lineRule="auto" w:before="100" w:after="180"/>
        <w:ind w:firstLine="0"/>
        <w:jc w:val="center"/>
      </w:pPr>
      <m:oMath>
        <m:r>
          <m:t xml:space="preserve">ℰ</m:t>
        </m:r>
        <m:r>
          <m:t xml:space="preserve">(</m:t>
        </m:r>
        <m:r>
          <m:t xml:space="preserve">S</m:t>
        </m:r>
        <m:r>
          <m:t xml:space="preserve">)</m:t>
        </m:r>
        <m:r>
          <m:t xml:space="preserve">=</m:t>
        </m:r>
        <m:r>
          <m:rPr>
            <m:sty m:val="p"/>
          </m:rPr>
          <m:t xml:space="preserve">{</m:t>
        </m:r>
        <m:r>
          <m:t xml:space="preserve">e</m:t>
        </m:r>
        <m:r>
          <m:t xml:space="preserve">=</m:t>
        </m:r>
        <m:r>
          <m:t xml:space="preserve">(</m:t>
        </m:r>
        <m:r>
          <m:t xml:space="preserve">ν</m:t>
        </m:r>
        <m:r>
          <m:t xml:space="preserve">,</m:t>
        </m:r>
        <m:r>
          <m:t xml:space="preserve">η</m:t>
        </m:r>
        <m:r>
          <m:t xml:space="preserve">,</m:t>
        </m:r>
        <m:r>
          <m:t xml:space="preserve">σ</m:t>
        </m:r>
        <m:r>
          <m:t xml:space="preserve">)</m:t>
        </m:r>
        <m:r>
          <m:rPr>
            <m:sty m:val="p"/>
          </m:rPr>
          <m:t xml:space="preserve">}</m:t>
        </m:r>
        <m:r>
          <m:t xml:space="preserve">,</m:t>
        </m:r>
      </m:oMath>
      <w:r>
        <w:rPr>
          <w:rFonts w:ascii="Times New Roman" w:hAnsi="Times New Roman" w:eastAsia="Songti SC"/>
          <w:color w:val="000000"/>
          <w:sz w:val="20"/>
        </w:rPr>
        <w:t xml:space="preserve">　（4-8）</w:t>
      </w:r>
    </w:p>
    <w:p>
      <w:r>
        <w:rPr>
          <w:rFonts w:ascii="Times New Roman" w:hAnsi="Times New Roman" w:eastAsia="Songti SC"/>
          <w:color w:val="000000"/>
        </w:rPr>
        <w:t>其中</w:t>
      </w:r>
      <m:oMath>
        <m:r>
          <m:t xml:space="preserve">ν</m:t>
        </m:r>
        <m:r>
          <m:t xml:space="preserve">∈</m:t>
        </m:r>
        <m:r>
          <m:rPr>
            <m:sty m:val="p"/>
          </m:rPr>
          <m:t xml:space="preserve">{</m:t>
        </m:r>
        <m:r>
          <m:t xml:space="preserve">V</m:t>
        </m:r>
        <m:r>
          <m:t xml:space="preserve">A</m:t>
        </m:r>
        <m:r>
          <m:t xml:space="preserve">L</m:t>
        </m:r>
        <m:r>
          <m:t xml:space="preserve">,</m:t>
        </m:r>
        <m:r>
          <m:t xml:space="preserve">C</m:t>
        </m:r>
        <m:r>
          <m:t xml:space="preserve">O</m:t>
        </m:r>
        <m:r>
          <m:t xml:space="preserve">H</m:t>
        </m:r>
        <m:r>
          <m:t xml:space="preserve">,</m:t>
        </m:r>
        <m:r>
          <m:t xml:space="preserve">D</m:t>
        </m:r>
        <m:r>
          <m:t xml:space="preserve">E</m:t>
        </m:r>
        <m:r>
          <m:t xml:space="preserve">N</m:t>
        </m:r>
        <m:r>
          <m:t xml:space="preserve">S</m:t>
        </m:r>
        <m:r>
          <m:rPr>
            <m:sty m:val="p"/>
          </m:rPr>
          <m:t xml:space="preserve">}</m:t>
        </m:r>
      </m:oMath>
      <w:r>
        <w:rPr>
          <w:rFonts w:ascii="Times New Roman" w:hAnsi="Times New Roman" w:eastAsia="Songti SC"/>
          <w:color w:val="000000"/>
        </w:rPr>
        <w:t>表示有效性、连贯性或完整性异常，</w:t>
      </w:r>
      <m:oMath>
        <m:r>
          <m:t xml:space="preserve">η</m:t>
        </m:r>
      </m:oMath>
      <w:r>
        <w:rPr>
          <w:rFonts w:ascii="Times New Roman" w:hAnsi="Times New Roman" w:eastAsia="Songti SC"/>
          <w:color w:val="000000"/>
        </w:rPr>
        <w:t>表示受影响的节点或边，</w:t>
      </w:r>
      <m:oMath>
        <m:r>
          <m:t xml:space="preserve">σ</m:t>
        </m:r>
        <m:r>
          <m:t xml:space="preserve">∈</m:t>
        </m:r>
        <m:r>
          <m:t xml:space="preserve">[</m:t>
        </m:r>
        <m:r>
          <m:t xml:space="preserve">0</m:t>
        </m:r>
        <m:r>
          <m:t xml:space="preserve">,</m:t>
        </m:r>
        <m:r>
          <m:t xml:space="preserve">1</m:t>
        </m:r>
        <m:r>
          <m:t xml:space="preserve">]</m:t>
        </m:r>
      </m:oMath>
      <w:r>
        <w:rPr>
          <w:rFonts w:ascii="Times New Roman" w:hAnsi="Times New Roman" w:eastAsia="Songti SC"/>
          <w:color w:val="000000"/>
        </w:rPr>
        <w:t>表示严重度。严重度定义为：</w:t>
      </w:r>
    </w:p>
    <w:p>
      <w:pPr>
        <w:keepLines/>
        <w:spacing w:line="288" w:lineRule="auto" w:before="100" w:after="180"/>
        <w:ind w:firstLine="0"/>
        <w:jc w:val="center"/>
      </w:pPr>
      <m:oMath>
        <m:r>
          <m:t xml:space="preserve">σ</m:t>
        </m:r>
        <m:r>
          <m:t xml:space="preserve">(</m:t>
        </m:r>
        <m:r>
          <m:t xml:space="preserve">e</m:t>
        </m:r>
        <m:r>
          <m:t xml:space="preserve">)</m:t>
        </m:r>
        <m:r>
          <m:t xml:space="preserve">=</m:t>
        </m:r>
        <m:d>
          <m:dPr>
            <m:begChr m:val="{"/>
            <m:endChr m:val=""/>
          </m:dPr>
          <m:e>
            <m:m>
              <m:mPr>
                <m:mcs>
                  <m:mc>
                    <m:mcPr>
                      <m:count m:val="2"/>
                      <m:mcJc m:val="left"/>
                    </m:mcPr>
                  </m:mc>
                </m:mcs>
              </m:mPr>
              <m:mr>
                <m:e>
                  <m:r>
                    <m:t xml:space="preserve">1</m:t>
                  </m:r>
                  <m:r>
                    <m:t xml:space="preserve">,</m:t>
                  </m:r>
                </m:e>
                <m:e>
                  <m:r>
                    <m:t xml:space="preserve">ν</m:t>
                  </m:r>
                  <m:r>
                    <m:t xml:space="preserve">=</m:t>
                  </m:r>
                  <m:r>
                    <m:t xml:space="preserve">V</m:t>
                  </m:r>
                  <m:r>
                    <m:t xml:space="preserve">A</m:t>
                  </m:r>
                  <m:r>
                    <m:t xml:space="preserve">L</m:t>
                  </m:r>
                  <m:r>
                    <m:t xml:space="preserve">,</m:t>
                  </m:r>
                </m:e>
              </m:mr>
              <m:mr>
                <m:e>
                  <m:r>
                    <m:t xml:space="preserve">1</m:t>
                  </m:r>
                  <m:r>
                    <m:t xml:space="preserve">-</m:t>
                  </m:r>
                  <m:sSub>
                    <m:e>
                      <m:r>
                        <m:t xml:space="preserve">p</m:t>
                      </m:r>
                    </m:e>
                    <m:sub>
                      <m:r>
                        <m:t xml:space="preserve">i</m:t>
                      </m:r>
                      <m:r>
                        <m:t xml:space="preserve">j</m:t>
                      </m:r>
                    </m:sub>
                  </m:sSub>
                  <m:r>
                    <m:t xml:space="preserve">,</m:t>
                  </m:r>
                </m:e>
                <m:e>
                  <m:r>
                    <m:t xml:space="preserve">ν</m:t>
                  </m:r>
                  <m:r>
                    <m:t xml:space="preserve">=</m:t>
                  </m:r>
                  <m:r>
                    <m:t xml:space="preserve">C</m:t>
                  </m:r>
                  <m:r>
                    <m:t xml:space="preserve">O</m:t>
                  </m:r>
                  <m:r>
                    <m:t xml:space="preserve">H</m:t>
                  </m:r>
                  <m:r>
                    <m:t xml:space="preserve">,</m:t>
                  </m:r>
                  <m:r>
                    <m:rPr>
                      <m:sty m:val="p"/>
                    </m:rPr>
                    <m:t xml:space="preserve"> </m:t>
                  </m:r>
                  <m:r>
                    <m:t xml:space="preserve">η</m:t>
                  </m:r>
                  <m:r>
                    <m:t xml:space="preserve">=</m:t>
                  </m:r>
                  <m:r>
                    <m:t xml:space="preserve">(</m:t>
                  </m:r>
                  <m:r>
                    <m:t xml:space="preserve">i</m:t>
                  </m:r>
                  <m:r>
                    <m:t xml:space="preserve">,</m:t>
                  </m:r>
                  <m:r>
                    <m:t xml:space="preserve">j</m:t>
                  </m:r>
                  <m:r>
                    <m:t xml:space="preserve">)</m:t>
                  </m:r>
                  <m:r>
                    <m:t xml:space="preserve">,</m:t>
                  </m:r>
                </m:e>
              </m:mr>
              <m:mr>
                <m:e>
                  <m:r>
                    <m:t xml:space="preserve">1</m:t>
                  </m:r>
                  <m:r>
                    <m:t xml:space="preserve">-</m:t>
                  </m:r>
                  <m:r>
                    <m:rPr>
                      <m:sty m:val="p"/>
                    </m:rPr>
                    <m:t xml:space="preserve">min</m:t>
                  </m:r>
                  <m:d>
                    <m:dPr>
                      <m:begChr m:val="("/>
                      <m:endChr m:val=")"/>
                    </m:dPr>
                    <m:e>
                      <m:f>
                        <m:num>
                          <m:sSubSup>
                            <m:e>
                              <m:r>
                                <m:t xml:space="preserve">d</m:t>
                              </m:r>
                            </m:e>
                            <m:sub>
                              <m:r>
                                <m:t xml:space="preserve">c</m:t>
                              </m:r>
                              <m:r>
                                <m:t xml:space="preserve">o</m:t>
                              </m:r>
                              <m:r>
                                <m:t xml:space="preserve">h</m:t>
                              </m:r>
                            </m:sub>
                            <m:sup>
                              <m:r>
                                <m:t xml:space="preserve">i</m:t>
                              </m:r>
                              <m:r>
                                <m:t xml:space="preserve">n</m:t>
                              </m:r>
                            </m:sup>
                          </m:sSubSup>
                          <m:r>
                            <m:t xml:space="preserve">(</m:t>
                          </m:r>
                          <m:sSub>
                            <m:e>
                              <m:r>
                                <m:t xml:space="preserve">v</m:t>
                              </m:r>
                            </m:e>
                            <m:sub>
                              <m:r>
                                <m:t xml:space="preserve">j</m:t>
                              </m:r>
                            </m:sub>
                          </m:sSub>
                          <m:r>
                            <m:t xml:space="preserve">)</m:t>
                          </m:r>
                        </m:num>
                        <m:den>
                          <m:r>
                            <m:t xml:space="preserve">τ</m:t>
                          </m:r>
                          <m:r>
                            <m:t xml:space="preserve">(</m:t>
                          </m:r>
                          <m:sSub>
                            <m:e>
                              <m:r>
                                <m:t xml:space="preserve">t</m:t>
                              </m:r>
                            </m:e>
                            <m:sub>
                              <m:r>
                                <m:t xml:space="preserve">j</m:t>
                              </m:r>
                            </m:sub>
                          </m:sSub>
                          <m:r>
                            <m:t xml:space="preserve">)</m:t>
                          </m:r>
                        </m:den>
                      </m:f>
                      <m:r>
                        <m:t xml:space="preserve">,</m:t>
                      </m:r>
                      <m:r>
                        <m:t xml:space="preserve">1</m:t>
                      </m:r>
                    </m:e>
                  </m:d>
                  <m:r>
                    <m:t xml:space="preserve">,</m:t>
                  </m:r>
                </m:e>
                <m:e>
                  <m:r>
                    <m:t xml:space="preserve">ν</m:t>
                  </m:r>
                  <m:r>
                    <m:t xml:space="preserve">=</m:t>
                  </m:r>
                  <m:r>
                    <m:t xml:space="preserve">D</m:t>
                  </m:r>
                  <m:r>
                    <m:t xml:space="preserve">E</m:t>
                  </m:r>
                  <m:r>
                    <m:t xml:space="preserve">N</m:t>
                  </m:r>
                  <m:r>
                    <m:t xml:space="preserve">S</m:t>
                  </m:r>
                  <m:r>
                    <m:t xml:space="preserve">,</m:t>
                  </m:r>
                  <m:r>
                    <m:rPr>
                      <m:sty m:val="p"/>
                    </m:rPr>
                    <m:t xml:space="preserve"> </m:t>
                  </m:r>
                  <m:r>
                    <m:t xml:space="preserve">η</m:t>
                  </m:r>
                  <m:r>
                    <m:t xml:space="preserve">=</m:t>
                  </m:r>
                  <m:r>
                    <m:t xml:space="preserve">j</m:t>
                  </m:r>
                  <m:r>
                    <m:t xml:space="preserve">.</m:t>
                  </m:r>
                </m:e>
              </m:mr>
            </m:m>
          </m:e>
        </m:d>
      </m:oMath>
      <w:r>
        <w:rPr>
          <w:rFonts w:ascii="Times New Roman" w:hAnsi="Times New Roman" w:eastAsia="Songti SC"/>
          <w:color w:val="000000"/>
          <w:sz w:val="20"/>
        </w:rPr>
        <w:t xml:space="preserve">　（4-9）</w:t>
      </w:r>
    </w:p>
    <w:p>
      <w:r>
        <w:rPr>
          <w:rFonts w:ascii="Times New Roman" w:hAnsi="Times New Roman" w:eastAsia="Songti SC"/>
          <w:color w:val="000000"/>
        </w:rPr>
        <w:t>异常按严重度降序排列，同分时采用</w:t>
      </w:r>
      <m:oMath>
        <m:r>
          <m:t xml:space="preserve">V</m:t>
        </m:r>
        <m:r>
          <m:t xml:space="preserve">A</m:t>
        </m:r>
        <m:r>
          <m:t xml:space="preserve">L</m:t>
        </m:r>
        <m:r>
          <m:t xml:space="preserve">≻</m:t>
        </m:r>
        <m:r>
          <m:t xml:space="preserve">C</m:t>
        </m:r>
        <m:r>
          <m:t xml:space="preserve">O</m:t>
        </m:r>
        <m:r>
          <m:t xml:space="preserve">H</m:t>
        </m:r>
        <m:r>
          <m:t xml:space="preserve">≻</m:t>
        </m:r>
        <m:r>
          <m:t xml:space="preserve">D</m:t>
        </m:r>
        <m:r>
          <m:t xml:space="preserve">E</m:t>
        </m:r>
        <m:r>
          <m:t xml:space="preserve">N</m:t>
        </m:r>
        <m:r>
          <m:t xml:space="preserve">S</m:t>
        </m:r>
      </m:oMath>
      <w:r>
        <w:rPr>
          <w:rFonts w:ascii="Times New Roman" w:hAnsi="Times New Roman" w:eastAsia="Songti SC"/>
          <w:color w:val="000000"/>
        </w:rPr>
        <w:t>。有效性错误和被验证器拒绝的边直接触发修复。原稿“低于</w:t>
      </w:r>
      <m:oMath>
        <m:sSub>
          <m:e>
            <m:r>
              <m:t xml:space="preserve">δ</m:t>
            </m:r>
          </m:e>
          <m:sub>
            <m:r>
              <m:t xml:space="preserve">d</m:t>
            </m:r>
            <m:r>
              <m:t xml:space="preserve">e</m:t>
            </m:r>
            <m:r>
              <m:t xml:space="preserve">n</m:t>
            </m:r>
            <m:r>
              <m:t xml:space="preserve">s</m:t>
            </m:r>
          </m:sub>
        </m:sSub>
        <m:r>
          <m:t xml:space="preserve">=</m:t>
        </m:r>
        <m:r>
          <m:t xml:space="preserve">1</m:t>
        </m:r>
        <m:r>
          <m:t xml:space="preserve">.</m:t>
        </m:r>
        <m:r>
          <m:t xml:space="preserve">0</m:t>
        </m:r>
      </m:oMath>
      <w:r>
        <w:rPr>
          <w:rFonts w:ascii="Times New Roman" w:hAnsi="Times New Roman" w:eastAsia="Songti SC"/>
          <w:color w:val="000000"/>
        </w:rPr>
        <w:t>”应针对节点覆盖值</w:t>
      </w:r>
      <m:oMath>
        <m:r>
          <m:rPr>
            <m:sty m:val="p"/>
          </m:rPr>
          <m:t xml:space="preserve">min</m:t>
        </m:r>
        <m:r>
          <m:t xml:space="preserve">(</m:t>
        </m:r>
        <m:sSubSup>
          <m:e>
            <m:r>
              <m:t xml:space="preserve">d</m:t>
            </m:r>
          </m:e>
          <m:sub>
            <m:r>
              <m:t xml:space="preserve">c</m:t>
            </m:r>
            <m:r>
              <m:t xml:space="preserve">o</m:t>
            </m:r>
            <m:r>
              <m:t xml:space="preserve">h</m:t>
            </m:r>
          </m:sub>
          <m:sup>
            <m:r>
              <m:t xml:space="preserve">i</m:t>
            </m:r>
            <m:r>
              <m:t xml:space="preserve">n</m:t>
            </m:r>
          </m:sup>
        </m:sSubSup>
        <m:r>
          <m:t xml:space="preserve">/</m:t>
        </m:r>
        <m:r>
          <m:t xml:space="preserve">τ</m:t>
        </m:r>
        <m:r>
          <m:t xml:space="preserve">,</m:t>
        </m:r>
        <m:r>
          <m:t xml:space="preserve">1</m:t>
        </m:r>
        <m:r>
          <m:t xml:space="preserve">)</m:t>
        </m:r>
      </m:oMath>
      <w:r>
        <w:rPr>
          <w:rFonts w:ascii="Times New Roman" w:hAnsi="Times New Roman" w:eastAsia="Songti SC"/>
          <w:color w:val="000000"/>
        </w:rPr>
        <w:t>解释，相应严重度为</w:t>
      </w:r>
      <m:oMath>
        <m:r>
          <m:t xml:space="preserve">1</m:t>
        </m:r>
      </m:oMath>
      <w:r>
        <w:rPr>
          <w:rFonts w:ascii="Times New Roman" w:hAnsi="Times New Roman" w:eastAsia="Songti SC"/>
          <w:color w:val="000000"/>
        </w:rPr>
        <w:t>减覆盖值，不能反过来把低严重度解释为需要修正。待核验R07：阈值比较方向须与实际代码核对，本稿不据此认定旧实验已使用该解释。</w:t>
      </w:r>
    </w:p>
    <w:p>
      <w:pPr>
        <w:pStyle w:val="Heading3"/>
      </w:pPr>
      <w:r>
        <w:t>4.4.2 修复动作</w:t>
      </w:r>
    </w:p>
    <w:p>
      <w:r>
        <w:rPr>
          <w:rFonts w:ascii="Times New Roman" w:hAnsi="Times New Roman" w:eastAsia="Songti SC"/>
          <w:color w:val="000000"/>
        </w:rPr>
        <w:t>BR定义四类局部动作：</w:t>
      </w:r>
    </w:p>
    <w:p>
      <w:pPr>
        <w:ind w:firstLine="0"/>
      </w:pPr>
      <w:r>
        <w:rPr>
          <w:rFonts w:ascii="Times New Roman" w:hAnsi="Times New Roman" w:eastAsia="Songti SC"/>
          <w:color w:val="000000"/>
        </w:rPr>
        <w:t xml:space="preserve">1. </w:t>
      </w:r>
      <w:r>
        <w:rPr>
          <w:rFonts w:ascii="Times New Roman" w:hAnsi="Times New Roman" w:eastAsia="Songti SC"/>
          <w:b/>
          <w:color w:val="000000"/>
        </w:rPr>
        <w:t>Promote/Demote</w:t>
      </w:r>
      <w:r>
        <w:rPr>
          <w:rFonts w:ascii="Times New Roman" w:hAnsi="Times New Roman" w:eastAsia="Songti SC"/>
          <w:color w:val="000000"/>
        </w:rPr>
        <w:t>：在标注规范允许的结论类类型之间转换，例如MajorClaim与Claim；</w:t>
      </w:r>
    </w:p>
    <w:p>
      <w:pPr>
        <w:ind w:firstLine="0"/>
      </w:pPr>
      <w:r>
        <w:rPr>
          <w:rFonts w:ascii="Times New Roman" w:hAnsi="Times New Roman" w:eastAsia="Songti SC"/>
          <w:color w:val="000000"/>
        </w:rPr>
        <w:t xml:space="preserve">2. </w:t>
      </w:r>
      <w:r>
        <w:rPr>
          <w:rFonts w:ascii="Times New Roman" w:hAnsi="Times New Roman" w:eastAsia="Songti SC"/>
          <w:b/>
          <w:color w:val="000000"/>
        </w:rPr>
        <w:t>Replace</w:t>
      </w:r>
      <w:r>
        <w:rPr>
          <w:rFonts w:ascii="Times New Roman" w:hAnsi="Times New Roman" w:eastAsia="Songti SC"/>
          <w:color w:val="000000"/>
        </w:rPr>
        <w:t>：从其他候选集中选择与问题位置对应的替代跨度或组件类型；</w:t>
      </w:r>
    </w:p>
    <w:p>
      <w:pPr>
        <w:ind w:firstLine="0"/>
      </w:pPr>
      <w:r>
        <w:rPr>
          <w:rFonts w:ascii="Times New Roman" w:hAnsi="Times New Roman" w:eastAsia="Songti SC"/>
          <w:color w:val="000000"/>
        </w:rPr>
        <w:t xml:space="preserve">3. </w:t>
      </w:r>
      <w:r>
        <w:rPr>
          <w:rFonts w:ascii="Times New Roman" w:hAnsi="Times New Roman" w:eastAsia="Songti SC"/>
          <w:b/>
          <w:color w:val="000000"/>
        </w:rPr>
        <w:t>RemoveEdge</w:t>
      </w:r>
      <w:r>
        <w:rPr>
          <w:rFonts w:ascii="Times New Roman" w:hAnsi="Times New Roman" w:eastAsia="Songti SC"/>
          <w:color w:val="000000"/>
        </w:rPr>
        <w:t>：删除验证器拒绝且删除后不产生新引用错误的边；</w:t>
      </w:r>
    </w:p>
    <w:p>
      <w:pPr>
        <w:ind w:firstLine="0"/>
      </w:pPr>
      <w:r>
        <w:rPr>
          <w:rFonts w:ascii="Times New Roman" w:hAnsi="Times New Roman" w:eastAsia="Songti SC"/>
          <w:color w:val="000000"/>
        </w:rPr>
        <w:t xml:space="preserve">4. </w:t>
      </w:r>
      <w:r>
        <w:rPr>
          <w:rFonts w:ascii="Times New Roman" w:hAnsi="Times New Roman" w:eastAsia="Songti SC"/>
          <w:b/>
          <w:color w:val="000000"/>
        </w:rPr>
        <w:t>LocalRerun</w:t>
      </w:r>
      <w:r>
        <w:rPr>
          <w:rFonts w:ascii="Times New Roman" w:hAnsi="Times New Roman" w:eastAsia="Songti SC"/>
          <w:color w:val="000000"/>
        </w:rPr>
        <w:t>：固定当前组件集合，仅对受影响源节点的关系进行约束重预测，目标编号限定在有效组件集合内。</w:t>
      </w:r>
    </w:p>
    <w:p>
      <w:r>
        <w:rPr>
          <w:rFonts w:ascii="Times New Roman" w:hAnsi="Times New Roman" w:eastAsia="Songti SC"/>
          <w:color w:val="000000"/>
        </w:rPr>
        <w:t>对候选动作</w:t>
      </w:r>
      <m:oMath>
        <m:r>
          <m:t xml:space="preserve">a</m:t>
        </m:r>
      </m:oMath>
      <w:r>
        <w:rPr>
          <w:rFonts w:ascii="Times New Roman" w:hAnsi="Times New Roman" w:eastAsia="Songti SC"/>
          <w:color w:val="000000"/>
        </w:rPr>
        <w:t>，记执行后的结构为</w:t>
      </w:r>
      <m:oMath>
        <m:r>
          <m:t xml:space="preserve">a</m:t>
        </m:r>
        <m:r>
          <m:t xml:space="preserve">(</m:t>
        </m:r>
        <m:r>
          <m:t xml:space="preserve">S</m:t>
        </m:r>
        <m:r>
          <m:t xml:space="preserve">)</m:t>
        </m:r>
      </m:oMath>
      <w:r>
        <w:rPr>
          <w:rFonts w:ascii="Times New Roman" w:hAnsi="Times New Roman" w:eastAsia="Songti SC"/>
          <w:color w:val="000000"/>
        </w:rPr>
        <w:t>。接受条件为：</w:t>
      </w:r>
    </w:p>
    <w:p>
      <w:pPr>
        <w:keepLines/>
        <w:spacing w:line="288" w:lineRule="auto" w:before="100" w:after="180"/>
        <w:ind w:firstLine="0"/>
        <w:jc w:val="center"/>
      </w:pPr>
      <m:oMath>
        <m:r>
          <m:rPr>
            <m:sty m:val="p"/>
          </m:rPr>
          <m:t xml:space="preserve">Accept</m:t>
        </m:r>
        <m:r>
          <m:t xml:space="preserve">(</m:t>
        </m:r>
        <m:r>
          <m:t xml:space="preserve">a</m:t>
        </m:r>
        <m:r>
          <m:t xml:space="preserve">,</m:t>
        </m:r>
        <m:r>
          <m:t xml:space="preserve">S</m:t>
        </m:r>
        <m:r>
          <m:t xml:space="preserve">)</m:t>
        </m:r>
        <m:r>
          <m:t xml:space="preserve">=</m:t>
        </m:r>
        <m:r>
          <m:t xml:space="preserve">𝕀</m:t>
        </m:r>
        <m:r>
          <m:t xml:space="preserve">[</m:t>
        </m:r>
        <m:r>
          <m:t xml:space="preserve">a</m:t>
        </m:r>
        <m:r>
          <m:t xml:space="preserve">(</m:t>
        </m:r>
        <m:r>
          <m:t xml:space="preserve">S</m:t>
        </m:r>
        <m:r>
          <m:t xml:space="preserve">)</m:t>
        </m:r>
        <m:r>
          <m:t xml:space="preserve">∈</m:t>
        </m:r>
        <m:sSub>
          <m:e>
            <m:r>
              <m:t xml:space="preserve">𝒢</m:t>
            </m:r>
          </m:e>
          <m:sub>
            <m:r>
              <m:t xml:space="preserve">𝒜</m:t>
            </m:r>
          </m:sub>
        </m:sSub>
        <m:r>
          <m:t xml:space="preserve">]</m:t>
        </m:r>
        <m:r>
          <m:t xml:space="preserve">·</m:t>
        </m:r>
        <m:r>
          <m:t xml:space="preserve">𝕀</m:t>
        </m:r>
        <m:r>
          <m:t xml:space="preserve">[</m:t>
        </m:r>
        <m:r>
          <m:t xml:space="preserve">E</m:t>
        </m:r>
        <m:r>
          <m:t xml:space="preserve">(</m:t>
        </m:r>
        <m:r>
          <m:t xml:space="preserve">a</m:t>
        </m:r>
        <m:r>
          <m:t xml:space="preserve">(</m:t>
        </m:r>
        <m:r>
          <m:t xml:space="preserve">S</m:t>
        </m:r>
        <m:r>
          <m:t xml:space="preserve">)</m:t>
        </m:r>
        <m:r>
          <m:t xml:space="preserve">)</m:t>
        </m:r>
        <m:r>
          <m:t xml:space="preserve">≥</m:t>
        </m:r>
        <m:r>
          <m:t xml:space="preserve">E</m:t>
        </m:r>
        <m:r>
          <m:t xml:space="preserve">(</m:t>
        </m:r>
        <m:r>
          <m:t xml:space="preserve">S</m:t>
        </m:r>
        <m:r>
          <m:t xml:space="preserve">)</m:t>
        </m:r>
        <m:r>
          <m:t xml:space="preserve">]</m:t>
        </m:r>
        <m:r>
          <m:t xml:space="preserve">.</m:t>
        </m:r>
      </m:oMath>
      <w:r>
        <w:rPr>
          <w:rFonts w:ascii="Times New Roman" w:hAnsi="Times New Roman" w:eastAsia="Songti SC"/>
          <w:color w:val="000000"/>
          <w:sz w:val="20"/>
        </w:rPr>
        <w:t xml:space="preserve">　（4-10）</w:t>
      </w:r>
    </w:p>
    <w:p>
      <w:r>
        <w:rPr>
          <w:rFonts w:ascii="Times New Roman" w:hAnsi="Times New Roman" w:eastAsia="Songti SC"/>
          <w:color w:val="000000"/>
        </w:rPr>
        <w:t>因此，每次被接受的动作产生的图满足规定合法性检查，且在评分可重复的前提下不降低该代理评分；不满足条件的动作回退。这是对被接受后状态的性质，不保证初始图合法，也不保证最终一定合法。</w:t>
      </w:r>
    </w:p>
    <w:p>
      <w:r>
        <w:rPr>
          <w:rFonts w:ascii="Times New Roman" w:hAnsi="Times New Roman" w:eastAsia="Songti SC"/>
          <w:color w:val="000000"/>
        </w:rPr>
        <w:t>Replace在原稿中定义为替换已有位置的跨度或类型，并没有明确定义插入缺失节点。如果其实现不改变节点数量，不能据此声称找回所有遗漏Claim；LocalRerun固定组件集合，也不能补节点。Promote/Demote改变类型后须同步重查允许的边类型和拓扑，尤其不能把AAEC的stance隐式转换为关系边。待核验R08：四类动作需补充前置条件、受影响字段、坐标和ID更新规则及失败返回值。</w:t>
      </w:r>
    </w:p>
    <w:p>
      <w:pPr>
        <w:pStyle w:val="Heading3"/>
      </w:pPr>
      <w:r>
        <w:t>4.4.3 终止条件与计算预算</w:t>
      </w:r>
    </w:p>
    <w:p>
      <w:r>
        <w:rPr>
          <w:rFonts w:ascii="Times New Roman" w:hAnsi="Times New Roman" w:eastAsia="Songti SC"/>
          <w:color w:val="000000"/>
        </w:rPr>
        <w:t>原稿设置最多执行</w:t>
      </w:r>
      <m:oMath>
        <m:r>
          <m:t xml:space="preserve">T</m:t>
        </m:r>
        <m:r>
          <m:t xml:space="preserve">=</m:t>
        </m:r>
        <m:r>
          <m:t xml:space="preserve">3</m:t>
        </m:r>
      </m:oMath>
      <w:r>
        <w:rPr>
          <w:rFonts w:ascii="Times New Roman" w:hAnsi="Times New Roman" w:eastAsia="Songti SC"/>
          <w:color w:val="000000"/>
        </w:rPr>
        <w:t>轮，每轮最多接受</w:t>
      </w:r>
      <m:oMath>
        <m:r>
          <m:t xml:space="preserve">M</m:t>
        </m:r>
        <m:r>
          <m:t xml:space="preserve">=</m:t>
        </m:r>
        <m:r>
          <m:t xml:space="preserve">2</m:t>
        </m:r>
      </m:oMath>
      <w:r>
        <w:rPr>
          <w:rFonts w:ascii="Times New Roman" w:hAnsi="Times New Roman" w:eastAsia="Songti SC"/>
          <w:color w:val="000000"/>
        </w:rPr>
        <w:t>个动作。以下为保留原语义的伪代码；GenerateActions需返回有限序列，模型调用需有超时或解码上限，否则仅靠外层预算不足以保证整个程序终止。</w:t>
      </w:r>
    </w:p>
    <w:p>
      <w:pPr>
        <w:keepNext/>
        <w:ind w:firstLine="0"/>
        <w:jc w:val="center"/>
      </w:pPr>
      <w:r>
        <w:rPr>
          <w:rFonts w:ascii="Times New Roman" w:hAnsi="Times New Roman" w:eastAsia="Songti SC"/>
          <w:color w:val="000000"/>
          <w:sz w:val="22"/>
        </w:rPr>
        <w:t>算法4-1 原稿有界修正流程及其接口要求</w:t>
      </w:r>
    </w:p>
    <w:p>
      <w:pPr>
        <w:keepLines/>
        <w:spacing w:line="264" w:lineRule="auto" w:before="100" w:after="180"/>
        <w:ind w:firstLine="0" w:left="170"/>
      </w:pPr>
      <w:r>
        <w:rPr>
          <w:rFonts w:ascii="Courier New" w:hAnsi="Courier New" w:eastAsia="Songti SC"/>
          <w:color w:val="000000"/>
          <w:sz w:val="19"/>
        </w:rPr>
        <w:t>输入：候选图集合 {S1,...,SK}，最大轮数 T，每轮动作预算 M</w:t>
        <w:br/>
        <w:t>输出：修正后的论辩图 S</w:t>
        <w:br/>
        <w:br/>
        <w:t>S ← argmax E(Sk)</w:t>
        <w:br/>
        <w:t>for t = 1,...,T:</w:t>
        <w:br/>
        <w:t xml:space="preserve">    errors ← DetectErrors(S)</w:t>
        <w:br/>
        <w:t xml:space="preserve">    if errors 中不存在触发项:</w:t>
        <w:br/>
        <w:t xml:space="preserve">        break</w:t>
        <w:br/>
        <w:t xml:space="preserve">    accepted ← 0</w:t>
        <w:br/>
        <w:t xml:space="preserve">    for e in SortBySeverity(errors):</w:t>
        <w:br/>
        <w:t xml:space="preserve">        for a in GenerateActions(e, candidate_pool):</w:t>
        <w:br/>
        <w:t xml:space="preserve">            S' ← a(S)</w:t>
        <w:br/>
        <w:t xml:space="preserve">            if Valid(S') and E(S') ≥ E(S):</w:t>
        <w:br/>
        <w:t xml:space="preserve">                S ← S'</w:t>
        <w:br/>
        <w:t xml:space="preserve">                accepted ← accepted + 1</w:t>
        <w:br/>
        <w:t xml:space="preserve">                break</w:t>
        <w:br/>
        <w:t xml:space="preserve">        if accepted = M:</w:t>
        <w:br/>
        <w:t xml:space="preserve">            break</w:t>
        <w:br/>
        <w:t xml:space="preserve">    if accepted = 0:</w:t>
        <w:br/>
        <w:t xml:space="preserve">        break</w:t>
        <w:br/>
        <w:t>return S</w:t>
      </w:r>
    </w:p>
    <w:p>
      <w:r>
        <w:rPr>
          <w:rFonts w:ascii="Times New Roman" w:hAnsi="Times New Roman" w:eastAsia="Songti SC"/>
          <w:color w:val="000000"/>
        </w:rPr>
        <w:t>算法在三种情况下退出外层迭代：不存在触发异常、当前动作空间中没有可接受修改、轮数预算耗尽。在动作生成有限且每次调用终止的前提下，总接受动作数不超过</w:t>
      </w:r>
      <m:oMath>
        <m:r>
          <m:t xml:space="preserve">T</m:t>
        </m:r>
        <m:r>
          <m:t xml:space="preserve">M</m:t>
        </m:r>
        <m:r>
          <m:t xml:space="preserve">=</m:t>
        </m:r>
        <m:r>
          <m:t xml:space="preserve">6</m:t>
        </m:r>
      </m:oMath>
      <w:r>
        <w:rPr>
          <w:rFonts w:ascii="Times New Roman" w:hAnsi="Times New Roman" w:eastAsia="Songti SC"/>
          <w:color w:val="000000"/>
        </w:rPr>
        <w:t>。这一界限不约束被拒绝的尝试次数，不能据此声称最多发生6次额外模型调用。</w:t>
      </w:r>
    </w:p>
    <w:p>
      <w:pPr>
        <w:pStyle w:val="Heading3"/>
      </w:pPr>
      <w:r>
        <w:t>4.4.4 代理目标与可恢复性分析</w:t>
      </w:r>
    </w:p>
    <w:p>
      <w:r>
        <w:rPr>
          <w:rFonts w:ascii="Times New Roman" w:hAnsi="Times New Roman" w:eastAsia="Songti SC"/>
          <w:color w:val="000000"/>
        </w:rPr>
        <w:t>命题一：若验证器结果固定或缓存，评分函数固定，且每次仅接受</w:t>
      </w:r>
      <m:oMath>
        <m:r>
          <m:t xml:space="preserve">E</m:t>
        </m:r>
        <m:r>
          <m:t xml:space="preserve">(</m:t>
        </m:r>
        <m:r>
          <m:t xml:space="preserve">S</m:t>
        </m:r>
        <m:r>
          <m:t xml:space="preserve">'</m:t>
        </m:r>
        <m:r>
          <m:t xml:space="preserve">)</m:t>
        </m:r>
        <m:r>
          <m:t xml:space="preserve">≥</m:t>
        </m:r>
        <m:r>
          <m:t xml:space="preserve">E</m:t>
        </m:r>
        <m:r>
          <m:t xml:space="preserve">(</m:t>
        </m:r>
        <m:r>
          <m:t xml:space="preserve">S</m:t>
        </m:r>
        <m:r>
          <m:t xml:space="preserve">)</m:t>
        </m:r>
      </m:oMath>
      <w:r>
        <w:rPr>
          <w:rFonts w:ascii="Times New Roman" w:hAnsi="Times New Roman" w:eastAsia="Songti SC"/>
          <w:color w:val="000000"/>
        </w:rPr>
        <w:t>的动作，则被接受状态的评分序列单调不降。证明由接受条件逐次应用直接得到。若逐次重新随机调用验证器而不固定结果，同一图的分数也可能变化，因而这一命题的前提不再成立。由于评分范围有界，这一数值性质不意味着在有限时间达到全局最优，也不意味着Relation-F1单调提高；本文的停止依据仍是显式预算与有限动作空间。</w:t>
      </w:r>
    </w:p>
    <w:p>
      <w:r>
        <w:rPr>
          <w:rFonts w:ascii="Times New Roman" w:hAnsi="Times New Roman" w:eastAsia="Songti SC"/>
          <w:color w:val="000000"/>
        </w:rPr>
        <w:t>命题二：软合法性加权不能保证初始选择合法。按原稿权重，一个非法图若覆盖与连贯性都为1，可得0.8；一个合法图若两项都为0.5，则得0.6。最大加权分可能选中非法图。这是由评分式构造的反例，不是实际测试样本。</w:t>
      </w:r>
    </w:p>
    <w:p>
      <w:r>
        <w:rPr>
          <w:rFonts w:ascii="Times New Roman" w:hAnsi="Times New Roman" w:eastAsia="Songti SC"/>
          <w:color w:val="000000"/>
        </w:rPr>
        <w:t>命题三：全图合法后才接受的条件可能阻碍逐步修复。若初始图有两个独立无效引用，一次局部动作只修复其中一个，修改后的图仍不合法，因此被拒绝；即使两步组合能得到合法图，当前一步式接受规则也不一定能走到该状态。原稿同时报告残余无效ID，因此不能宣称BR保证最终输出全部合法。</w:t>
      </w:r>
    </w:p>
    <w:p>
      <w:r>
        <w:rPr>
          <w:rFonts w:ascii="Times New Roman" w:hAnsi="Times New Roman" w:eastAsia="Songti SC"/>
          <w:color w:val="000000"/>
        </w:rPr>
        <w:t>上述分析说明，现有方法的可陈述保证是“有限前提下的步数界”和“固定代理评分下的接受状态非下降”，不是语义正确性或全局最优保证。附录B提出可行候选优先、非法状态处置和总调用预算的修订建议；这些建议需要实现并重新评测，不能回填为本章已有实验的生成过程。</w:t>
      </w:r>
    </w:p>
    <w:p>
      <w:pPr>
        <w:pStyle w:val="Heading2"/>
      </w:pPr>
      <w:r>
        <w:t>4.5 实验设置</w:t>
      </w:r>
    </w:p>
    <w:p>
      <w:pPr>
        <w:pStyle w:val="Heading3"/>
      </w:pPr>
      <w:r>
        <w:t>4.5.1 数据集与指标</w:t>
      </w:r>
    </w:p>
    <w:p>
      <w:r>
        <w:rPr>
          <w:rFonts w:ascii="Times New Roman" w:hAnsi="Times New Roman" w:eastAsia="Songti SC"/>
          <w:color w:val="000000"/>
        </w:rPr>
        <w:t>域内实验使用AAEC和CDCP。对任一预测对象集合，精确率、召回率和F1定义为：</w:t>
      </w:r>
    </w:p>
    <w:p>
      <w:pPr>
        <w:keepLines/>
        <w:spacing w:line="288" w:lineRule="auto" w:before="100" w:after="18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P</m:t>
            </m:r>
            <m:r>
              <m:t xml:space="preserve">R</m:t>
            </m:r>
          </m:num>
          <m:den>
            <m:r>
              <m:t xml:space="preserve">P</m:t>
            </m:r>
            <m:r>
              <m:t xml:space="preserve">+</m:t>
            </m:r>
            <m:r>
              <m:t xml:space="preserve">R</m:t>
            </m:r>
          </m:den>
        </m:f>
        <m:r>
          <m:t xml:space="preserve">.</m:t>
        </m:r>
      </m:oMath>
      <w:r>
        <w:rPr>
          <w:rFonts w:ascii="Times New Roman" w:hAnsi="Times New Roman" w:eastAsia="Songti SC"/>
          <w:color w:val="000000"/>
          <w:sz w:val="20"/>
        </w:rPr>
        <w:t xml:space="preserve">　（4-11）</w:t>
      </w:r>
    </w:p>
    <w:p>
      <w:r>
        <w:rPr>
          <w:rFonts w:ascii="Times New Roman" w:hAnsi="Times New Roman" w:eastAsia="Songti SC"/>
          <w:color w:val="000000"/>
        </w:rPr>
        <w:t>组件只有在起止边界和类型均与金标准一致时计为</w:t>
      </w:r>
      <m:oMath>
        <m:r>
          <m:t xml:space="preserve">T</m:t>
        </m:r>
        <m:r>
          <m:t xml:space="preserve">P</m:t>
        </m:r>
      </m:oMath>
      <w:r>
        <w:rPr>
          <w:rFonts w:ascii="Times New Roman" w:hAnsi="Times New Roman" w:eastAsia="Songti SC"/>
          <w:color w:val="000000"/>
        </w:rPr>
        <w:t>。关系只有在源组件、目标组件、方向和关系标签均正确时计为</w:t>
      </w:r>
      <m:oMath>
        <m:r>
          <m:t xml:space="preserve">T</m:t>
        </m:r>
        <m:r>
          <m:t xml:space="preserve">P</m:t>
        </m:r>
      </m:oMath>
      <w:r>
        <w:rPr>
          <w:rFonts w:ascii="Times New Roman" w:hAnsi="Times New Roman" w:eastAsia="Songti SC"/>
          <w:color w:val="000000"/>
        </w:rPr>
        <w:t>。AAEC报告Component-F1以及Support、Attack和总体Relation-F1；CDCP保留Reason和Evidence两类关系并分别报告F1。关系评价基于模型预测组件而非金标准组件，因此同时反映组件识别与关系预测错误；Oracle实验另行使用金标准组件估计关系模块上限。跨领域实验的粗粒度指标在第五章说明。</w:t>
      </w:r>
    </w:p>
    <w:p>
      <w:pPr>
        <w:pStyle w:val="Heading3"/>
      </w:pPr>
      <w:r>
        <w:t>4.5.2 基线与实现</w:t>
      </w:r>
    </w:p>
    <w:p>
      <w:r>
        <w:rPr>
          <w:rFonts w:ascii="Times New Roman" w:hAnsi="Times New Roman" w:eastAsia="Songti SC"/>
          <w:color w:val="000000"/>
        </w:rPr>
        <w:t>外部基线包括FLAN T5-XXL、GPT-4-turbo 20-shot和RoBERTa-large多任务模型。为比较同骨干配置，原稿内部比较采用Qwen2.5-7B-Instruct及相同LoRA训练设置，包括Single-Pass、Constrained Decoding、DAG Post-process、Multi-Sample (LogProb)、Self-Refine、无修正的</w:t>
      </w:r>
      <m:oMath>
        <m:r>
          <m:t xml:space="preserve">K</m:t>
        </m:r>
        <m:r>
          <m:t xml:space="preserve">=</m:t>
        </m:r>
        <m:r>
          <m:t xml:space="preserve">1</m:t>
        </m:r>
      </m:oMath>
      <w:r>
        <w:rPr>
          <w:rFonts w:ascii="Times New Roman" w:hAnsi="Times New Roman" w:eastAsia="Songti SC"/>
          <w:color w:val="000000"/>
        </w:rPr>
        <w:t>版本和仅验证器重排序的</w:t>
      </w:r>
      <m:oMath>
        <m:r>
          <m:t xml:space="preserve">K</m:t>
        </m:r>
        <m:r>
          <m:t xml:space="preserve">=</m:t>
        </m:r>
        <m:r>
          <m:t xml:space="preserve">3</m:t>
        </m:r>
      </m:oMath>
      <w:r>
        <w:rPr>
          <w:rFonts w:ascii="Times New Roman" w:hAnsi="Times New Roman" w:eastAsia="Songti SC"/>
          <w:color w:val="000000"/>
        </w:rPr>
        <w:t>版本。原稿称优化器采用AdamW并使用早停，数据划分与评价脚本遵循文本到文本生成基线[7]，但当前未提供配置文件与脚本，尚不能认定所有协议已经对齐。</w:t>
      </w:r>
    </w:p>
    <w:p>
      <w:pPr>
        <w:ind w:firstLine="0"/>
      </w:pPr>
      <w:r>
        <w:rPr>
          <w:rFonts w:ascii="Times New Roman" w:hAnsi="Times New Roman" w:eastAsia="Songti SC"/>
          <w:color w:val="000000"/>
          <w:sz w:val="22"/>
        </w:rPr>
        <w:t>待核验R09：需补齐数据版本及文档ID划分、输入按全文还是段落组织、分词及跨度转换、CDCP多片段前提的处理、训练步数和有效batch size、学习率、LoRA目标层、dropout、温度、top-p、提示版本、检查点选择、随机种子、运行次数与硬件。原稿各表的“±”暂按原样保留，其代表标准差、标准误还是置信区间尚不确定，不进行显著性判断。</w:t>
      </w:r>
    </w:p>
    <w:p>
      <w:pPr>
        <w:ind w:firstLine="0"/>
      </w:pPr>
      <w:r>
        <w:rPr>
          <w:rFonts w:ascii="Times New Roman" w:hAnsi="Times New Roman" w:eastAsia="Songti SC"/>
          <w:color w:val="000000"/>
          <w:sz w:val="22"/>
        </w:rPr>
        <w:t>待核验R10：下列外部FLAN T5-XXL的AAEC总体80.15/61.19、CDCP总体72.68/33.96，以及GPT-4-turbo的AAEC总体55.51/28.38可在Kawarada等的结果表找到；本稿未核实这些外部基线的分类别数值来源。RoBERTa及其他内部行也需绑定复现实验记录。相同骨干不等于相同预算，当前材料没有证实Self-Refine、多采样和MCR-BR已做到总token数或调用次数匹配。</w:t>
      </w:r>
    </w:p>
    <w:p>
      <w:pPr>
        <w:pStyle w:val="Heading3"/>
      </w:pPr>
      <w:commentRangeStart w:id="7"/>
      <w:r>
        <w:t>4.5.3 近期相关方法的比较边界</w:t>
      </w:r>
      <w:commentRangeEnd w:id="7"/>
      <w:r>
        <w:commentReference w:id="7"/>
      </w:r>
    </w:p>
    <w:p>
      <w:r>
        <w:rPr>
          <w:rFonts w:ascii="Times New Roman" w:hAnsi="Times New Roman" w:eastAsia="Songti SC"/>
          <w:color w:val="000000"/>
        </w:rPr>
        <w:t>第一章补充的近期研究用于更新方法定位，并不自动成为已复现的实验基线。DENIM[12]和AASP[9]是优先考虑的生成式或结构预测对照，但需先统一数据划分、输入粒度及精确匹配评价。Cabessa等的分类生成方法[8]、关键短语方法和FOL-AM基于给定组件的任务设定，不能直接并入现有端到端分数表。若将其改造为端到端流程，应单列组件分割器和新增计算成本。</w:t>
      </w:r>
    </w:p>
    <w:p>
      <w:r>
        <w:rPr>
          <w:rFonts w:ascii="Times New Roman" w:hAnsi="Times New Roman" w:eastAsia="Songti SC"/>
          <w:color w:val="000000"/>
        </w:rPr>
        <w:t>Tran等的LLM-refine[22]为多候选判断提供相邻对照思路，但其课堂话轮分割候选与本文整图不同。比较其思想时需要重新定义整图选择基线，不能沿用原论文任务分数。ARGUS属于端到端系统演示，组件分割研究只覆盖部分子任务；本稿不为这些方法补造统一实验结果，也不据现有表格宣称超过全部近期方法。</w:t>
      </w:r>
    </w:p>
    <w:p>
      <w:pPr>
        <w:pStyle w:val="Heading2"/>
      </w:pPr>
      <w:r>
        <w:t>4.6 域内主要结果</w:t>
      </w:r>
    </w:p>
    <w:p>
      <w:pPr>
        <w:pStyle w:val="Heading3"/>
      </w:pPr>
      <w:r>
        <w:t>4.6.1 AAEC结果</w:t>
      </w:r>
    </w:p>
    <w:p>
      <w:pPr>
        <w:keepNext/>
        <w:ind w:firstLine="0"/>
        <w:jc w:val="center"/>
      </w:pPr>
      <w:r>
        <w:rPr>
          <w:rFonts w:ascii="Times New Roman" w:hAnsi="Times New Roman" w:eastAsia="Songti SC"/>
          <w:color w:val="000000"/>
          <w:sz w:val="22"/>
        </w:rPr>
        <w:t>表4-1 AAEC域内结果原稿记录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41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Support-F1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Attack-F1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80.15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62.34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48.72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61.19</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GPT-4-turbo 20-shot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29.86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18.45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28.38</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76.43±0.55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54.21±0.52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41.83±0.67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52.15±0.54</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77.82±0.51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58.43±0.45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44.21±0.62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56.87±0.48</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Constrained Decoding</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59.12±0.42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45.33±0.58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57.65±0.45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78.91±0.49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59.45±0.48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45.87±0.61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58.12±0.47</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Multi-Sample (LogProb)</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79.45±0.38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46.58±0.55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58.94±0.42</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47.12±0.56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59.63±0.45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48.34±0.58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82.18±0.40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63.15±0.36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49.82±0.52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62.21±0.38</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65.92±0.38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51.47±0.54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64.83±0.38</w:t>
            </w:r>
          </w:p>
        </w:tc>
      </w:tr>
    </w:tbl>
    <w:p>
      <w:pPr>
        <w:spacing w:after="0" w:line="240" w:lineRule="auto"/>
      </w:pPr>
    </w:p>
    <w:p>
      <w:r>
        <w:rPr>
          <w:rFonts w:ascii="Times New Roman" w:hAnsi="Times New Roman" w:eastAsia="Songti SC"/>
          <w:color w:val="000000"/>
        </w:rPr>
        <w:t>按表4-1记录，Full相对FLAN T5-XXL的Component-F1和Relation-F1差值分别为3.56和3.64个点，相对本表Single-Pass分别为5.89和7.96个点。约束解码、DAG后处理及Self-Refine各行也呈现正向差值，但在提示、训练设置和推理预算未核验前，不能把差异全部归因于BR，亦不能据此判断修复了哪一类节点或关系错误。</w:t>
      </w:r>
    </w:p>
    <w:p>
      <w:pPr>
        <w:pStyle w:val="Heading3"/>
      </w:pPr>
      <w:r>
        <w:t>4.6.2 CDCP结果</w:t>
      </w:r>
    </w:p>
    <w:p>
      <w:pPr>
        <w:keepNext/>
        <w:ind w:firstLine="0"/>
        <w:jc w:val="center"/>
      </w:pPr>
      <w:r>
        <w:rPr>
          <w:rFonts w:ascii="Times New Roman" w:hAnsi="Times New Roman" w:eastAsia="Songti SC"/>
          <w:color w:val="000000"/>
          <w:sz w:val="22"/>
        </w:rPr>
        <w:t>表4-2 CDCP域内结果原稿记录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41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Reason-F1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Evidence-F1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72.68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35.24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28.41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33.96</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68.52±0.58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31.45±0.61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25.72±0.73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30.23±0.64</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33.82±0.52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27.15±0.68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32.64±0.55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72.14±0.50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28.02±0.63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33.51±0.52</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72.95±0.47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35.58±0.48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28.94±0.60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34.42±0.50</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36.94±0.46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35.78±0.48</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37.85±0.44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31.42±0.55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36.64±0.45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76.45±0.43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39.12±0.45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32.86±0.57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38.17±0.46</w:t>
            </w:r>
          </w:p>
        </w:tc>
      </w:tr>
    </w:tbl>
    <w:p>
      <w:pPr>
        <w:spacing w:after="0" w:line="240" w:lineRule="auto"/>
      </w:pPr>
    </w:p>
    <w:p>
      <w:r>
        <w:rPr>
          <w:rFonts w:ascii="Times New Roman" w:hAnsi="Times New Roman" w:eastAsia="Songti SC"/>
          <w:color w:val="000000"/>
        </w:rPr>
        <w:t>按表4-2记录，CDCP上的Full Relation-F1比FLAN T5-XXL高4.21个点，为非AAEC语料上的适用性提供了待复核的结果。Evidence-F1低于Reason-F1，但该差异可能与样本数量、边界错误或标签判别等因素有关；没有类别计数及错误分解时，不能仅归因为证据型关系稀疏或语义隐含。</w:t>
      </w:r>
    </w:p>
    <w:p>
      <w:pPr>
        <w:pStyle w:val="Heading2"/>
      </w:pPr>
      <w:r>
        <w:t>4.7 消融与机制分析</w:t>
      </w:r>
    </w:p>
    <w:p>
      <w:pPr>
        <w:pStyle w:val="Heading3"/>
      </w:pPr>
      <w:r>
        <w:t>4.7.1 模块消融</w:t>
      </w:r>
    </w:p>
    <w:p>
      <w:pPr>
        <w:keepNext/>
        <w:ind w:firstLine="0"/>
        <w:jc w:val="center"/>
      </w:pPr>
      <w:r>
        <w:rPr>
          <w:rFonts w:ascii="Times New Roman" w:hAnsi="Times New Roman" w:eastAsia="Songti SC"/>
          <w:color w:val="000000"/>
          <w:sz w:val="22"/>
        </w:rPr>
        <w:t>表4-3 模块消融原稿记录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配置</w:t>
            </w:r>
          </w:p>
        </w:tc>
        <w:tc>
          <w:tcPr>
            <w:tcW w:type="dxa" w:w="141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Comp</w:t>
            </w:r>
          </w:p>
        </w:tc>
        <w:tc>
          <w:tcPr>
            <w:tcW w:type="dxa" w:w="1701"/>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Full Method</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64.83±0.38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r>
        <w:trPr>
          <w:cantSplit/>
        </w:trPr>
        <w:tc>
          <w:tcPr>
            <w:tcW w:type="dxa" w:w="3061"/>
            <w:vAlign w:val="center"/>
            <w:tcMar>
              <w:top w:w="70" w:type="dxa"/>
              <w:bottom w:w="70" w:type="dxa"/>
              <w:left w:w="80" w:type="dxa"/>
              <w:right w:w="80" w:type="dxa"/>
            </w:tcMar>
          </w:tcPr>
          <w:p>
            <w:pPr>
              <w:spacing w:line="276" w:lineRule="auto" w:after="0"/>
              <w:ind w:firstLine="0"/>
              <w:jc w:val="left"/>
            </w:pPr>
            <m:oMath>
              <m:r>
                <m:t xml:space="preserve">K</m:t>
              </m:r>
              <m:r>
                <m:t xml:space="preserve">=</m:t>
              </m:r>
              <m:r>
                <m:t xml:space="preserve">1</m:t>
              </m:r>
            </m:oMath>
            <w:r>
              <w:rPr>
                <w:rFonts w:ascii="Times New Roman" w:hAnsi="Times New Roman" w:eastAsia="Songti SC"/>
                <w:color w:val="000000"/>
                <w:sz w:val="21"/>
              </w:rPr>
              <w:t>, w/o correction</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-4.10</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Claim-specific Adapter</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81.96±0.48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63.08±0.44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Cue-aware Prompting</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82.34±0.45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62.87±0.40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-1.96</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Multi-Objective</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82.89±0.43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63.54±0.39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-0.82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-1.29</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w/o Validity Signal </w:t>
            </w:r>
            <m:oMath>
              <m:sSub>
                <m:e>
                  <m:r>
                    <m:t xml:space="preserve">E</m:t>
                  </m:r>
                </m:e>
                <m:sub>
                  <m:r>
                    <m:t xml:space="preserve">v</m:t>
                  </m:r>
                  <m:r>
                    <m:t xml:space="preserve">a</m:t>
                  </m:r>
                  <m:r>
                    <m:t xml:space="preserve">l</m:t>
                  </m:r>
                </m:sub>
              </m:sSub>
            </m:oMath>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81.56±0.46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61.92±0.43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r>
        <w:rPr>
          <w:rFonts w:ascii="Times New Roman" w:hAnsi="Times New Roman" w:eastAsia="Songti SC"/>
          <w:color w:val="000000"/>
        </w:rPr>
        <w:t>由</w:t>
      </w:r>
      <m:oMath>
        <m:r>
          <m:t xml:space="preserve">K</m:t>
        </m:r>
        <m:r>
          <m:t xml:space="preserve">=</m:t>
        </m:r>
        <m:r>
          <m:t xml:space="preserve">1</m:t>
        </m:r>
      </m:oMath>
      <w:r>
        <w:rPr>
          <w:rFonts w:ascii="Times New Roman" w:hAnsi="Times New Roman" w:eastAsia="Songti SC"/>
          <w:color w:val="000000"/>
        </w:rPr>
        <w:t>无修正记录到</w:t>
      </w:r>
      <m:oMath>
        <m:r>
          <m:t xml:space="preserve">K</m:t>
        </m:r>
        <m:r>
          <m:t xml:space="preserve">=</m:t>
        </m:r>
        <m:r>
          <m:t xml:space="preserve">3</m:t>
        </m:r>
      </m:oMath>
      <w:r>
        <w:rPr>
          <w:rFonts w:ascii="Times New Roman" w:hAnsi="Times New Roman" w:eastAsia="Songti SC"/>
          <w:color w:val="000000"/>
        </w:rPr>
        <w:t>仅重排序记录，Relation-F1差值为1.48个点，但同时改变候选数和选择过程，不能解释为重排序的单独贡献。由</w:t>
      </w:r>
      <m:oMath>
        <m:r>
          <m:t xml:space="preserve">K</m:t>
        </m:r>
        <m:r>
          <m:t xml:space="preserve">=</m:t>
        </m:r>
        <m:r>
          <m:t xml:space="preserve">3</m:t>
        </m:r>
      </m:oMath>
      <w:r>
        <w:rPr>
          <w:rFonts w:ascii="Times New Roman" w:hAnsi="Times New Roman" w:eastAsia="Songti SC"/>
          <w:color w:val="000000"/>
        </w:rPr>
        <w:t>仅重排序到Full的差值为2.62个点；只有在两者使用相同检查点、相同缓存候选池和相同评价脚本时，这才是对加入BR的有效对照。去除</w:t>
      </w:r>
      <m:oMath>
        <m:sSub>
          <m:e>
            <m:r>
              <m:t xml:space="preserve">E</m:t>
            </m:r>
          </m:e>
          <m:sub>
            <m:r>
              <m:t xml:space="preserve">v</m:t>
            </m:r>
            <m:r>
              <m:t xml:space="preserve">a</m:t>
            </m:r>
            <m:r>
              <m:t xml:space="preserve">l</m:t>
            </m:r>
          </m:sub>
        </m:sSub>
      </m:oMath>
      <w:r>
        <w:rPr>
          <w:rFonts w:ascii="Times New Roman" w:hAnsi="Times New Roman" w:eastAsia="Songti SC"/>
          <w:color w:val="000000"/>
        </w:rPr>
        <w:t>的记录下降2.91个Relation-F1点，也需明确是仅移除评分项，还是同时移除了硬合法性检查。</w:t>
      </w:r>
    </w:p>
    <w:p>
      <w:r>
        <w:rPr>
          <w:rFonts w:ascii="Times New Roman" w:hAnsi="Times New Roman" w:eastAsia="Songti SC"/>
          <w:color w:val="000000"/>
        </w:rPr>
        <w:t>训练模块消融反映其在其他模块保留时的条件差异，不能把各差值相加。本稿尚缺等样本量普通改写、无增强、无</w:t>
      </w:r>
      <m:oMath>
        <m:sSub>
          <m:e>
            <m:r>
              <m:t xml:space="preserve">E</m:t>
            </m:r>
          </m:e>
          <m:sub>
            <m:r>
              <m:t xml:space="preserve">d</m:t>
            </m:r>
            <m:r>
              <m:t xml:space="preserve">e</m:t>
            </m:r>
            <m:r>
              <m:t xml:space="preserve">n</m:t>
            </m:r>
            <m:r>
              <m:t xml:space="preserve">s</m:t>
            </m:r>
          </m:sub>
        </m:sSub>
      </m:oMath>
      <w:r>
        <w:rPr>
          <w:rFonts w:ascii="Times New Roman" w:hAnsi="Times New Roman" w:eastAsia="Songti SC"/>
          <w:color w:val="000000"/>
        </w:rPr>
        <w:t>、无</w:t>
      </w:r>
      <m:oMath>
        <m:sSub>
          <m:e>
            <m:r>
              <m:t xml:space="preserve">E</m:t>
            </m:r>
          </m:e>
          <m:sub>
            <m:r>
              <m:t xml:space="preserve">c</m:t>
            </m:r>
            <m:r>
              <m:t xml:space="preserve">o</m:t>
            </m:r>
            <m:r>
              <m:t xml:space="preserve">h</m:t>
            </m:r>
          </m:sub>
        </m:sSub>
      </m:oMath>
      <w:r>
        <w:rPr>
          <w:rFonts w:ascii="Times New Roman" w:hAnsi="Times New Roman" w:eastAsia="Songti SC"/>
          <w:color w:val="000000"/>
        </w:rPr>
        <w:t>、逐动作移除和候选数—成本曲线等对照。因此当前表格没有完全分离增强、候选覆盖、选择器与修正操作的贡献。</w:t>
      </w:r>
    </w:p>
    <w:p>
      <w:pPr>
        <w:pStyle w:val="Heading3"/>
      </w:pPr>
      <w:r>
        <w:t>4.7.2 验证器替换分析</w:t>
      </w:r>
    </w:p>
    <w:p>
      <w:pPr>
        <w:keepNext/>
        <w:ind w:firstLine="0"/>
        <w:jc w:val="center"/>
      </w:pPr>
      <w:r>
        <w:rPr>
          <w:rFonts w:ascii="Times New Roman" w:hAnsi="Times New Roman" w:eastAsia="Songti SC"/>
          <w:color w:val="000000"/>
          <w:sz w:val="22"/>
        </w:rPr>
        <w:t>表4-4 验证器替换原稿记录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验证器</w:t>
            </w:r>
          </w:p>
        </w:tc>
        <w:tc>
          <w:tcPr>
            <w:tcW w:type="dxa" w:w="141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Top-1一致率</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修正触发率</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Qwen2.5-7B（默认）</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64.83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Llama-3-8B（独立）</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43.8%</w:t>
            </w:r>
          </w:p>
        </w:tc>
      </w:tr>
    </w:tbl>
    <w:p>
      <w:pPr>
        <w:spacing w:after="0" w:line="240" w:lineRule="auto"/>
      </w:pPr>
    </w:p>
    <w:p>
      <w:r>
        <w:rPr>
          <w:rFonts w:ascii="Times New Roman" w:hAnsi="Times New Roman" w:eastAsia="Songti SC"/>
          <w:color w:val="000000"/>
        </w:rPr>
        <w:t>按原稿记录，替换验证器后Relation-F1差值为-0.28个点，Top-1选择与默认验证器的一致率为94.2%。默认行100.0%是与自身比较的参照值，不是候选选择正确率；高模型间一致率也可能来自共同偏差，不能视为人工标注一致率。待核验R11：需说明一致率的分母、候选池是否固定、验证提示与解码配置，并以独立人工标注评估边判定的Precision、Recall及错误修改比例。</w:t>
      </w:r>
    </w:p>
    <w:p>
      <w:pPr>
        <w:pStyle w:val="Heading3"/>
      </w:pPr>
      <w:r>
        <w:t>4.7.3 Oracle上限</w:t>
      </w:r>
    </w:p>
    <w:p>
      <w:pPr>
        <w:keepNext/>
        <w:ind w:firstLine="0"/>
        <w:jc w:val="center"/>
      </w:pPr>
      <w:r>
        <w:rPr>
          <w:rFonts w:ascii="Times New Roman" w:hAnsi="Times New Roman" w:eastAsia="Songti SC"/>
          <w:color w:val="000000"/>
          <w:sz w:val="22"/>
        </w:rPr>
        <w:t>表4-5 Oracle条件结果原稿记录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8"/>
        <w:gridCol w:w="1757"/>
        <w:gridCol w:w="1757"/>
        <w:gridCol w:w="1757"/>
      </w:tblGrid>
      <w:tr>
        <w:trPr>
          <w:cantSplit/>
          <w:tblHeader/>
        </w:trPr>
        <w:tc>
          <w:tcPr>
            <w:tcW w:type="dxa" w:w="362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条件</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75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c>
          <w:tcPr>
            <w:tcW w:type="dxa" w:w="1757"/>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预测组件与当前选择器</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83.71±0.42</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64.83±0.38</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Candidate Oracle（</w:t>
            </w:r>
            <m:oMath>
              <m:r>
                <m:t xml:space="preserve">K</m:t>
              </m:r>
              <m:r>
                <m:t xml:space="preserve">=</m:t>
              </m:r>
              <m:r>
                <m:t xml:space="preserve">3</m:t>
              </m:r>
            </m:oMath>
            <w:r>
              <w:rPr>
                <w:rFonts w:ascii="Times New Roman" w:hAnsi="Times New Roman" w:eastAsia="Songti SC"/>
                <w:color w:val="000000"/>
                <w:sz w:val="21"/>
              </w:rPr>
              <w:t>中择优）</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85.12±0.36</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67.24±0.34</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+2.41</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Condition Oracle（金标准组件输入）</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78.42±0.35</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+13.59</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Output Oracle（金标准替换）</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83.35±0.32</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+18.52</w:t>
            </w:r>
          </w:p>
        </w:tc>
      </w:tr>
    </w:tbl>
    <w:p>
      <w:pPr>
        <w:spacing w:after="0" w:line="240" w:lineRule="auto"/>
      </w:pPr>
    </w:p>
    <w:p>
      <w:r>
        <w:rPr>
          <w:rFonts w:ascii="Times New Roman" w:hAnsi="Times New Roman" w:eastAsia="Songti SC"/>
          <w:color w:val="000000"/>
        </w:rPr>
        <w:t>按表4-5记录，Candidate Oracle相对当前选择器的Relation-F1差值为2.41个点，Condition Oracle差值为13.59个点。前者只是给定候选池及Oracle选择准则下的经验诊断，不是整个任务的理论上限。后者同时改变关系模块的输入条件，可能引入分布变化，不能把13.59个点直接当作组件错误可被某一训练模块消除的量。</w:t>
      </w:r>
    </w:p>
    <w:p>
      <w:pPr>
        <w:ind w:firstLine="0"/>
      </w:pPr>
      <w:r>
        <w:rPr>
          <w:rFonts w:ascii="Times New Roman" w:hAnsi="Times New Roman" w:eastAsia="Songti SC"/>
          <w:color w:val="000000"/>
          <w:sz w:val="22"/>
        </w:rPr>
        <w:t>待核验R12：Candidate Oracle需说明逐文档优化哪个指标、如何处理并列以及先选择后汇总的口径。Output Oracle必须明确金标准替换的是组件、关系还是全部图：若只替换组件且保留预测关系，Relation-F1可以低于100；若全部输出均替换为同一金标准，则表中83.35不符合该定义。定义澄清前不用于量化某类误差贡献。</w:t>
      </w:r>
    </w:p>
    <w:p>
      <w:pPr>
        <w:pStyle w:val="Heading3"/>
      </w:pPr>
      <w:r>
        <w:t>4.7.4 修正行为统计</w:t>
      </w:r>
    </w:p>
    <w:p>
      <w:pPr>
        <w:keepNext/>
        <w:ind w:firstLine="0"/>
        <w:jc w:val="center"/>
      </w:pPr>
      <w:r>
        <w:rPr>
          <w:rFonts w:ascii="Times New Roman" w:hAnsi="Times New Roman" w:eastAsia="Songti SC"/>
          <w:color w:val="000000"/>
          <w:sz w:val="22"/>
        </w:rPr>
        <w:t>表4-6 修正行为原稿记录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69"/>
        <w:gridCol w:w="3231"/>
      </w:tblGrid>
      <w:tr>
        <w:trPr>
          <w:cantSplit/>
          <w:tblHeader/>
        </w:trPr>
        <w:tc>
          <w:tcPr>
            <w:tcW w:type="dxa" w:w="5669"/>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指标</w:t>
            </w:r>
          </w:p>
        </w:tc>
        <w:tc>
          <w:tcPr>
            <w:tcW w:type="dxa" w:w="323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结果</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修正触发率</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42.5%</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触发文档平均迭代轮数</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触发文档平均动作数</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LocalRerun占比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RemoveEdge占比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24.8%</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Replace占比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19.5%</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Promote/Demote占比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10.5%</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无效ID比例</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 → 2.1%</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JSON格式错误比例</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 → 0.0%</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不连贯边比例</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22.4% → 5.8%</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整体</w:t>
            </w:r>
            <m:oMath>
              <m:sSub>
                <m:e>
                  <m:r>
                    <m:t xml:space="preserve">E</m:t>
                  </m:r>
                </m:e>
                <m:sub>
                  <m:r>
                    <m:t xml:space="preserve">v</m:t>
                  </m:r>
                  <m:r>
                    <m:t xml:space="preserve">a</m:t>
                  </m:r>
                  <m:r>
                    <m:t xml:space="preserve">l</m:t>
                  </m:r>
                </m:sub>
              </m:sSub>
            </m:oMath>
            <w:r>
              <w:rPr>
                <w:rFonts w:ascii="Times New Roman" w:hAnsi="Times New Roman" w:eastAsia="Songti SC"/>
                <w:color w:val="000000"/>
                <w:sz w:val="21"/>
              </w:rPr>
              <w:t>通过率</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75.3% → 97.9%</w:t>
            </w:r>
          </w:p>
        </w:tc>
      </w:tr>
    </w:tbl>
    <w:p>
      <w:pPr>
        <w:spacing w:after="0" w:line="240" w:lineRule="auto"/>
      </w:pPr>
    </w:p>
    <w:p>
      <w:r>
        <w:rPr>
          <w:rFonts w:ascii="Times New Roman" w:hAnsi="Times New Roman" w:eastAsia="Songti SC"/>
          <w:color w:val="000000"/>
        </w:rPr>
        <w:t>平均轮数和动作数只描述原稿记录下的运行行为，不足以证明多数真实错误已被修复。LocalRerun的使用占比最高，也可能由动作生成顺序或触发策略决定，不能直接作为错误类别分布。RemoveEdge的收益必须结合关系Precision与Recall判断，以避免通过过度删边取得表面合法性。</w:t>
      </w:r>
    </w:p>
    <w:p>
      <w:pPr>
        <w:ind w:firstLine="0"/>
      </w:pPr>
      <w:r>
        <w:rPr>
          <w:rFonts w:ascii="Times New Roman" w:hAnsi="Times New Roman" w:eastAsia="Songti SC"/>
          <w:color w:val="000000"/>
          <w:sz w:val="22"/>
        </w:rPr>
        <w:t>待核验R13：需逐项声明分母及前后阶段，例如触发率按全部测试文档计算，动作占比按尝试还是接受动作计算，无效ID按引用还是文档计算。不连贯边比例来自验证器自身判断，与人工语义正确率不同；前后预测边数可能变化，应同时报告数量及比例。原稿75.3%到97.9%的合法率变化也需与6.2%的JSON错误、18.5%的无效ID进行同阶段核对。</w:t>
      </w:r>
    </w:p>
    <w:p>
      <w:pPr>
        <w:pStyle w:val="Heading2"/>
      </w:pPr>
      <w:r>
        <w:t>4.8 误差分析与局限</w:t>
      </w:r>
    </w:p>
    <w:p>
      <w:r>
        <w:rPr>
          <w:rFonts w:ascii="Times New Roman" w:hAnsi="Times New Roman" w:eastAsia="Songti SC"/>
          <w:color w:val="000000"/>
        </w:rPr>
        <w:t>根据动作定义，删除错误边和在固定组件集上重预测关系属于可尝试的恢复情形；实际成功率需由逐例前后图与金标准证明。原稿没有提供可定位的真实案例，因此本稿不把概括性描述当作成功案例。尤其“从候选池找回遗漏Claim”需要插入或联合替换机制，现有Replace定义不足以保证该能力。</w:t>
      </w:r>
    </w:p>
    <w:p>
      <w:r>
        <w:rPr>
          <w:rFonts w:ascii="Times New Roman" w:hAnsi="Times New Roman" w:eastAsia="Songti SC"/>
          <w:color w:val="000000"/>
        </w:rPr>
        <w:t>潜在失败情形包括所有候选均遗漏隐式组件、局部判断无法发现多跳矛盾、验证器错误拒绝有效边或接受表面相关边。这些是需检验的失效假设，不是已完成标注的误差占比。真实案例应同时展示原文、金标准、初始图、触发异常、每步动作、代理评分以及最终任务匹配结果，并纳入错误修改案例。</w:t>
      </w:r>
    </w:p>
    <w:p>
      <w:r>
        <w:rPr>
          <w:rFonts w:ascii="Times New Roman" w:hAnsi="Times New Roman" w:eastAsia="Songti SC"/>
          <w:color w:val="000000"/>
        </w:rPr>
        <w:t>MCR-BR还带来额外推理成本。</w:t>
      </w:r>
      <m:oMath>
        <m:r>
          <m:t xml:space="preserve">K</m:t>
        </m:r>
        <m:r>
          <m:t xml:space="preserve">=</m:t>
        </m:r>
        <m:r>
          <m:t xml:space="preserve">3</m:t>
        </m:r>
      </m:oMath>
      <w:r>
        <w:rPr>
          <w:rFonts w:ascii="Times New Roman" w:hAnsi="Times New Roman" w:eastAsia="Songti SC"/>
          <w:color w:val="000000"/>
        </w:rPr>
        <w:t>候选和逐边验证增加了并行计算量，局部修复则引入顺序解码。现有</w:t>
      </w:r>
      <m:oMath>
        <m:r>
          <m:t xml:space="preserve">T</m:t>
        </m:r>
        <m:r>
          <m:t xml:space="preserve">=</m:t>
        </m:r>
        <m:r>
          <m:t xml:space="preserve">3</m:t>
        </m:r>
      </m:oMath>
      <w:r>
        <w:rPr>
          <w:rFonts w:ascii="Times New Roman" w:hAnsi="Times New Roman" w:eastAsia="Songti SC"/>
          <w:color w:val="000000"/>
        </w:rPr>
        <w:t>和</w:t>
      </w:r>
      <m:oMath>
        <m:r>
          <m:t xml:space="preserve">M</m:t>
        </m:r>
        <m:r>
          <m:t xml:space="preserve">=</m:t>
        </m:r>
        <m:r>
          <m:t xml:space="preserve">2</m:t>
        </m:r>
      </m:oMath>
      <w:r>
        <w:rPr>
          <w:rFonts w:ascii="Times New Roman" w:hAnsi="Times New Roman" w:eastAsia="Songti SC"/>
          <w:color w:val="000000"/>
        </w:rPr>
        <w:t>仅限制轮数与接受动作数，尚未给出最坏调用成本上界。若有</w:t>
      </w:r>
      <m:oMath>
        <m:sSub>
          <m:e>
            <m:r>
              <m:t xml:space="preserve">A</m:t>
            </m:r>
          </m:e>
          <m:sub>
            <m:r>
              <m:t xml:space="preserve">t</m:t>
            </m:r>
            <m:r>
              <m:t xml:space="preserve">r</m:t>
            </m:r>
            <m:r>
              <m:t xml:space="preserve">y</m:t>
            </m:r>
          </m:sub>
        </m:sSub>
      </m:oMath>
      <w:r>
        <w:rPr>
          <w:rFonts w:ascii="Times New Roman" w:hAnsi="Times New Roman" w:eastAsia="Songti SC"/>
          <w:color w:val="000000"/>
        </w:rPr>
        <w:t>次动作尝试，每次还可能涉及多个边验证调用，实际开销取决于候选边数、验证批处理和缓存策略。应测量生成与验证的调用次数、输入输出token、端到端平均及P95时延、峰值显存，并在相同硬件上与Single-Pass比较。当前没有这些记录，不能定量宣称效率改善或成本已严格受控。</w:t>
      </w:r>
    </w:p>
    <w:p>
      <w:pPr>
        <w:pStyle w:val="Heading2"/>
      </w:pPr>
      <w:r>
        <w:t>4.9 本章小结</w:t>
      </w:r>
    </w:p>
    <w:p>
      <w:r>
        <w:rPr>
          <w:rFonts w:ascii="Times New Roman" w:hAnsi="Times New Roman" w:eastAsia="Songti SC"/>
          <w:color w:val="000000"/>
        </w:rPr>
        <w:t>本章以完整候选图为评估对象，将多候选选择与异常驱动局部修正连接起来，明确了异常、动作、接受条件和回退的关系。这是相对于一般多采样和自由文本自修正的具体设计差异，而不是对两类已有思想的首次提出。现有域内、消融、验证器替换和Oracle记录为分析完整配置提供依据；BR的净收益需在固定候选池下解释，额外计算的价值需经预算匹配比较。软合法性、非法初始图恢复和遗漏节点操作仍限定着当前方法的适用范围。</w:t>
      </w:r>
    </w:p>
    <w:p>
      <w:pPr>
        <w:pStyle w:val="Heading1"/>
      </w:pPr>
      <w:r>
        <w:t>第五章 粗粒度标签协议下的跨语料迁移分析</w:t>
      </w:r>
    </w:p>
    <w:p>
      <w:commentRangeStart w:id="8"/>
      <w:r>
        <w:rPr>
          <w:rFonts w:ascii="Times New Roman" w:hAnsi="Times New Roman" w:eastAsia="Songti SC"/>
          <w:color w:val="000000"/>
        </w:rPr>
        <w:t>本章在训练域与测试域不一致的条件下分析第三、四章方法的表现，作为两项方法贡献的适用性验证，而非第三项算法创新。与利用辅助语料联合训练的MT-AM[23]不同，本章声明的零样本设定仅使用源域训练监督。鉴于近期句子级论辩识别研究揭示了词汇线索与跨数据集泛化之间的风险[24]，本章特别区分领域变化、标签归约和评价口径，避免将域内正向结果直接外推到目标域。</w:t>
      </w:r>
      <w:commentRangeEnd w:id="8"/>
      <w:r>
        <w:commentReference w:id="8"/>
      </w:r>
    </w:p>
    <w:p>
      <w:pPr>
        <w:pStyle w:val="Heading2"/>
      </w:pPr>
      <w:r>
        <w:t>5.1 跨领域异构性</w:t>
      </w:r>
    </w:p>
    <w:p>
      <w:r>
        <w:rPr>
          <w:rFonts w:ascii="Times New Roman" w:hAnsi="Times New Roman" w:eastAsia="Songti SC"/>
          <w:color w:val="000000"/>
        </w:rPr>
        <w:t>AAEC与CDCP的差异至少包括三个层面。第一，AAEC由学生说服性作文构成，CDCP来自电子政务评论，文本长度、篇章组织和语言风格不同。第二，AAEC使用MajorClaim、Claim和Premise三级组件体系，CDCP使用Fact、Testimony、Value、Policy和Reference功能类型。第三，AAEC关系为Support/Attack并额外包含Claim stance，CDCP关系为Reason/Evidence且允许多父节点。因此，直接比较细粒度类型F1或关系标签F1会同时混入领域变化和标注规范变化。</w:t>
      </w:r>
    </w:p>
    <w:p>
      <w:pPr>
        <w:pStyle w:val="Heading2"/>
      </w:pPr>
      <w:r>
        <w:t>5.2 粗粒度标签与关系映射</w:t>
      </w:r>
    </w:p>
    <w:p>
      <w:r>
        <w:rPr>
          <w:rFonts w:ascii="Times New Roman" w:hAnsi="Times New Roman" w:eastAsia="Songti SC"/>
          <w:color w:val="000000"/>
        </w:rPr>
        <w:t>组件映射函数</w:t>
      </w:r>
      <m:oMath>
        <m:r>
          <m:t xml:space="preserve">φ</m:t>
        </m:r>
        <m:r>
          <m:t xml:space="preserve">:</m:t>
        </m:r>
        <m:sSub>
          <m:e>
            <m:r>
              <m:t xml:space="preserve">𝒯</m:t>
            </m:r>
          </m:e>
          <m:sub>
            <m:r>
              <m:t xml:space="preserve">s</m:t>
            </m:r>
            <m:r>
              <m:t xml:space="preserve">r</m:t>
            </m:r>
            <m:r>
              <m:t xml:space="preserve">c</m:t>
            </m:r>
          </m:sub>
        </m:sSub>
        <m:r>
          <m:t xml:space="preserve">∪</m:t>
        </m:r>
        <m:sSub>
          <m:e>
            <m:r>
              <m:t xml:space="preserve">𝒯</m:t>
            </m:r>
          </m:e>
          <m:sub>
            <m:r>
              <m:t xml:space="preserve">t</m:t>
            </m:r>
            <m:r>
              <m:t xml:space="preserve">g</m:t>
            </m:r>
            <m:r>
              <m:t xml:space="preserve">t</m:t>
            </m:r>
          </m:sub>
        </m:sSub>
        <m:r>
          <m:t xml:space="preserve">→</m:t>
        </m:r>
        <m:r>
          <m:rPr>
            <m:sty m:val="p"/>
          </m:rPr>
          <m:t xml:space="preserve">{</m:t>
        </m:r>
        <m:r>
          <m:t xml:space="preserve">C</m:t>
        </m:r>
        <m:r>
          <m:t xml:space="preserve">l</m:t>
        </m:r>
        <m:r>
          <m:t xml:space="preserve">a</m:t>
        </m:r>
        <m:r>
          <m:t xml:space="preserve">i</m:t>
        </m:r>
        <m:r>
          <m:t xml:space="preserve">m</m:t>
        </m:r>
        <m:r>
          <m:t xml:space="preserve">,</m:t>
        </m:r>
        <m:r>
          <m:t xml:space="preserve">P</m:t>
        </m:r>
        <m:r>
          <m:t xml:space="preserve">r</m:t>
        </m:r>
        <m:r>
          <m:t xml:space="preserve">e</m:t>
        </m:r>
        <m:r>
          <m:t xml:space="preserve">m</m:t>
        </m:r>
        <m:r>
          <m:t xml:space="preserve">i</m:t>
        </m:r>
        <m:r>
          <m:t xml:space="preserve">s</m:t>
        </m:r>
        <m:r>
          <m:t xml:space="preserve">e</m:t>
        </m:r>
        <m:r>
          <m:rPr>
            <m:sty m:val="p"/>
          </m:rPr>
          <m:t xml:space="preserve">}</m:t>
        </m:r>
      </m:oMath>
      <w:r>
        <w:rPr>
          <w:rFonts w:ascii="Times New Roman" w:hAnsi="Times New Roman" w:eastAsia="Songti SC"/>
          <w:color w:val="000000"/>
        </w:rPr>
        <w:t>定义如下：</w:t>
      </w:r>
    </w:p>
    <w:p>
      <w:pPr>
        <w:keepNext/>
        <w:ind w:firstLine="0"/>
        <w:jc w:val="center"/>
      </w:pPr>
      <w:r>
        <w:rPr>
          <w:rFonts w:ascii="Times New Roman" w:hAnsi="Times New Roman" w:eastAsia="Songti SC"/>
          <w:color w:val="000000"/>
          <w:sz w:val="22"/>
        </w:rPr>
        <w:t>表5-1 跨语料组件标签归约</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8"/>
      </w:tblGrid>
      <w:tr>
        <w:trPr>
          <w:cantSplit/>
          <w:tblHeader/>
        </w:trPr>
        <w:tc>
          <w:tcPr>
            <w:tcW w:type="dxa" w:w="277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数据集原标签</w:t>
            </w:r>
          </w:p>
        </w:tc>
        <w:tc>
          <w:tcPr>
            <w:tcW w:type="dxa" w:w="283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粗粒度标签</w:t>
            </w:r>
          </w:p>
        </w:tc>
        <w:tc>
          <w:tcPr>
            <w:tcW w:type="dxa" w:w="328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映射依据</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MajorClaim</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表达全文立场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Claim</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表达局部结论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Premise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提供支撑或反驳理由</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Policy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提出行动方案或规范性主张</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Value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表达评价性或价值判断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Fact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提供可核验事实</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Testimony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提供经验或证言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Reference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提供外部来源</w:t>
            </w:r>
          </w:p>
        </w:tc>
      </w:tr>
    </w:tbl>
    <w:p>
      <w:pPr>
        <w:spacing w:after="0" w:line="240" w:lineRule="auto"/>
      </w:pPr>
    </w:p>
    <w:p>
      <w:r>
        <w:rPr>
          <w:rFonts w:ascii="Times New Roman" w:hAnsi="Times New Roman" w:eastAsia="Songti SC"/>
          <w:color w:val="000000"/>
        </w:rPr>
        <w:t>关系映射函数</w:t>
      </w:r>
      <m:oMath>
        <m:r>
          <m:t xml:space="preserve">ψ</m:t>
        </m:r>
      </m:oMath>
      <w:r>
        <w:rPr>
          <w:rFonts w:ascii="Times New Roman" w:hAnsi="Times New Roman" w:eastAsia="Songti SC"/>
          <w:color w:val="000000"/>
        </w:rPr>
        <w:t>将AAEC的Support/Attack和CDCP的Reason/Evidence统一为有向Link：</w:t>
      </w:r>
    </w:p>
    <w:p>
      <w:pPr>
        <w:keepLines/>
        <w:spacing w:line="288" w:lineRule="auto" w:before="100" w:after="180"/>
        <w:ind w:firstLine="0"/>
        <w:jc w:val="center"/>
      </w:pPr>
      <m:oMath>
        <m:r>
          <m:t xml:space="preserve">ψ</m:t>
        </m:r>
        <m:r>
          <m:t xml:space="preserve">(</m:t>
        </m:r>
        <m:r>
          <m:t xml:space="preserve">r</m:t>
        </m:r>
        <m:r>
          <m:t xml:space="preserve">)</m:t>
        </m:r>
        <m:r>
          <m:t xml:space="preserve">=</m:t>
        </m:r>
        <m:r>
          <m:t xml:space="preserve">L</m:t>
        </m:r>
        <m:r>
          <m:t xml:space="preserve">i</m:t>
        </m:r>
        <m:r>
          <m:t xml:space="preserve">n</m:t>
        </m:r>
        <m:r>
          <m:t xml:space="preserve">k</m:t>
        </m:r>
        <m:r>
          <m:t xml:space="preserve">,</m:t>
        </m:r>
        <m:r>
          <m:rPr>
            <m:sty m:val="p"/>
          </m:rPr>
          <m:t xml:space="preserve"> </m:t>
        </m:r>
        <m:r>
          <m:t xml:space="preserve">r</m:t>
        </m:r>
        <m:r>
          <m:t xml:space="preserve">≠</m:t>
        </m:r>
        <m:r>
          <m:t xml:space="preserve">N</m:t>
        </m:r>
        <m:r>
          <m:t xml:space="preserve">o</m:t>
        </m:r>
        <m:r>
          <m:t xml:space="preserve">n</m:t>
        </m:r>
        <m:r>
          <m:t xml:space="preserve">e</m:t>
        </m:r>
        <m:r>
          <m:t xml:space="preserve">.</m:t>
        </m:r>
      </m:oMath>
      <w:r>
        <w:rPr>
          <w:rFonts w:ascii="Times New Roman" w:hAnsi="Times New Roman" w:eastAsia="Songti SC"/>
          <w:color w:val="000000"/>
          <w:sz w:val="20"/>
        </w:rPr>
        <w:t xml:space="preserve">　（5-1）</w:t>
      </w:r>
    </w:p>
    <w:p>
      <w:r>
        <w:rPr>
          <w:rFonts w:ascii="Times New Roman" w:hAnsi="Times New Roman" w:eastAsia="Songti SC"/>
          <w:color w:val="000000"/>
        </w:rPr>
        <w:t>该协议保留组件角色的粗粒度差异和关系方向，但主动舍弃支持/攻击、理由/证据等细粒度语义。因此，Unlabeled Link-F1只能说明模型能否迁移“哪些组件应连接及连接方向”，不能证明细粒度关系分类已经实现跨域泛化。</w:t>
      </w:r>
    </w:p>
    <w:p>
      <w:pPr>
        <w:pStyle w:val="Heading2"/>
      </w:pPr>
      <w:r>
        <w:t>5.3 零样本迁移协议</w:t>
      </w:r>
    </w:p>
    <w:p>
      <w:r>
        <w:rPr>
          <w:rFonts w:ascii="Times New Roman" w:hAnsi="Times New Roman" w:eastAsia="Songti SC"/>
          <w:color w:val="000000"/>
        </w:rPr>
        <w:t>本章协议要求在AAEC训练集上拟合模型，并仅使用AAEC验证集选择检查点和超参数；迁移到CDCP时不使用目标域标注样本更新参数或选择阈值。原稿是否完全遵循该数据使用边界，仍需配置和日志核验。测试前仅提供目标域标签定义及上述映射规则，候选数、评分权重、完整性阈值和修正预算均沿用源域设置。评价采用：</w:t>
      </w:r>
    </w:p>
    <w:p>
      <w:pPr>
        <w:ind w:firstLine="0"/>
      </w:pPr>
      <w:r>
        <w:rPr>
          <w:rFonts w:ascii="Times New Roman" w:hAnsi="Times New Roman" w:eastAsia="Songti SC"/>
          <w:color w:val="000000"/>
        </w:rPr>
        <w:t xml:space="preserve">1. </w:t>
      </w:r>
      <w:r>
        <w:rPr>
          <w:rFonts w:ascii="Times New Roman" w:hAnsi="Times New Roman" w:eastAsia="Songti SC"/>
          <w:b/>
          <w:color w:val="000000"/>
        </w:rPr>
        <w:t>Coarse Component-F1</w:t>
      </w:r>
      <w:r>
        <w:rPr>
          <w:rFonts w:ascii="Times New Roman" w:hAnsi="Times New Roman" w:eastAsia="Songti SC"/>
          <w:color w:val="000000"/>
        </w:rPr>
        <w:t>：组件边界正确且映射后的Claim/Premise类型正确；</w:t>
      </w:r>
    </w:p>
    <w:p>
      <w:pPr>
        <w:ind w:firstLine="0"/>
      </w:pPr>
      <w:r>
        <w:rPr>
          <w:rFonts w:ascii="Times New Roman" w:hAnsi="Times New Roman" w:eastAsia="Songti SC"/>
          <w:color w:val="000000"/>
        </w:rPr>
        <w:t xml:space="preserve">2. </w:t>
      </w:r>
      <w:r>
        <w:rPr>
          <w:rFonts w:ascii="Times New Roman" w:hAnsi="Times New Roman" w:eastAsia="Songti SC"/>
          <w:b/>
          <w:color w:val="000000"/>
        </w:rPr>
        <w:t>Unlabeled Link-F1</w:t>
      </w:r>
      <w:r>
        <w:rPr>
          <w:rFonts w:ascii="Times New Roman" w:hAnsi="Times New Roman" w:eastAsia="Songti SC"/>
          <w:color w:val="000000"/>
        </w:rPr>
        <w:t>：源节点、目标节点和方向均正确，不区分Reason与Evidence。</w:t>
      </w:r>
    </w:p>
    <w:p>
      <w:r>
        <w:rPr>
          <w:rFonts w:ascii="Times New Roman" w:hAnsi="Times New Roman" w:eastAsia="Songti SC"/>
          <w:color w:val="000000"/>
        </w:rPr>
        <w:t>该设置把目标域适配限制在Schema说明和确定性映射层面，避免使用目标测试集调节评分阈值。所有指标基于预测组件计算，从而保留真实端到端难度。</w:t>
      </w:r>
    </w:p>
    <w:p>
      <w:pPr>
        <w:pStyle w:val="Heading2"/>
      </w:pPr>
      <w:r>
        <w:t>5.4 跨领域迁移结果</w:t>
      </w:r>
    </w:p>
    <w:p>
      <w:pPr>
        <w:keepNext/>
        <w:ind w:firstLine="0"/>
        <w:jc w:val="center"/>
      </w:pPr>
      <w:r>
        <w:rPr>
          <w:rFonts w:ascii="Times New Roman" w:hAnsi="Times New Roman" w:eastAsia="Songti SC"/>
          <w:color w:val="000000"/>
          <w:sz w:val="22"/>
        </w:rPr>
        <w:t>表5-2 AAEC到CDCP迁移结果原稿记录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8"/>
      </w:tblGrid>
      <w:tr>
        <w:trPr>
          <w:cantSplit/>
          <w:tblHeader/>
        </w:trPr>
        <w:tc>
          <w:tcPr>
            <w:tcW w:type="dxa" w:w="277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283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Coarse Component-F1</w:t>
            </w:r>
          </w:p>
        </w:tc>
        <w:tc>
          <w:tcPr>
            <w:tcW w:type="dxa" w:w="328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Unlabeled Link-F1</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T5-XXL（zero-shot）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52.34±0.65</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31.25±0.72</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Single-Pass（zero-shot）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54.87±0.58</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33.42±0.68</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 zero-shot)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57.23±0.52</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38.76±0.61</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 zero-shot)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60.78±0.48</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43.21±0.55</w:t>
            </w:r>
          </w:p>
        </w:tc>
      </w:tr>
    </w:tbl>
    <w:p>
      <w:pPr>
        <w:spacing w:after="0" w:line="240" w:lineRule="auto"/>
      </w:pPr>
    </w:p>
    <w:p>
      <w:r>
        <w:rPr>
          <w:rFonts w:ascii="Times New Roman" w:hAnsi="Times New Roman" w:eastAsia="Songti SC"/>
          <w:color w:val="000000"/>
        </w:rPr>
        <w:t>按表5-2记录，Full相对FLAN T5-XXL的Coarse Component-F1和Unlabeled Link-F1差值分别为8.44和11.96个点，相对同骨干Single-Pass分别为5.91和9.79个点。两个指标的增幅不能直接用于错误归因；在未提供目标域错误分解时，不能断言收益主要来自连接碎片化或无效引用的减少。</w:t>
      </w:r>
    </w:p>
    <w:p>
      <w:pPr>
        <w:ind w:firstLine="0"/>
      </w:pPr>
      <w:r>
        <w:rPr>
          <w:rFonts w:ascii="Times New Roman" w:hAnsi="Times New Roman" w:eastAsia="Songti SC"/>
          <w:color w:val="000000"/>
        </w:rPr>
        <w:t>43.21的Link-F1与第四章AAEC域内64.83的Relation-F1使用不同标签口径，不能直接相减估计领域退化。要分离领域差异，应在源域与目标域都重新使用同一粗粒度组件映射、端点匹配和有向无标签连接脚本。本章目前只比较同一目标协议下各方法的记录。</w:t>
      </w:r>
    </w:p>
    <w:p>
      <w:pPr>
        <w:ind w:firstLine="0"/>
      </w:pPr>
      <w:r>
        <w:rPr>
          <w:rFonts w:ascii="Times New Roman" w:hAnsi="Times New Roman" w:eastAsia="Songti SC"/>
          <w:color w:val="000000"/>
          <w:sz w:val="22"/>
        </w:rPr>
        <w:t>待核验R14：需确认模型在迁移时输出源标签、目标标签还是粗标签，映射发生在生成前还是评价前；同时说明Link端点匹配是否包含粗类型。提供Schema定义不等于使用标注示例，但若使用目标域示例、开发标签或按目标测试表现调阈值，就不再满足本章声明的零样本协议。</w:t>
      </w:r>
    </w:p>
    <w:p>
      <w:pPr>
        <w:pStyle w:val="Heading2"/>
      </w:pPr>
      <w:r>
        <w:t>5.5 泛化来源与有效性威胁</w:t>
      </w:r>
    </w:p>
    <w:p>
      <w:r>
        <w:rPr>
          <w:rFonts w:ascii="Times New Roman" w:hAnsi="Times New Roman" w:eastAsia="Songti SC"/>
          <w:color w:val="000000"/>
        </w:rPr>
        <w:t>框架可能从三个方面改善迁移。其一，多候选组件集合保留了目标域中不确定的边界和类型假设；其二，跨度、引用和无环性检查不依赖具体主题；其三，局部重预测比整图重新生成更少破坏已经正确的目标域结构。不过，当前证据仍受到以下限制：</w:t>
      </w:r>
    </w:p>
    <w:p>
      <w:pPr>
        <w:ind w:firstLine="0"/>
      </w:pPr>
      <w:r>
        <w:rPr>
          <w:rFonts w:ascii="Times New Roman" w:hAnsi="Times New Roman" w:eastAsia="Songti SC"/>
          <w:color w:val="000000"/>
        </w:rPr>
        <w:t>1. 仅验证AAEC到CDCP单一迁移方向，尚不能覆盖医学、法律或多语言场景；</w:t>
      </w:r>
    </w:p>
    <w:p>
      <w:pPr>
        <w:ind w:firstLine="0"/>
      </w:pPr>
      <w:r>
        <w:rPr>
          <w:rFonts w:ascii="Times New Roman" w:hAnsi="Times New Roman" w:eastAsia="Songti SC"/>
          <w:color w:val="000000"/>
        </w:rPr>
        <w:t>2. Policy/Value到Claim、Fact/Testimony/Reference到Premise是基于功能角色的启发式归约，会损失部分语义；</w:t>
      </w:r>
    </w:p>
    <w:p>
      <w:pPr>
        <w:ind w:firstLine="0"/>
      </w:pPr>
      <w:r>
        <w:rPr>
          <w:rFonts w:ascii="Times New Roman" w:hAnsi="Times New Roman" w:eastAsia="Songti SC"/>
          <w:color w:val="000000"/>
        </w:rPr>
        <w:t>3. Unlabeled Link-F1不评价细粒度关系类型；</w:t>
      </w:r>
    </w:p>
    <w:p>
      <w:pPr>
        <w:ind w:firstLine="0"/>
      </w:pPr>
      <w:r>
        <w:rPr>
          <w:rFonts w:ascii="Times New Roman" w:hAnsi="Times New Roman" w:eastAsia="Songti SC"/>
          <w:color w:val="000000"/>
        </w:rPr>
        <w:t>4. 目标域模型可能受公开数据预训练污染影响；</w:t>
      </w:r>
    </w:p>
    <w:p>
      <w:pPr>
        <w:ind w:firstLine="0"/>
      </w:pPr>
      <w:r>
        <w:rPr>
          <w:rFonts w:ascii="Times New Roman" w:hAnsi="Times New Roman" w:eastAsia="Songti SC"/>
          <w:color w:val="000000"/>
        </w:rPr>
        <w:t>5. 验证器与生成器可能共享相似的预训练偏差。</w:t>
      </w:r>
    </w:p>
    <w:p>
      <w:r>
        <w:rPr>
          <w:rFonts w:ascii="Times New Roman" w:hAnsi="Times New Roman" w:eastAsia="Songti SC"/>
          <w:color w:val="000000"/>
        </w:rPr>
        <w:t>因此，本章将跨领域结果定位为特定协议下的适用性证据，而不是通用领域泛化能力的证明。还需关注Cue-aware分支是否依赖源域常见结论词；可在目标域按有无线索词分组报告性能，并比较关闭该分支时的变化。这是受近期泛化研究启发的待验证问题，不是已经完成的实验。增加AbstRCT等目标域、开展双向迁移和比较多种标签对齐策略，可进一步检验结论稳定性。</w:t>
      </w:r>
    </w:p>
    <w:p>
      <w:pPr>
        <w:pStyle w:val="Heading2"/>
      </w:pPr>
      <w:r>
        <w:t>5.6 本章小结</w:t>
      </w:r>
    </w:p>
    <w:p>
      <w:pPr>
        <w:keepLines/>
      </w:pPr>
      <w:r>
        <w:rPr>
          <w:rFonts w:ascii="Times New Roman" w:hAnsi="Times New Roman" w:eastAsia="Songti SC"/>
          <w:color w:val="000000"/>
        </w:rPr>
        <w:t>本章在明确标签映射和无标签连接评价范围的基础上，完成AAEC到CDCP的零样本迁移验证。原稿记录中MCR-BR的组件和连接指标高于列出的零样本基线，但该结论仅限同一映射和同一目标评价协议，且仍需核验数据使用边界。标签归约、单向迁移和预训练污染风险限制了对跨领域泛化的进一步解释。</w:t>
      </w:r>
    </w:p>
    <w:p>
      <w:pPr>
        <w:pStyle w:val="Heading1"/>
      </w:pPr>
      <w:r>
        <w:t>第六章 总结与展望</w:t>
      </w:r>
    </w:p>
    <w:p>
      <w:pPr>
        <w:pStyle w:val="Heading2"/>
      </w:pPr>
      <w:commentRangeStart w:id="9"/>
      <w:r>
        <w:t>6.1 工作总结</w:t>
      </w:r>
      <w:commentRangeEnd w:id="9"/>
      <w:r>
        <w:commentReference w:id="9"/>
      </w:r>
    </w:p>
    <w:p>
      <w:r>
        <w:rPr>
          <w:rFonts w:ascii="Times New Roman" w:hAnsi="Times New Roman" w:eastAsia="Songti SC"/>
          <w:color w:val="000000"/>
        </w:rPr>
        <w:t>本文围绕生成式端到端论辩挖掘中的组件识别错误及其向关系预测传播的问题，形成训练阶段的结论组件增强与推理阶段的论辩图修正两项互补设计。研究主线是改善关系恢复所依赖的组件候选，并利用候选图中的结构与语义反馈调整预测结果，而不是将通用微调、提示或多次采样本身作为创新。</w:t>
      </w:r>
    </w:p>
    <w:p>
      <w:r>
        <w:rPr>
          <w:rFonts w:ascii="Times New Roman" w:hAnsi="Times New Roman" w:eastAsia="Songti SC"/>
          <w:color w:val="000000"/>
        </w:rPr>
        <w:t>第一，设计面向结论类组件的局部论辩结构保持增强方法。以结论节点及其局部支撑或攻击邻域组织增强样本，在表达变化中保留组件类型和关系监督，并通过分层筛选控制样本质量；类型条件适配、线索感知提示及辅助目标构成配套的表示增强机制。该设计将结论表达的多样性与局部关系上下文相结合。本文同时分析了组件召回对可达关系集合的限制，以及保持局部拓扑不必然改善类别比例的条件。</w:t>
      </w:r>
    </w:p>
    <w:p>
      <w:r>
        <w:rPr>
          <w:rFonts w:ascii="Times New Roman" w:hAnsi="Times New Roman" w:eastAsia="Songti SC"/>
          <w:color w:val="000000"/>
        </w:rPr>
        <w:t>第二，提出基于完整候选图评估与异常驱动局部修正的MCR-BR方法。多个组件假设分别生成候选论辩图，图级评分用于选择初始结构，异常检测用于触发局部动作，接受检查与回退用于控制修改过程。与仅增加采样次数或自由文本自修正相比，该方法明确了候选对象、反馈粒度和修改边界。其当前性质限于给定前提下的修正步数限制和固定代理评分下的接受状态非下降，不包括全局最优、最终必然合法或任意遗漏节点恢复的保证。</w:t>
      </w:r>
    </w:p>
    <w:p>
      <w:r>
        <w:rPr>
          <w:rFonts w:ascii="Times New Roman" w:hAnsi="Times New Roman" w:eastAsia="Songti SC"/>
          <w:color w:val="000000"/>
        </w:rPr>
        <w:t>第三，在域内和规定的跨语料协议下分析方法表现。原稿记录中，Full在AAEC上的Component-F1和Relation-F1为83.71和64.83，在CDCP上为76.45和38.17；在AAEC到CDCP的粗粒度组件与有向无标签连接协议下，两项指标分别为60.78和43.21。上述结果保留为完整配置的实验记录，不将总增益分配给某一模块，也不将不同标签协议的分数直接相减解释领域退化。</w:t>
      </w:r>
    </w:p>
    <w:p>
      <w:r>
        <w:rPr>
          <w:rFonts w:ascii="Times New Roman" w:hAnsi="Times New Roman" w:eastAsia="Songti SC"/>
          <w:color w:val="000000"/>
        </w:rPr>
        <w:t>相关工作比较表明，生成式联合抽取、篇章结构引导和论辩候选判断已有相邻研究。本文可主张的具体贡献应落在结论中心局部结构保持增强，以及完整候选图评估与异常驱动局部修正的设计和实证分析上。当前工作仍需完成配置对应、增强独立消融和预算匹配验证，才能进一步确认两项方法各自的增量价值；跨语料结果则仅支持所采用迁移方向与标签归约下的适用性判断。</w:t>
      </w:r>
    </w:p>
    <w:p>
      <w:pPr>
        <w:pStyle w:val="Heading2"/>
      </w:pPr>
      <w:r>
        <w:t>6.2 当前不足与后续研究</w:t>
      </w:r>
    </w:p>
    <w:p>
      <w:r>
        <w:rPr>
          <w:rFonts w:ascii="Times New Roman" w:hAnsi="Times New Roman" w:eastAsia="Songti SC"/>
          <w:color w:val="000000"/>
        </w:rPr>
        <w:t>首先，实验可追溯性尚不完整。应优先绑定每张结果表与实际运行配置，解决第三章和第四章同名方法的分数差异，补齐评价脚本、数据划分、重复次数及“±”含义。这些工作属于现有结论的验证前提，不应全部放入长期展望。</w:t>
      </w:r>
    </w:p>
    <w:p>
      <w:r>
        <w:rPr>
          <w:rFonts w:ascii="Times New Roman" w:hAnsi="Times New Roman" w:eastAsia="Songti SC"/>
          <w:color w:val="000000"/>
        </w:rPr>
        <w:t>其次，训练增强的独立贡献尚未分离。后续应在等训练预算下比较无增强、普通改写和结构感知增强，报告类别数量、筛选通过率、人工抽检及Premise表现；条件适配器需在训练与推理可用信息一致的实现下重新核验。</w:t>
      </w:r>
    </w:p>
    <w:p>
      <w:r>
        <w:rPr>
          <w:rFonts w:ascii="Times New Roman" w:hAnsi="Times New Roman" w:eastAsia="Songti SC"/>
          <w:color w:val="000000"/>
        </w:rPr>
        <w:t>再次，图级修正需要同时控制错误修改与计算成本。除当前接受动作预算外，应定义被拒绝尝试的上限、验证缓存和失败返回策略。评价时应包含原本正确对象被破坏的比例，以及性能—时延—token开销的对照，避免只以代理分数或合法率衡量修正收益。</w:t>
      </w:r>
    </w:p>
    <w:p>
      <w:r>
        <w:rPr>
          <w:rFonts w:ascii="Times New Roman" w:hAnsi="Times New Roman" w:eastAsia="Songti SC"/>
          <w:color w:val="000000"/>
        </w:rPr>
        <w:t>最后，跨语料证据只覆盖一种归约和一个方向。双向迁移、更多目标语料、不同映射策略以及预训练污染审计可以检验结论的稳定性。在完成这些验证之前，中文、多语言及长篇专业文本仍属于待研究范围。</w:t>
      </w:r>
    </w:p>
    <w:p>
      <w:pPr>
        <w:pStyle w:val="Heading1"/>
      </w:pPr>
      <w:r>
        <w:t>参考文献</w:t>
      </w:r>
    </w:p>
    <w:p>
      <w:pPr>
        <w:keepLines/>
        <w:spacing w:line="280" w:lineRule="exact" w:after="160"/>
        <w:ind w:hanging="454" w:left="454"/>
      </w:pPr>
      <w:r>
        <w:rPr>
          <w:rFonts w:ascii="Times New Roman" w:hAnsi="Times New Roman" w:eastAsia="Songti SC"/>
          <w:color w:val="000000"/>
          <w:sz w:val="21"/>
        </w:rPr>
        <w:t xml:space="preserve">[1] LAWRENCE J, REED C. Argument mining: A survey[J]. Computational Linguistics, 2019, 45(4): 765–818. DOI: 10.1162/coli_a_00364. </w:t>
      </w:r>
      <w:hyperlink r:id="rId11">
        <w:r>
          <w:t>来源</w:t>
        </w:r>
      </w:hyperlink>
    </w:p>
    <w:p>
      <w:pPr>
        <w:keepLines/>
        <w:spacing w:line="280" w:lineRule="exact" w:after="160"/>
        <w:ind w:hanging="454" w:left="454"/>
      </w:pPr>
      <w:r>
        <w:rPr>
          <w:rFonts w:ascii="Times New Roman" w:hAnsi="Times New Roman" w:eastAsia="Songti SC"/>
          <w:color w:val="000000"/>
          <w:sz w:val="21"/>
        </w:rPr>
        <w:t xml:space="preserve">[2] STAB C, GUREVYCH I. Parsing argumentation structures in persuasive essays[J]. Computational Linguistics, 2017, 43(3): 619–659. DOI: 10.1162/COLI_a_00295. </w:t>
      </w:r>
      <w:hyperlink r:id="rId12">
        <w:r>
          <w:t>来源</w:t>
        </w:r>
      </w:hyperlink>
    </w:p>
    <w:p>
      <w:pPr>
        <w:keepLines/>
        <w:spacing w:line="280" w:lineRule="exact" w:after="160"/>
        <w:ind w:hanging="454" w:left="454"/>
      </w:pPr>
      <w:r>
        <w:rPr>
          <w:rFonts w:ascii="Times New Roman" w:hAnsi="Times New Roman" w:eastAsia="Songti SC"/>
          <w:color w:val="000000"/>
          <w:sz w:val="21"/>
        </w:rPr>
        <w:t xml:space="preserve">[3] PARK J, CARDIE C. A corpus of eRulemaking user comments for measuring evaluability of arguments[C]//Proceedings of the Eleventh International Conference on Language Resources and Evaluation. Miyazaki: European Language Resources Association, 2018. </w:t>
      </w:r>
      <w:hyperlink r:id="rId13">
        <w:r>
          <w:t>来源</w:t>
        </w:r>
      </w:hyperlink>
    </w:p>
    <w:p>
      <w:pPr>
        <w:keepLines/>
        <w:spacing w:line="280" w:lineRule="exact" w:after="160"/>
        <w:ind w:hanging="454" w:left="454"/>
      </w:pPr>
      <w:r>
        <w:rPr>
          <w:rFonts w:ascii="Times New Roman" w:hAnsi="Times New Roman" w:eastAsia="Songti SC"/>
          <w:color w:val="000000"/>
          <w:sz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hyperlink r:id="rId14">
        <w:r>
          <w:t>来源</w:t>
        </w:r>
      </w:hyperlink>
    </w:p>
    <w:p>
      <w:pPr>
        <w:keepLines/>
        <w:spacing w:line="280" w:lineRule="exact" w:after="160"/>
        <w:ind w:hanging="454" w:left="454"/>
      </w:pPr>
      <w:r>
        <w:rPr>
          <w:rFonts w:ascii="Times New Roman" w:hAnsi="Times New Roman" w:eastAsia="Songti SC"/>
          <w:color w:val="000000"/>
          <w:sz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hyperlink r:id="rId15">
        <w:r>
          <w:t>来源</w:t>
        </w:r>
      </w:hyperlink>
    </w:p>
    <w:p>
      <w:pPr>
        <w:keepLines/>
        <w:spacing w:line="280" w:lineRule="exact" w:after="160"/>
        <w:ind w:hanging="454" w:left="454"/>
      </w:pPr>
      <w:r>
        <w:rPr>
          <w:rFonts w:ascii="Times New Roman" w:hAnsi="Times New Roman" w:eastAsia="Songti SC"/>
          <w:color w:val="000000"/>
          <w:sz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hyperlink r:id="rId16">
        <w:r>
          <w:t>来源</w:t>
        </w:r>
      </w:hyperlink>
    </w:p>
    <w:p>
      <w:pPr>
        <w:keepLines/>
        <w:spacing w:line="280" w:lineRule="exact" w:after="160"/>
        <w:ind w:hanging="454" w:left="454"/>
      </w:pPr>
      <w:r>
        <w:rPr>
          <w:rFonts w:ascii="Times New Roman" w:hAnsi="Times New Roman" w:eastAsia="Songti SC"/>
          <w:color w:val="000000"/>
          <w:sz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hyperlink r:id="rId17">
        <w:r>
          <w:t>来源</w:t>
        </w:r>
      </w:hyperlink>
    </w:p>
    <w:p>
      <w:pPr>
        <w:keepLines/>
        <w:spacing w:line="280" w:lineRule="exact" w:after="160"/>
        <w:ind w:hanging="454" w:left="454"/>
      </w:pPr>
      <w:r>
        <w:rPr>
          <w:rFonts w:ascii="Times New Roman" w:hAnsi="Times New Roman" w:eastAsia="Songti SC"/>
          <w:color w:val="000000"/>
          <w:sz w:val="21"/>
        </w:rPr>
        <w:t xml:space="preserve">[8] CABESSA J, HERNAULT H, MUSHTAQ U. Argument mining with fine-tuned large language models[C]//Proceedings of the 31st International Conference on Computational Linguistics. Abu Dhabi: Association for Computational Linguistics, 2025: 6624–6635. </w:t>
      </w:r>
      <w:hyperlink r:id="rId18">
        <w:r>
          <w:t>来源</w:t>
        </w:r>
      </w:hyperlink>
    </w:p>
    <w:p>
      <w:pPr>
        <w:keepLines/>
        <w:spacing w:line="280" w:lineRule="exact" w:after="160"/>
        <w:ind w:hanging="454" w:left="454"/>
      </w:pPr>
      <w:r>
        <w:rPr>
          <w:rFonts w:ascii="Times New Roman" w:hAnsi="Times New Roman" w:eastAsia="Songti SC"/>
          <w:color w:val="000000"/>
          <w:sz w:val="21"/>
        </w:rPr>
        <w:t xml:space="preserve">[9] DAS N, VAIBHAV V, CHOUDHARY Y S, et al. End-to-end argument mining through autoregressive argumentative structure prediction[EB/OL]. arXiv:2510.16363v1, 2025[2026-09-14]. DOI: 10.48550/arXiv.2510.16363. </w:t>
      </w:r>
      <w:hyperlink r:id="rId19">
        <w:r>
          <w:t>来源</w:t>
        </w:r>
      </w:hyperlink>
    </w:p>
    <w:p>
      <w:pPr>
        <w:keepLines/>
        <w:spacing w:line="280" w:lineRule="exact" w:after="160"/>
        <w:ind w:hanging="454" w:left="454"/>
      </w:pPr>
      <w:r>
        <w:rPr>
          <w:rFonts w:ascii="Times New Roman" w:hAnsi="Times New Roman" w:eastAsia="Songti SC"/>
          <w:color w:val="000000"/>
          <w:sz w:val="21"/>
        </w:rPr>
        <w:t xml:space="preserve">[10] CAPUTO E, GRECO S, LA CAVA L. ARGUS: Towards end-to-end argument mining with large language models[C]//Proceedings of the AAAI Conference on Artificial Intelligence, 2026, 40(48): 41547–41549. DOI: 10.1609/aaai.v40i48.42335. </w:t>
      </w:r>
      <w:hyperlink r:id="rId20">
        <w:r>
          <w:t>来源</w:t>
        </w:r>
      </w:hyperlink>
    </w:p>
    <w:p>
      <w:pPr>
        <w:keepLines/>
        <w:spacing w:line="280" w:lineRule="exact" w:after="160"/>
        <w:ind w:hanging="454" w:left="454"/>
      </w:pPr>
      <w:r>
        <w:rPr>
          <w:rFonts w:ascii="Times New Roman" w:hAnsi="Times New Roman" w:eastAsia="Songti SC"/>
          <w:color w:val="000000"/>
          <w:sz w:val="21"/>
        </w:rPr>
        <w:t xml:space="preserve">[11] LI H, SCHLEGEL V, SUN Y, et al. Large language models in argument mining: A survey[EB/OL]. arXiv:2506.16383v6, 2025[2026-09-13]. DOI: 10.48550/arXiv.2506.16383. </w:t>
      </w:r>
      <w:hyperlink r:id="rId21">
        <w:r>
          <w:t>来源</w:t>
        </w:r>
      </w:hyperlink>
    </w:p>
    <w:p>
      <w:pPr>
        <w:keepLines/>
        <w:spacing w:line="280" w:lineRule="exact" w:after="160"/>
        <w:ind w:hanging="454" w:left="454"/>
      </w:pPr>
      <w:r>
        <w:rPr>
          <w:rFonts w:ascii="Times New Roman" w:hAnsi="Times New Roman" w:eastAsia="Songti SC"/>
          <w:color w:val="000000"/>
          <w:sz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hyperlink r:id="rId22">
        <w:r>
          <w:t>来源</w:t>
        </w:r>
      </w:hyperlink>
    </w:p>
    <w:p>
      <w:pPr>
        <w:keepLines/>
        <w:spacing w:line="280" w:lineRule="exact" w:after="160"/>
        <w:ind w:hanging="454" w:left="454"/>
      </w:pPr>
      <w:r>
        <w:rPr>
          <w:rFonts w:ascii="Times New Roman" w:hAnsi="Times New Roman" w:eastAsia="Songti SC"/>
          <w:color w:val="000000"/>
          <w:sz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hyperlink r:id="rId23">
        <w:r>
          <w:t>来源</w:t>
        </w:r>
      </w:hyperlink>
    </w:p>
    <w:p>
      <w:pPr>
        <w:keepLines/>
        <w:spacing w:line="280" w:lineRule="exact" w:after="160"/>
        <w:ind w:hanging="454" w:left="454"/>
      </w:pPr>
      <w:r>
        <w:rPr>
          <w:rFonts w:ascii="Times New Roman" w:hAnsi="Times New Roman" w:eastAsia="Songti SC"/>
          <w:color w:val="000000"/>
          <w:sz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hyperlink r:id="rId24">
        <w:r>
          <w:t>来源</w:t>
        </w:r>
      </w:hyperlink>
    </w:p>
    <w:p>
      <w:pPr>
        <w:keepLines/>
        <w:spacing w:line="280" w:lineRule="exact" w:after="160"/>
        <w:ind w:hanging="454" w:left="454"/>
      </w:pPr>
      <w:r>
        <w:rPr>
          <w:rFonts w:ascii="Times New Roman" w:hAnsi="Times New Roman" w:eastAsia="Songti SC"/>
          <w:color w:val="000000"/>
          <w:sz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hyperlink r:id="rId25">
        <w:r>
          <w:t>来源</w:t>
        </w:r>
      </w:hyperlink>
    </w:p>
    <w:p>
      <w:pPr>
        <w:keepLines/>
        <w:spacing w:line="280" w:lineRule="exact" w:after="160"/>
        <w:ind w:hanging="454" w:left="454"/>
      </w:pPr>
      <w:r>
        <w:rPr>
          <w:rFonts w:ascii="Times New Roman" w:hAnsi="Times New Roman" w:eastAsia="Songti SC"/>
          <w:color w:val="000000"/>
          <w:sz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hyperlink r:id="rId26">
        <w:r>
          <w:t>来源</w:t>
        </w:r>
      </w:hyperlink>
    </w:p>
    <w:p>
      <w:pPr>
        <w:keepLines/>
        <w:spacing w:line="280" w:lineRule="exact" w:after="160"/>
        <w:ind w:hanging="454" w:left="454"/>
      </w:pPr>
      <w:r>
        <w:rPr>
          <w:rFonts w:ascii="Times New Roman" w:hAnsi="Times New Roman" w:eastAsia="Songti SC"/>
          <w:color w:val="000000"/>
          <w:sz w:val="21"/>
        </w:rPr>
        <w:t xml:space="preserve">[17] PEI Y, BHUSE P, LIU Z, et al. SegMix: A simple structure-aware data augmentation method[EB/OL]. arXiv:2311.09505v1, 2023[2026-09-13]. DOI: 10.48550/arXiv.2311.09505. </w:t>
      </w:r>
      <w:hyperlink r:id="rId27">
        <w:r>
          <w:t>来源</w:t>
        </w:r>
      </w:hyperlink>
    </w:p>
    <w:p>
      <w:pPr>
        <w:keepLines/>
        <w:spacing w:line="280" w:lineRule="exact" w:after="160"/>
        <w:ind w:hanging="454" w:left="454"/>
      </w:pPr>
      <w:r>
        <w:rPr>
          <w:rFonts w:ascii="Times New Roman" w:hAnsi="Times New Roman" w:eastAsia="Songti SC"/>
          <w:color w:val="000000"/>
          <w:sz w:val="21"/>
        </w:rPr>
        <w:t xml:space="preserve">[18]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hyperlink r:id="rId28">
        <w:r>
          <w:t>来源</w:t>
        </w:r>
      </w:hyperlink>
    </w:p>
    <w:p>
      <w:pPr>
        <w:keepLines/>
        <w:spacing w:line="280" w:lineRule="exact" w:after="160"/>
        <w:ind w:hanging="454" w:left="454"/>
      </w:pPr>
      <w:r>
        <w:rPr>
          <w:rFonts w:ascii="Times New Roman" w:hAnsi="Times New Roman" w:eastAsia="Songti SC"/>
          <w:color w:val="000000"/>
          <w:sz w:val="21"/>
        </w:rPr>
        <w:t xml:space="preserve">[19] MADAAN A, TANDON N, GUPTA P, et al. Self-Refine: Iterative refinement with self-feedback[EB/OL]. arXiv:2303.17651v2, 2023[2026-09-13]. DOI: 10.48550/arXiv.2303.17651. </w:t>
      </w:r>
      <w:hyperlink r:id="rId29">
        <w:r>
          <w:t>来源</w:t>
        </w:r>
      </w:hyperlink>
    </w:p>
    <w:p>
      <w:pPr>
        <w:keepLines/>
        <w:spacing w:line="280" w:lineRule="exact" w:after="160"/>
        <w:ind w:hanging="454" w:left="454"/>
      </w:pPr>
      <w:r>
        <w:rPr>
          <w:rFonts w:ascii="Times New Roman" w:hAnsi="Times New Roman" w:eastAsia="Songti SC"/>
          <w:color w:val="000000"/>
          <w:sz w:val="21"/>
        </w:rPr>
        <w:t xml:space="preserve">[20] HUANG J, CHEN X, MISHRA S, et al. Large language models cannot self-correct reasoning yet[EB/OL]. arXiv:2310.01798v2, 2024[2026-09-13]. DOI: 10.48550/arXiv.2310.01798. </w:t>
      </w:r>
      <w:hyperlink r:id="rId30">
        <w:r>
          <w:t>来源</w:t>
        </w:r>
      </w:hyperlink>
    </w:p>
    <w:p>
      <w:pPr>
        <w:keepLines/>
        <w:spacing w:line="280" w:lineRule="exact" w:after="160"/>
        <w:ind w:hanging="454" w:left="454"/>
      </w:pPr>
      <w:r>
        <w:rPr>
          <w:rFonts w:ascii="Times New Roman" w:hAnsi="Times New Roman" w:eastAsia="Songti SC"/>
          <w:color w:val="000000"/>
          <w:sz w:val="21"/>
        </w:rPr>
        <w:t xml:space="preserve">[21] WANG X, WEI J, SCHUURMANS D, et al. Self-consistency improves chain of thought reasoning in language models[EB/OL]. arXiv:2203.11171v4, 2023[2026-09-13]. DOI: 10.48550/arXiv.2203.11171. </w:t>
      </w:r>
      <w:hyperlink r:id="rId31">
        <w:r>
          <w:t>来源</w:t>
        </w:r>
      </w:hyperlink>
    </w:p>
    <w:p>
      <w:pPr>
        <w:keepLines/>
        <w:spacing w:line="280" w:lineRule="exact" w:after="160"/>
        <w:ind w:hanging="454" w:left="454"/>
      </w:pPr>
      <w:r>
        <w:rPr>
          <w:rFonts w:ascii="Times New Roman" w:hAnsi="Times New Roman" w:eastAsia="Songti SC"/>
          <w:color w:val="000000"/>
          <w:sz w:val="21"/>
        </w:rPr>
        <w:t xml:space="preserve">[22]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hyperlink r:id="rId32">
        <w:r>
          <w:t>来源</w:t>
        </w:r>
      </w:hyperlink>
    </w:p>
    <w:p>
      <w:pPr>
        <w:keepLines/>
        <w:spacing w:line="280" w:lineRule="exact" w:after="160"/>
        <w:ind w:hanging="454" w:left="454"/>
      </w:pPr>
      <w:r>
        <w:rPr>
          <w:rFonts w:ascii="Times New Roman" w:hAnsi="Times New Roman" w:eastAsia="Songti SC"/>
          <w:color w:val="000000"/>
          <w:sz w:val="21"/>
        </w:rPr>
        <w:t xml:space="preserve">[23] MORIO G, OZAKI H, MORISHITA T, et al. End-to-end argument mining with cross-corpora multi-task learning[J]. Transactions of the Association for Computational Linguistics, 2022, 10: 639–658. DOI: 10.1162/tacl_a_00481. </w:t>
      </w:r>
      <w:hyperlink r:id="rId33">
        <w:r>
          <w:t>来源</w:t>
        </w:r>
      </w:hyperlink>
    </w:p>
    <w:p>
      <w:pPr>
        <w:keepLines/>
        <w:spacing w:line="280" w:lineRule="exact" w:after="160"/>
        <w:ind w:hanging="454" w:left="454"/>
      </w:pPr>
      <w:r>
        <w:rPr>
          <w:rFonts w:ascii="Times New Roman" w:hAnsi="Times New Roman" w:eastAsia="Songti SC"/>
          <w:color w:val="000000"/>
          <w:sz w:val="21"/>
        </w:rPr>
        <w:t xml:space="preserve">[24]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hyperlink r:id="rId34">
        <w:r>
          <w:t>来源</w:t>
        </w:r>
      </w:hyperlink>
    </w:p>
    <w:p>
      <w:pPr>
        <w:keepLines/>
        <w:spacing w:line="280" w:lineRule="exact" w:after="160"/>
        <w:ind w:hanging="454" w:left="454"/>
      </w:pPr>
      <w:r>
        <w:rPr>
          <w:rFonts w:ascii="Times New Roman" w:hAnsi="Times New Roman" w:eastAsia="Songti SC"/>
          <w:color w:val="000000"/>
          <w:sz w:val="21"/>
        </w:rPr>
        <w:t xml:space="preserve">[25]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hyperlink r:id="rId35">
        <w:r>
          <w:t>来源</w:t>
        </w:r>
      </w:hyperlink>
    </w:p>
    <w:p>
      <w:pPr>
        <w:keepLines/>
        <w:spacing w:line="280" w:lineRule="exact" w:after="160"/>
        <w:ind w:hanging="454" w:left="454"/>
      </w:pPr>
      <w:r>
        <w:rPr>
          <w:rFonts w:ascii="Times New Roman" w:hAnsi="Times New Roman" w:eastAsia="Songti SC"/>
          <w:color w:val="000000"/>
          <w:sz w:val="21"/>
        </w:rPr>
        <w:t xml:space="preserve">[26]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hyperlink r:id="rId36">
        <w:r>
          <w:t>来源</w:t>
        </w:r>
      </w:hyperlink>
    </w:p>
    <w:p>
      <w:pPr>
        <w:keepLines/>
        <w:spacing w:line="280" w:lineRule="exact" w:after="160"/>
        <w:ind w:hanging="454" w:left="454"/>
      </w:pPr>
      <w:r>
        <w:rPr>
          <w:rFonts w:ascii="Times New Roman" w:hAnsi="Times New Roman" w:eastAsia="Songti SC"/>
          <w:color w:val="000000"/>
          <w:sz w:val="21"/>
        </w:rPr>
        <w:t xml:space="preserve">[27] VASWANI A, SHAZEER N, PARMAR N, et al. Attention is all you need[EB/OL]. arXiv:1706.03762, 2017[2026-09-13]. DOI: 10.48550/arXiv.1706.03762. </w:t>
      </w:r>
      <w:hyperlink r:id="rId37">
        <w:r>
          <w:t>来源</w:t>
        </w:r>
      </w:hyperlink>
    </w:p>
    <w:p>
      <w:pPr>
        <w:keepLines/>
        <w:spacing w:line="280" w:lineRule="exact" w:after="160"/>
        <w:ind w:hanging="454" w:left="454"/>
      </w:pPr>
      <w:r>
        <w:rPr>
          <w:rFonts w:ascii="Times New Roman" w:hAnsi="Times New Roman" w:eastAsia="Songti SC"/>
          <w:color w:val="000000"/>
          <w:sz w:val="21"/>
        </w:rPr>
        <w:t xml:space="preserve">[28] QWEN TEAM. Qwen2.5 technical report[EB/OL]. arXiv:2412.15115, 2024[2026-09-13]. DOI: 10.48550/arXiv.2412.15115. </w:t>
      </w:r>
      <w:hyperlink r:id="rId38">
        <w:r>
          <w:t>来源</w:t>
        </w:r>
      </w:hyperlink>
    </w:p>
    <w:p>
      <w:pPr>
        <w:keepLines/>
        <w:spacing w:line="280" w:lineRule="exact" w:after="160"/>
        <w:ind w:hanging="454" w:left="454"/>
      </w:pPr>
      <w:r>
        <w:rPr>
          <w:rFonts w:ascii="Times New Roman" w:hAnsi="Times New Roman" w:eastAsia="Songti SC"/>
          <w:color w:val="000000"/>
          <w:sz w:val="21"/>
        </w:rPr>
        <w:t xml:space="preserve">[29] HU E J, SHEN Y, WALLIS P, et al. LoRA: Low-rank adaptation of large language models[EB/OL]. arXiv:2106.09685, 2021[2026-09-13]. DOI: 10.48550/arXiv.2106.09685. </w:t>
      </w:r>
      <w:hyperlink r:id="rId39">
        <w:r>
          <w:t>来源</w:t>
        </w:r>
      </w:hyperlink>
    </w:p>
    <w:p>
      <w:pPr>
        <w:keepLines/>
        <w:spacing w:line="280" w:lineRule="exact" w:after="160"/>
        <w:ind w:hanging="454" w:left="454"/>
      </w:pPr>
      <w:r>
        <w:rPr>
          <w:rFonts w:ascii="Times New Roman" w:hAnsi="Times New Roman" w:eastAsia="Songti SC"/>
          <w:color w:val="000000"/>
          <w:sz w:val="21"/>
        </w:rPr>
        <w:t xml:space="preserve">[30] LESTER B, AL-RFOU R, CONSTANT N. The power of scale for parameter-efficient prompt tuning[C]//Proceedings of the 2021 Conference on Empirical Methods in Natural Language Processing. Association for Computational Linguistics, 2021: 3045–3059. DOI: 10.18653/v1/2021.emnlp-main.243. </w:t>
      </w:r>
      <w:hyperlink r:id="rId40">
        <w:r>
          <w:t>来源</w:t>
        </w:r>
      </w:hyperlink>
    </w:p>
    <w:p>
      <w:pPr>
        <w:pStyle w:val="Heading1"/>
      </w:pPr>
      <w:r>
        <w:t>附录A 复现与证据核验清单</w:t>
      </w:r>
    </w:p>
    <w:p>
      <w:pPr>
        <w:spacing w:line="380" w:lineRule="exact"/>
      </w:pPr>
      <w:r>
        <w:rPr>
          <w:rFonts w:ascii="Times New Roman" w:hAnsi="Times New Roman" w:eastAsia="Songti SC"/>
          <w:color w:val="000000"/>
          <w:sz w:val="22"/>
        </w:rPr>
        <w:t>本附录保留工作稿中的未决事项。每项应以配置、日志、数据清单或实验结果解决，不能只删去标记。</w:t>
      </w:r>
    </w:p>
    <w:p>
      <w:pPr>
        <w:keepNext/>
        <w:spacing w:line="380" w:lineRule="exact"/>
        <w:ind w:firstLine="0"/>
        <w:jc w:val="center"/>
      </w:pPr>
      <w:r>
        <w:rPr>
          <w:rFonts w:ascii="Times New Roman" w:hAnsi="Times New Roman" w:eastAsia="Songti SC"/>
          <w:color w:val="000000"/>
          <w:sz w:val="22"/>
        </w:rPr>
        <w:t>表A-1 待核验事项及最低交付证据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3005"/>
        <w:gridCol w:w="5046"/>
      </w:tblGrid>
      <w:tr>
        <w:trPr>
          <w:cantSplit/>
          <w:tblHeader/>
        </w:trPr>
        <w:tc>
          <w:tcPr>
            <w:tcW w:type="dxa" w:w="850"/>
            <w:vAlign w:val="center"/>
            <w:tcMar>
              <w:top w:w="70" w:type="dxa"/>
              <w:bottom w:w="70" w:type="dxa"/>
              <w:left w:w="80" w:type="dxa"/>
              <w:right w:w="80" w:type="dxa"/>
            </w:tcMar>
            <w:shd w:fill="E7E7E7"/>
          </w:tcPr>
          <w:p>
            <w:pPr>
              <w:spacing w:line="300" w:lineRule="exact" w:after="0"/>
              <w:ind w:firstLine="0"/>
              <w:jc w:val="left"/>
            </w:pPr>
            <w:r>
              <w:rPr>
                <w:rFonts w:ascii="Times New Roman" w:hAnsi="Times New Roman" w:eastAsia="Songti SC"/>
                <w:b/>
                <w:color w:val="000000"/>
                <w:sz w:val="20"/>
              </w:rPr>
              <w:t>编号</w:t>
            </w:r>
          </w:p>
        </w:tc>
        <w:tc>
          <w:tcPr>
            <w:tcW w:type="dxa" w:w="3005"/>
            <w:vAlign w:val="center"/>
            <w:tcMar>
              <w:top w:w="70" w:type="dxa"/>
              <w:bottom w:w="70" w:type="dxa"/>
              <w:left w:w="80" w:type="dxa"/>
              <w:right w:w="80" w:type="dxa"/>
            </w:tcMar>
            <w:shd w:fill="E7E7E7"/>
          </w:tcPr>
          <w:p>
            <w:pPr>
              <w:spacing w:line="300" w:lineRule="exact" w:after="0"/>
              <w:ind w:firstLine="0"/>
              <w:jc w:val="center"/>
            </w:pPr>
            <w:r>
              <w:rPr>
                <w:rFonts w:ascii="Times New Roman" w:hAnsi="Times New Roman" w:eastAsia="Songti SC"/>
                <w:b/>
                <w:color w:val="000000"/>
                <w:sz w:val="20"/>
              </w:rPr>
              <w:t>位置与事项</w:t>
            </w:r>
          </w:p>
        </w:tc>
        <w:tc>
          <w:tcPr>
            <w:tcW w:type="dxa" w:w="5046"/>
            <w:vAlign w:val="center"/>
            <w:tcMar>
              <w:top w:w="70" w:type="dxa"/>
              <w:bottom w:w="70" w:type="dxa"/>
              <w:left w:w="80" w:type="dxa"/>
              <w:right w:w="80" w:type="dxa"/>
            </w:tcMar>
            <w:shd w:fill="E7E7E7"/>
          </w:tcPr>
          <w:p>
            <w:pPr>
              <w:spacing w:line="300" w:lineRule="exact" w:after="0"/>
              <w:ind w:firstLine="0"/>
              <w:jc w:val="center"/>
            </w:pPr>
            <w:r>
              <w:rPr>
                <w:rFonts w:ascii="Times New Roman" w:hAnsi="Times New Roman" w:eastAsia="Songti SC"/>
                <w:b/>
                <w:color w:val="000000"/>
                <w:sz w:val="20"/>
              </w:rPr>
              <w:t>所需证据</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3.1 类别分布</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固定训练划分的类型计数、跨度长度及增强前后IR</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3.2 增强流程</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模型与提示版本、生成及筛选计数、数据混合和跨度回填实现</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R03</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3.3 门控因果性</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字段顺序、首token处理、训练与推理门控轨迹、参数预算</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R04</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3.3 提示与辅助目标</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词典、插入位置、句子池化、损失mask及归一化</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R05</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3.4 结果配置冲突</w:t>
            </w:r>
          </w:p>
        </w:tc>
        <w:tc>
          <w:tcPr>
            <w:tcW w:type="dxa" w:w="5046"/>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81.67与77.82、两处83.71各自对应的run ID</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R06</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4.2 候选规范化</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重叠消解规则、置信度与ID重映射、解析失败记录</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R07</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4.3至4.4 评分与触发</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评价节点选择、结构角色判定、阈值与比较方向</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R08</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4.4 动作可执行性</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前置条件、字段修改、组件插入是否存在、回退记录</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R09</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4.5 实验配置</w:t>
            </w:r>
          </w:p>
        </w:tc>
        <w:tc>
          <w:tcPr>
            <w:tcW w:type="dxa" w:w="5046"/>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划分ID、评价脚本、超参数、种子、重复数、硬件及统计量定义</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R10</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4.5 基线与预算</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外部分类型来源、内部复现日志、相同预算比较</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4.7 验证器</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提示、模型版本、固定候选池和人工边级评价</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4.7 Oracle</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选择指标、替换对象、端点匹配及汇总顺序</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R13</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4.7 行为统计</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统计分母、生成阶段、前后数量和尝试或接受动作定义</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R14</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5.3至5.4 迁移协议</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输出标签空间、目标数据使用记录和统一评价脚本</w:t>
            </w:r>
          </w:p>
        </w:tc>
      </w:tr>
    </w:tbl>
    <w:p>
      <w:pPr>
        <w:spacing w:after="0" w:line="240" w:lineRule="auto"/>
      </w:pPr>
    </w:p>
    <w:p>
      <w:pPr>
        <w:spacing w:line="380" w:lineRule="exact"/>
      </w:pPr>
      <w:r>
        <w:rPr>
          <w:rFonts w:ascii="Times New Roman" w:hAnsi="Times New Roman" w:eastAsia="Songti SC"/>
          <w:color w:val="000000"/>
          <w:sz w:val="22"/>
        </w:rPr>
        <w:t>最小补实验顺序为：先复现同一Single-Pass和Full配置，再在固定候选池上比较序列概率、验证器评分和BR；其后完成增强独立消融、合法性与语义评分消融、等计算预算对比。验证器人工评价和跨域扩展应在评价脚本稳定后开展，以免重复标注和重跑。</w:t>
      </w:r>
    </w:p>
    <w:p>
      <w:pPr>
        <w:pStyle w:val="Heading1"/>
      </w:pPr>
      <w:r>
        <w:t>附录B 算法修订建议</w:t>
      </w:r>
    </w:p>
    <w:p>
      <w:pPr>
        <w:spacing w:line="380" w:lineRule="exact"/>
      </w:pPr>
      <w:r>
        <w:rPr>
          <w:rFonts w:ascii="Times New Roman" w:hAnsi="Times New Roman" w:eastAsia="Songti SC"/>
          <w:color w:val="000000"/>
          <w:sz w:val="22"/>
        </w:rPr>
        <w:t>本附录仅给出针对第四章逻辑缺口的可实验建议，未声明已经实现，也未使用原稿分数验证这些建议。</w:t>
      </w:r>
    </w:p>
    <w:p>
      <w:pPr>
        <w:pStyle w:val="Heading2"/>
      </w:pPr>
      <w:r>
        <w:t>B.1 合法候选优先与失败处理</w:t>
      </w:r>
    </w:p>
    <w:p>
      <w:pPr>
        <w:spacing w:line="380" w:lineRule="exact"/>
      </w:pPr>
      <w:r>
        <w:rPr>
          <w:rFonts w:ascii="Times New Roman" w:hAnsi="Times New Roman" w:eastAsia="Songti SC"/>
          <w:color w:val="000000"/>
          <w:sz w:val="22"/>
        </w:rPr>
        <w:t>可先对可解析候选执行确定性检查，在存在合法候选时仅对合法子集按语义与覆盖分数排序。若所有候选均不合法，应返回显式失败状态，或进入单独定义的合法化阶段，而不是继续宣称输出有硬合法性保证。保守删除和重新生成会改变召回与计算预算，必须作为独立配置评测。</w:t>
      </w:r>
    </w:p>
    <w:p>
      <w:pPr>
        <w:pStyle w:val="Heading2"/>
      </w:pPr>
      <w:r>
        <w:t>B.2 非法状态下的阶段性修复</w:t>
      </w:r>
    </w:p>
    <w:p>
      <w:pPr>
        <w:spacing w:line="380" w:lineRule="exact"/>
      </w:pPr>
      <w:r>
        <w:rPr>
          <w:rFonts w:ascii="Times New Roman" w:hAnsi="Times New Roman" w:eastAsia="Songti SC"/>
          <w:color w:val="000000"/>
          <w:sz w:val="22"/>
        </w:rPr>
        <w:t>若允许从非法图逐步恢复，可定义有限的违规计数并使用词典序目标，先降低确定性违规，再在合法集合内优化代理分数。该策略改变了当前“修改后全图立即合法”的接受条件，因此需要新的终止与回退说明。也可以把能够一起消除相关错误的操作定义为原子事务，但不应把任意多次修改包装为一次动作从而规避预算统计。</w:t>
      </w:r>
    </w:p>
    <w:p>
      <w:pPr>
        <w:pStyle w:val="Heading2"/>
      </w:pPr>
      <w:r>
        <w:t>B.3 节点补回与总调用预算</w:t>
      </w:r>
    </w:p>
    <w:p>
      <w:pPr>
        <w:spacing w:line="380" w:lineRule="exact"/>
      </w:pPr>
      <w:r>
        <w:rPr>
          <w:rFonts w:ascii="Times New Roman" w:hAnsi="Times New Roman" w:eastAsia="Songti SC"/>
          <w:color w:val="000000"/>
          <w:sz w:val="22"/>
        </w:rPr>
        <w:t>若希望补回遗漏Claim，应显式定义Insert或联合替换动作，说明新跨度来自哪个候选、如何消解重叠、如何更新ID以及哪些边需要重预测。若不增加该动作，则应保留当前方法不能一般性补回缺失节点的限制。</w:t>
      </w:r>
    </w:p>
    <w:p>
      <w:pPr>
        <w:spacing w:line="380" w:lineRule="exact"/>
      </w:pPr>
      <w:r>
        <w:rPr>
          <w:rFonts w:ascii="Times New Roman" w:hAnsi="Times New Roman" w:eastAsia="Songti SC"/>
          <w:color w:val="000000"/>
          <w:sz w:val="22"/>
        </w:rPr>
        <w:t>总预算可分别设置为最大动作尝试数、最大生成调用数、最大验证调用数和最大输出token数，并将所有被拒绝操作计入预算。具体数值应根据验证集上的性能—成本曲线确定，本稿不代填。新增预算策略后，需要重新报告与基线在等预算下的结果。</w:t>
      </w:r>
    </w:p>
    <w:p>
      <w:pPr>
        <w:pStyle w:val="Heading2"/>
      </w:pPr>
      <w:r>
        <w:t>B.4 建议的可复现实验记录</w:t>
      </w:r>
    </w:p>
    <w:p>
      <w:pPr>
        <w:spacing w:line="380" w:lineRule="exact"/>
      </w:pPr>
      <w:r>
        <w:rPr>
          <w:rFonts w:ascii="Times New Roman" w:hAnsi="Times New Roman" w:eastAsia="Songti SC"/>
          <w:color w:val="000000"/>
          <w:sz w:val="22"/>
        </w:rPr>
        <w:t>每个测试文档可记录文档ID、检查点与提示哈希、候选原始输出、规范化结果、各分量评分、选中候选、触发异常、每次动作尝试与回退原因、调用及token消耗、最终预测。该记录有助于核验评分是否因验证器随机性变化，以及代理目标改善是否真正对应任务F1改善。</w:t>
      </w:r>
    </w:p>
    <w:p>
      <w:pPr>
        <w:pStyle w:val="Heading1"/>
      </w:pPr>
      <w:r>
        <w:t>附录C 修订与辅助工具使用说明</w:t>
      </w:r>
    </w:p>
    <w:p>
      <w:pPr>
        <w:spacing w:line="380" w:lineRule="exact"/>
      </w:pPr>
      <w:commentRangeStart w:id="10"/>
      <w:r>
        <w:rPr>
          <w:rFonts w:ascii="Times New Roman" w:hAnsi="Times New Roman" w:eastAsia="Songti SC"/>
          <w:color w:val="000000"/>
          <w:sz w:val="22"/>
        </w:rPr>
        <w:t>0914版在0913版基础上，参照academic-research-suite的论文修订、文献检索和引用核查要求，依据作者认可的贡献定位进行修改。辅助工作包括研究主线整理、近期公开文献核查、任务与评价边界比较、局部措辞修订、引用编号检查和Word排版，并保存逐段差异及修改说明。未运行训练实验，未生成人工标注结果，未将论文全文上传外部研究服务，未代替作者确认研究事实。当前遗留稿件缺少完整逐块路线图与裁决链，本轮使用可追溯局部补丁记录，不声称通过ARS全套逐块授权或研究完整性认证。作者应审阅修改，核对引用、实现和数据，并按学校及学院适用要求确认辅助工具披露方式。</w:t>
      </w:r>
      <w:commentRangeEnd w:id="10"/>
      <w:r>
        <w:commentReference w:id="10"/>
      </w:r>
    </w:p>
    <w:p>
      <w:pPr>
        <w:spacing w:line="380" w:lineRule="exact"/>
      </w:pPr>
      <w:r>
        <w:rPr>
          <w:rFonts w:ascii="Times New Roman" w:hAnsi="Times New Roman" w:eastAsia="Songti SC"/>
          <w:color w:val="000000"/>
          <w:sz w:val="22"/>
        </w:rPr>
        <w:t>原稿列出的作者阶段性成果及其发表状态尚缺可核验材料，本稿不将其认定为虚假，也不继续作“已发表”陈述。后续可依据论文首页、录用通知或出版社记录补充成果页。</w:t>
      </w:r>
    </w:p>
    <w:sectPr w:rsidR="00FC693F" w:rsidRPr="0006063C" w:rsidSect="00034616">
      <w:headerReference w:type="default" r:id="rId9"/>
      <w:footerReference w:type="default" r:id="rId10"/>
      <w:pgSz w:w="11906" w:h="16838"/>
      <w:pgMar w:top="1417" w:right="1417" w:bottom="1417" w:left="1587" w:header="737" w:footer="737" w:gutter="0"/>
      <w:cols w:space="720"/>
      <w:pgNumType w:start="1"/>
    </w:sectPr>
  </w:body>
</w:document>
</file>

<file path=word/comments.xml><?xml version="1.0" encoding="utf-8"?>
<w:comments xmlns:w="http://schemas.openxmlformats.org/wordprocessingml/2006/main">
  <w:comment w:id="0" w:author="Codex 0914修订" w:date="2026-09-14T01:23:46Z">
    <w:p>
      <w:r>
        <w:t>0914修改：中英文摘要统一为训练阶段局部结构保持增强、推理阶段候选图评估与局部修正。保留现有实验数值，不将Full结果重复归因于某一模块。</w:t>
      </w:r>
    </w:p>
  </w:comment>
  <w:comment w:id="1" w:author="Codex 0914修订" w:date="2026-09-14T01:23:46Z">
    <w:p>
      <w:r>
        <w:t>0914修改：相关工作由五节调整为六节，增加9篇文献（8篇为2025—2026年），区分原始文本抽取、给定组件分类、话轮分割与系统演示。</w:t>
      </w:r>
    </w:p>
  </w:comment>
  <w:comment w:id="2" w:author="Codex 0914修订" w:date="2026-09-14T01:23:46Z">
    <w:p>
      <w:r>
        <w:t>0914修改：两项方法贡献加一项验证工作。LoRA、连续提示、辅助损失不各自作为独立创新；跨语料映射不称为新算法。</w:t>
      </w:r>
    </w:p>
  </w:comment>
  <w:comment w:id="3" w:author="Codex 0914修订" w:date="2026-09-14T01:23:46Z">
    <w:p>
      <w:r>
        <w:t>0914新增：两个阶段共享任务表示，但未定义验证器反馈反向传播的联合训练；明确固定训练配置与候选池的归因条件。</w:t>
      </w:r>
    </w:p>
  </w:comment>
  <w:comment w:id="4" w:author="Codex 0914修订" w:date="2026-09-14T01:23:46Z">
    <w:p>
      <w:r>
        <w:t>0914修改：第三章聚焦结论中心局部子图及监督保持机制，Adapter等作为配套模块；门控与增强配置仍需代码核验。</w:t>
      </w:r>
    </w:p>
  </w:comment>
  <w:comment w:id="5" w:author="Codex 0914修订" w:date="2026-09-14T01:23:46Z">
    <w:p>
      <w:r>
        <w:t>0914修改：补充DENIM及关联关键短语方法的相邻关系，避免将结构或线索利用作宽泛原创主张。</w:t>
      </w:r>
    </w:p>
  </w:comment>
  <w:comment w:id="6" w:author="Codex 0914修订" w:date="2026-09-14T01:23:46Z">
    <w:p>
      <w:r>
        <w:t>0914修改：第四章与创新点二同步；有界指轮数和接受动作限制，不代表全部模型调用上界，也不保证遗漏节点恢复。</w:t>
      </w:r>
    </w:p>
  </w:comment>
  <w:comment w:id="7" w:author="Codex 0914修订" w:date="2026-09-14T01:23:46Z">
    <w:p>
      <w:r>
        <w:t>0914新增：区分优先补做的同协议基线与只能作机制讨论的相邻研究。未向实验表格添加未经运行的新方法分数。</w:t>
      </w:r>
    </w:p>
  </w:comment>
  <w:comment w:id="8" w:author="Codex 0914修订" w:date="2026-09-14T01:23:46Z">
    <w:p>
      <w:r>
        <w:t>0914修改：第五章补入MT-AM与2025泛化研究，区分辅助语料训练和源域零样本迁移；映射表与实验数值保持不变。</w:t>
      </w:r>
    </w:p>
  </w:comment>
  <w:comment w:id="9" w:author="Codex 0914修订" w:date="2026-09-14T01:23:46Z">
    <w:p>
      <w:r>
        <w:t>0914修改：总结对应两项方法贡献和验证工作，保留独立消融、配置追踪及预算匹配的未决条件。</w:t>
      </w:r>
    </w:p>
  </w:comment>
  <w:comment w:id="10" w:author="Codex 0914修订" w:date="2026-09-14T01:23:46Z">
    <w:p>
      <w:r>
        <w:t>0914修改：更新辅助工具使用与修订可追溯性说明；未运行新实验，不声称完成ARS全套逐块授权或研究完整性认证。</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0914修订工作稿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themeFontLang w:val="en-US" w:eastAsia="zh-C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napToGrid w:val="0"/>
      <w:spacing w:line="420" w:lineRule="exact" w:after="80"/>
      <w:ind w:firstLine="480"/>
    </w:pPr>
    <w:rPr>
      <w:rFonts w:ascii="Times New Roman" w:hAnsi="Times New Roman" w:eastAsia="Songti SC"/>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312" w:lineRule="auto"/>
      <w:ind w:firstLine="0"/>
      <w:jc w:val="center"/>
      <w:outlineLvl w:val="0"/>
      <w:pageBreakBefore/>
      <w:snapToGrid w:val="0"/>
    </w:pPr>
    <w:rPr>
      <w:rFonts w:cstheme="majorBidi" w:ascii="Times New Roman" w:hAnsi="Times New Roman" w:eastAsia="Hiragino Sans GB"/>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line="312" w:lineRule="auto"/>
      <w:ind w:firstLine="0"/>
      <w:outlineLvl w:val="1"/>
      <w:snapToGrid w:val="0"/>
    </w:pPr>
    <w:rPr>
      <w:rFonts w:cstheme="majorBidi" w:ascii="Times New Roman" w:hAnsi="Times New Roman" w:eastAsia="Hiragino Sans GB"/>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line="312" w:lineRule="auto"/>
      <w:ind w:firstLine="0"/>
      <w:outlineLvl w:val="2"/>
      <w:snapToGrid w:val="0"/>
    </w:pPr>
    <w:rPr>
      <w:rFonts w:cstheme="majorBidi" w:ascii="Times New Roman" w:hAnsi="Times New Roman" w:eastAsia="Hiragino Sans GB"/>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snapToGrid w:val="0"/>
      <w:jc w:val="center"/>
    </w:pPr>
    <w:rPr>
      <w:rFonts w:cstheme="majorBidi" w:ascii="Times New Roman" w:hAnsi="Times New Roman" w:eastAsia="Hiragino Sans GB"/>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cstheme="majorBidi" w:ascii="Times New Roman" w:hAnsi="Times New Roman" w:eastAsia="Songti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J19-4006/" TargetMode="External"/><Relationship Id="rId12" Type="http://schemas.openxmlformats.org/officeDocument/2006/relationships/hyperlink" Target="https://aclanthology.org/J17-3005/" TargetMode="External"/><Relationship Id="rId13" Type="http://schemas.openxmlformats.org/officeDocument/2006/relationships/hyperlink" Target="https://aclanthology.org/L18-1257/" TargetMode="External"/><Relationship Id="rId14" Type="http://schemas.openxmlformats.org/officeDocument/2006/relationships/hyperlink" Target="https://aclanthology.org/P17-1002/" TargetMode="External"/><Relationship Id="rId15" Type="http://schemas.openxmlformats.org/officeDocument/2006/relationships/hyperlink" Target="https://aclanthology.org/2020.acl-main.298/" TargetMode="External"/><Relationship Id="rId16" Type="http://schemas.openxmlformats.org/officeDocument/2006/relationships/hyperlink" Target="https://aclanthology.org/2026.findings-eacl.272/" TargetMode="External"/><Relationship Id="rId17" Type="http://schemas.openxmlformats.org/officeDocument/2006/relationships/hyperlink" Target="https://aclanthology.org/2024.eacl-long.121/" TargetMode="External"/><Relationship Id="rId18" Type="http://schemas.openxmlformats.org/officeDocument/2006/relationships/hyperlink" Target="https://aclanthology.org/2025.coling-main.442/" TargetMode="External"/><Relationship Id="rId19" Type="http://schemas.openxmlformats.org/officeDocument/2006/relationships/hyperlink" Target="https://arxiv.org/abs/2510.16363v1" TargetMode="External"/><Relationship Id="rId20" Type="http://schemas.openxmlformats.org/officeDocument/2006/relationships/hyperlink" Target="https://ojs.aaai.org/index.php/AAAI/article/view/42335" TargetMode="External"/><Relationship Id="rId21" Type="http://schemas.openxmlformats.org/officeDocument/2006/relationships/hyperlink" Target="https://arxiv.org/abs/2506.16383v6" TargetMode="External"/><Relationship Id="rId22" Type="http://schemas.openxmlformats.org/officeDocument/2006/relationships/hyperlink" Target="https://aclanthology.org/2024.findings-acl.689/" TargetMode="External"/><Relationship Id="rId23" Type="http://schemas.openxmlformats.org/officeDocument/2006/relationships/hyperlink" Target="https://aclanthology.org/2025.findings-naacl.319/" TargetMode="External"/><Relationship Id="rId24" Type="http://schemas.openxmlformats.org/officeDocument/2006/relationships/hyperlink" Target="https://aclanthology.org/2025.acl-long.691/" TargetMode="External"/><Relationship Id="rId25" Type="http://schemas.openxmlformats.org/officeDocument/2006/relationships/hyperlink" Target="https://aclanthology.org/2024.findings-acl.97/" TargetMode="External"/><Relationship Id="rId26" Type="http://schemas.openxmlformats.org/officeDocument/2006/relationships/hyperlink" Target="https://aclanthology.org/2024.findings-naacl.238/" TargetMode="External"/><Relationship Id="rId27" Type="http://schemas.openxmlformats.org/officeDocument/2006/relationships/hyperlink" Target="https://arxiv.org/abs/2311.09505v1" TargetMode="External"/><Relationship Id="rId28" Type="http://schemas.openxmlformats.org/officeDocument/2006/relationships/hyperlink" Target="https://aclanthology.org/2023.emnlp-main.674/" TargetMode="External"/><Relationship Id="rId29" Type="http://schemas.openxmlformats.org/officeDocument/2006/relationships/hyperlink" Target="https://arxiv.org/abs/2303.17651v2" TargetMode="External"/><Relationship Id="rId30" Type="http://schemas.openxmlformats.org/officeDocument/2006/relationships/hyperlink" Target="https://arxiv.org/abs/2310.01798v2" TargetMode="External"/><Relationship Id="rId31" Type="http://schemas.openxmlformats.org/officeDocument/2006/relationships/hyperlink" Target="https://arxiv.org/abs/2203.11171v4" TargetMode="External"/><Relationship Id="rId32" Type="http://schemas.openxmlformats.org/officeDocument/2006/relationships/hyperlink" Target="https://aclanthology.org/2025.aimecon-main.13/" TargetMode="External"/><Relationship Id="rId33" Type="http://schemas.openxmlformats.org/officeDocument/2006/relationships/hyperlink" Target="https://aclanthology.org/2022.tacl-1.37/" TargetMode="External"/><Relationship Id="rId34" Type="http://schemas.openxmlformats.org/officeDocument/2006/relationships/hyperlink" Target="https://aclanthology.org/2025.acl-long.1164/" TargetMode="External"/><Relationship Id="rId35" Type="http://schemas.openxmlformats.org/officeDocument/2006/relationships/hyperlink" Target="https://aclanthology.org/2023.emnlp-main.582/" TargetMode="External"/><Relationship Id="rId36" Type="http://schemas.openxmlformats.org/officeDocument/2006/relationships/hyperlink" Target="https://aclanthology.org/2022.acl-long.162/" TargetMode="External"/><Relationship Id="rId37" Type="http://schemas.openxmlformats.org/officeDocument/2006/relationships/hyperlink" Target="https://arxiv.org/abs/1706.03762" TargetMode="External"/><Relationship Id="rId38" Type="http://schemas.openxmlformats.org/officeDocument/2006/relationships/hyperlink" Target="https://arxiv.org/abs/2412.15115" TargetMode="External"/><Relationship Id="rId39" Type="http://schemas.openxmlformats.org/officeDocument/2006/relationships/hyperlink" Target="https://arxiv.org/abs/2106.09685" TargetMode="External"/><Relationship Id="rId40" Type="http://schemas.openxmlformats.org/officeDocument/2006/relationships/hyperlink" Target="https://aclanthology.org/2021.emnlp-main.243/" TargetMode="External"/><Relationship Id="rId4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基于大语言模型的端到端论辩挖掘方法研究</dc:title>
  <dc:subject>0914修订工作稿</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