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0914-v2修订工作稿</w:t>
      </w:r>
    </w:p>
    <w:p>
      <w:pPr>
        <w:spacing w:before="300"/>
        <w:ind w:firstLine="0"/>
        <w:jc w:val="center"/>
      </w:pPr>
      <w:r>
        <w:t>2026年9月14日</w:t>
      </w:r>
    </w:p>
    <w:p>
      <w:pPr>
        <w:pStyle w:val="Heading1"/>
      </w:pPr>
      <w:r>
        <w:t>版本说明</w:t>
      </w:r>
    </w:p>
    <w:p>
      <w:commentRangeStart w:id="11"/>
      <w:r>
        <w:rPr>
          <w:rFonts w:ascii="Times New Roman" w:hAnsi="Times New Roman" w:eastAsia="Songti SC"/>
          <w:color w:val="000000"/>
        </w:rPr>
        <w:t>本稿在0914修订稿基础上核对实验配置，并依据作者授权新建argument_mining_0914参考项目。原有实验表格、数值和近期文献定位保持不变；本次完成软件层面的构造样例测试及随机初始化小模型测试，没有运行AAEC/CDCP正式训练或复现原表。新代码不是原实验代码的恢复，不能追溯性地证明原分数。文中“原稿记录”指从旧稿继承的结果，“新参考实现”指本次明确并编码的协议，二者不得混用。修改与核验边界详见随稿《0914_v2实验配置核对与修改说明》。</w:t>
      </w:r>
      <w:commentRangeEnd w:id="11"/>
      <w:r>
        <w:commentReference w:id="11"/>
      </w:r>
    </w:p>
    <w:p>
      <w:r>
        <w:rPr>
          <w:rFonts w:ascii="Times New Roman" w:hAnsi="Times New Roman" w:eastAsia="Songti SC"/>
          <w:color w:val="000000"/>
        </w:rPr>
        <w:t>目前没有原实验项目、原始日志和数据划分材料。第三章与第四章Single-Pass的81.67和77.82、两处Full的83.71仍缺run ID对应关系；新增代码不能消除这一历史证据缺口。门控、评价、修正预算等已获得可执行的新定义，但需以真实数据重新实验后才能验证有效性。本稿仍是待作者核验的工作稿，不作为已满足送审要求的声明。正式封面、作者导师信息、原创性声明、授权页、致谢与成果页，应按学院适用模板另行补齐，不代填或代签。</w:t>
      </w:r>
    </w:p>
    <w:p>
      <w:pPr>
        <w:pStyle w:val="Heading1"/>
      </w:pPr>
      <w:r>
        <w:t>摘要</w:t>
      </w:r>
    </w:p>
    <w:p>
      <w:commentRangeStart w:id="0"/>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commentRangeEnd w:id="0"/>
      <w:r>
        <w:commentReference w:id="0"/>
      </w:r>
    </w:p>
    <w:p>
      <w:r>
        <w:rPr>
          <w:rFonts w:ascii="Times New Roman" w:hAnsi="Times New Roman" w:eastAsia="Songti SC"/>
          <w:color w:val="000000"/>
        </w:rPr>
        <w:t>在训练阶段，本文设计面向结论类组件的局部论辩结构保持增强方法。以结论节点及其支撑或攻击邻域作为增强单位，在保留组件类型、关系端点与方向的条件下生成表达变体，并通过格式、结构和语义检查筛选样本。结合类型条件低秩适配、线索感知连续提示和句子级辅助目标，该方法旨在丰富结论表达及其关系上下文，为组件和关系预测提供结构一致的训练监督。增强目标是提高有效样本的多样性，不将样本扩充直接等同于类别平衡改善。</w:t>
      </w:r>
    </w:p>
    <w:p>
      <w:r>
        <w:rPr>
          <w:rFonts w:ascii="Times New Roman" w:hAnsi="Times New Roman" w:eastAsia="Songti SC"/>
          <w:color w:val="000000"/>
        </w:rPr>
        <w:t>在推理阶段，本文提出基于完整候选图评估与异常驱动局部修正的方法MCR-BR。该方法从多个组件假设构建候选论辩图，利用论证连接覆盖、边语义连贯性和输出合法性进行图级评分；随后针对检测到的异常尝试局部修改，通过接受检查与回退机制控制修改过程，并限制修正轮数和每轮接受动作数。该设计将候选选择与生成后的局部调整衔接起来，目标是改善端到端抽取结果，而非以代理评分代替任务正确性判断。</w:t>
      </w:r>
    </w:p>
    <w:p>
      <w:r>
        <w:rPr>
          <w:rFonts w:ascii="Times New Roman" w:hAnsi="Times New Roman" w:eastAsia="Songti SC"/>
          <w:color w:val="000000"/>
        </w:rPr>
        <w:t>现有实验记录中，完整框架在AAEC上的Component-F1和Relation-F1分别为83.71和64.83，在CDCP上分别为76.45和38.17。在采用粗粒度组件标签及有向无标签连接的AAEC到CDCP零样本迁移设置下，完整框架的Link-F1为43.21，较同骨干Single-Pass记录提高9.79个F1点。上述记录呈现了训练增强与推理修正相结合的应用价值；两项方法的独立增益、等计算预算优势及更广泛的迁移能力，仍需在配置核验和相应消融基础上分别确定。</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and their supporting or attacking neighborhoods. Expression variants preserve component types, relation endpoints, and directions, and undergo format, structural, and semantic checks. Type-conditioned low-rank adaptation, cue-aware continuous prompts, and a sentence-level auxiliary objective provide supporting mechanisms. The aim is to diversify conclusion expressions and relational contexts with consistent supervision, without assuming that more examples automatically improve class balance.</w:t>
      </w:r>
    </w:p>
    <w:p>
      <w:pPr>
        <w:spacing w:line="360" w:lineRule="exact"/>
      </w:pPr>
      <w:r>
        <w:rPr>
          <w:rFonts w:ascii="Times New Roman" w:hAnsi="Times New Roman" w:eastAsia="Songti SC"/>
          <w:color w:val="000000"/>
        </w:rPr>
        <w:t>For inference-time repair, this thesis proposes MCR-BR, combining complete candidate-graph evaluation with anomaly-driven local repair. Graphs built from multiple component hypotheses are scored using argument-link coverage, edge-level semantic coherence, and output validity. Detected anomalies trigger local edits subject to acceptance checks, rollback, and limits on iterations and accepted actions. This connects candidate selection with post-generation adjustment; the surrogate score does not replace gold-standard evaluation.</w:t>
      </w:r>
    </w:p>
    <w:p>
      <w:pPr>
        <w:spacing w:line="360" w:lineRule="exact"/>
      </w:pPr>
      <w:r>
        <w:rPr>
          <w:rFonts w:ascii="Times New Roman" w:hAnsi="Times New Roman" w:eastAsia="Songti SC"/>
          <w:color w:val="000000"/>
        </w:rPr>
        <w:t>The retained records report full-framework Component-F1/Relation-F1 scores of 83.71/64.83 on AAEC and 76.45/38.17 on CDCP. Under AAEC-to-CDCP zero-shot transfer with coarse component labels and directed unlabeled links, Link-F1 is 43.21, 9.79 points above the same-backbone Single-Pass baseline. These records indicate the potential value of combining enhancement and repair. Independent gains, matched-budget advantages, and broader transferability require configuration verification and corresponding ablations.</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基于候选图评估与异常驱动局部修正的论辩图生成</w:t>
      </w:r>
      <w:r>
        <w:rPr>
          <w:rFonts w:ascii="Times New Roman" w:hAnsi="Times New Roman" w:eastAsia="Songti SC"/>
          <w:color w:val="000000"/>
          <w:sz w:val="24"/>
        </w:rPr>
        <w:tab/>
        <w:t>19</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32</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38</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41</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42</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43</w:t>
      </w:r>
    </w:p>
    <w:p>
      <w:pPr>
        <w:tabs>
          <w:tab w:pos="8504" w:val="right"/>
        </w:tabs>
        <w:spacing w:after="280" w:line="336" w:lineRule="auto"/>
        <w:ind w:firstLine="0"/>
      </w:pPr>
      <w:r>
        <w:rPr>
          <w:rFonts w:ascii="Times New Roman" w:hAnsi="Times New Roman" w:eastAsia="Songti SC"/>
          <w:color w:val="000000"/>
        </w:rPr>
        <w:t>附录D 新参考实现与复现实验接口</w:t>
      </w:r>
      <w:r>
        <w:rPr>
          <w:rFonts w:ascii="Times New Roman" w:hAnsi="Times New Roman" w:eastAsia="Songti SC"/>
          <w:color w:val="000000"/>
          <w:sz w:val="24"/>
        </w:rPr>
        <w:tab/>
        <w:t>44</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commentRangeStart w:id="1"/>
      <w:r>
        <w:t>1.2 国内外研究现状</w:t>
      </w:r>
      <w:commentRangeEnd w:id="1"/>
      <w:r>
        <w:commentReference w:id="1"/>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[18]。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[19]；Huang等指出，在其研究的推理设置中，缺乏外部反馈的内在自纠错可能无效甚至降低表现[20]。自一致性则通过采样多条推理路径并聚合答案改善所研究的推理任务[21]。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[22]。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完整图选择还应与逐节点、逐边投票区分：独立投票可能拼接出候选池中从未出现过的结构，但选择完整候选也可能保留其遗漏节点。本文以图级评分选择初始状态，再尝试异常驱动修改；评分中的软合法性项不构成硬保证，有限接受动作也不等于严格限制全部模型调用。这些边界在第四章逐项分析。</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[23]。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Feger等在2025年对17个英文句子级数据集进行泛化评估，发现所研究模型可能依赖数据集相关词汇线索，在未见数据集上表现下降[24]。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[25]。IAM整合多项论辩挖掘任务，使用英文资源，不能作为中文论辩语料的例证[26]。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r>
        <w:rPr>
          <w:rFonts w:ascii="Times New Roman" w:hAnsi="Times New Roman" w:eastAsia="Songti SC"/>
          <w:color w:val="000000"/>
        </w:rPr>
        <w:t>RQ2：在相同骨干和候选池下，完整图评估与异常驱动局部修正能否改善端到端组件和关系抽取？需要区分候选数量、选择器和修正动作的作用，并进一步与确定性后处理、通用自修正在可比计算预算下比较。</w:t>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pPr>
        <w:pStyle w:val="Heading3"/>
      </w:pPr>
      <w:commentRangeStart w:id="2"/>
      <w:r>
        <w:t>1.3.2 主要研究工作与贡献</w:t>
      </w:r>
      <w:commentRangeEnd w:id="2"/>
      <w:r>
        <w:commentReference w:id="2"/>
      </w:r>
    </w:p>
    <w:p>
      <w:r>
        <w:rPr>
          <w:rFonts w:ascii="Times New Roman" w:hAnsi="Times New Roman" w:eastAsia="Songti SC"/>
          <w:color w:val="000000"/>
        </w:rPr>
        <w:t>（1）设计面向结论类组件的局部论辩结构保持增强方法。针对结论组件识别不足可能压缩关系预测候选空间的问题，以结论节点及其支撑或攻击邻域为增强单位，在保持组件类型、关系端点和方向的条件下生成表达变体，并以格式、结构和语义检查筛选样本。该设计将结论表达增强与局部关系监督结合，重点在于增强单位和监督保持机制；类型条件低秩适配、线索感知提示及辅助目标作为配套实现，不分别列为独立创新。</w:t>
      </w:r>
    </w:p>
    <w:p>
      <w:r>
        <w:rPr>
          <w:rFonts w:ascii="Times New Roman" w:hAnsi="Times New Roman" w:eastAsia="Songti SC"/>
          <w:color w:val="000000"/>
        </w:rPr>
        <w:t>（2）提出基于完整候选图评估与异常驱动局部修正的论辩图生成方法。针对单次组件预测及关系生成容易过早固定错误结构的问题，构建多组完整候选图，利用连接覆盖、边语义和合法性信号进行整体评估，再将检测到的异常映射为局部修改动作，并结合接受检查、回退与修正步数限制形成MCR-BR流程。方法贡献在于图级选择和局部修正的任务特定组织，不是多采样或自修正思想本身；当前动作集合不被表述为可以一般性补回遗漏节点。</w:t>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现有材料</w:t>
            </w:r>
          </w:p>
        </w:tc>
        <w:tc>
          <w:tcPr>
            <w:tcW w:type="dxa" w:w="260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尚缺的关键证据</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局部结构保持增强及配套表示模块</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分类别表与部分模块消融</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配置冲突消解、类别统计、增强独立消融</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RQ2 图级结构恢复</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完整候选图评估与异常驱动局部修正</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域内比较、验证器替换、Oracle记录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固定候选池比较、可执行动作、预算与时延</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粗粒度映射下的源域迁移</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AAEC到CDCP单向记录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目标数据使用审计、双向迁移和映射敏感性</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完整候选图评估与异常驱动局部修正方法MCR-BR，分析其性质并整理域内结果。第五章在粗粒度标签和有向无标签连接协议下分析跨语料迁移。第六章总结研究工作及后续验证方向。附录保留实现核验清单与待实验的算法修订建议，不将建议视为已实现方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[27]。本文使用的骨干为原稿所述Qwen2.5-7B-Instruct；Qwen2.5技术报告可用于说明模型系列，但不能代替本文具体权重版本、训练配置和硬件记录[28]。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LoRA在冻结基础权重的条件下引入低秩增量[29]。对于一般线性投影，采用统一表示：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[30]。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commentRangeStart w:id="12"/>
      <w:r>
        <w:rPr>
          <w:rFonts w:ascii="Times New Roman" w:hAnsi="Times New Roman" w:eastAsia="Songti SC"/>
          <w:color w:val="000000"/>
        </w:rPr>
        <w:t>0914-v2新评价脚本默认将端点跨度和类型共同纳入关系匹配，不依赖组件ID与金标准编号相同；重复预测按多重计数保留，多余项计入FP。解析或验证失败的文档保留，其金标准对象进入FN，不删除失败样本；漏交或重复文档ID则直接报错。分母为零时返回0并保留计数。跨种子汇总另报告均值和样本标准差，不把该新口径追认成原表“±”的含义。</w:t>
      </w:r>
      <w:commentRangeEnd w:id="12"/>
      <w:r>
        <w:commentReference w:id="12"/>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pPr>
        <w:pStyle w:val="Heading2"/>
      </w:pPr>
      <w:commentRangeStart w:id="3"/>
      <w:r>
        <w:t>2.6 训练增强与推理修正的接口</w:t>
      </w:r>
      <w:commentRangeEnd w:id="3"/>
      <w:r>
        <w:commentReference w:id="3"/>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选择与局部修改。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commentRangeStart w:id="4"/>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commentRangeEnd w:id="4"/>
      <w:r>
        <w:commentReference w:id="4"/>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本文据此将优化目标从一般类别平衡进一步收敛为两点：一是提高结论类组件的边界与类型识别能力；二是在不过度牺牲Premise性能的前提下，提高包含高连接度结论节点的候选图召回率。</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w:pPr>
        <w:keepLines/>
        <w:spacing w:line="288" w:lineRule="auto" w:before="100" w:after="180"/>
        <w:ind w:firstLine="0"/>
        <w:jc w:val="center"/>
      </w:pPr>
      <m:oMath>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r>
          <m:rPr>
            <m:sty m:val="p"/>
          </m:rPr>
          <m:t xml:space="preserve"> </m:t>
        </m:r>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在AAEC中，局部子图按段落关系标注构造，不将未标注的Claim—MajorClaim立场直接转化为关系边。增强模型接收组件文本、组件类型、关系方向和目标结构等条件，生成保持图拓扑不变但表述不同的文本变体。这样既增加结论表达的词汇与句法多样性，也保留关系训练所需的结构监督。</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，生成过程表示为：</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为原始局部文本，</w:t>
      </w:r>
      <m:oMath>
        <m:sSub>
          <m:e>
            <m:r>
              <m:t xml:space="preserve">𝒯</m:t>
            </m:r>
          </m:e>
          <m:sub>
            <m:r>
              <m:t xml:space="preserve">c</m:t>
            </m:r>
          </m:sub>
        </m:sSub>
      </m:oMath>
      <w:r>
        <w:rPr>
          <w:rFonts w:ascii="Times New Roman" w:hAnsi="Times New Roman" w:eastAsia="Songti SC"/>
          <w:color w:val="000000"/>
        </w:rPr>
        <w:t>为目标组件类型，</w:t>
      </w:r>
      <m:oMath>
        <m:sSub>
          <m:e>
            <m:r>
              <m:t xml:space="preserve">E</m:t>
            </m:r>
          </m:e>
          <m:sub>
            <m:r>
              <m:t xml:space="preserve">c</m:t>
            </m:r>
          </m:sub>
        </m:sSub>
      </m:oMath>
      <w:r>
        <w:rPr>
          <w:rFonts w:ascii="Times New Roman" w:hAnsi="Times New Roman" w:eastAsia="Songti SC"/>
          <w:color w:val="000000"/>
        </w:rPr>
        <w:t>为需要保持的关系集合，</w:t>
      </w:r>
      <m:oMath>
        <m:r>
          <m:t xml:space="preserve">Π</m:t>
        </m:r>
      </m:oMath>
      <w:r>
        <w:rPr>
          <w:rFonts w:ascii="Times New Roman" w:hAnsi="Times New Roman" w:eastAsia="Songti SC"/>
          <w:color w:val="000000"/>
        </w:rPr>
        <w:t>为生成约束。约束包括：组件数量和类型保持一致；关系端点必须能够在生成文本中对齐；不得新增原结构之外的支持或攻击关系；不得复制验证集或测试集文本。</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：独立验证器判断生成组件是否承担目标论辩角色，并检查每条关系是否获得上下文支持。</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三层筛选区分可解析性、拓扑一致性和语义合理性。前两层不能证明标签语义正确，第三层也只是验证器判断，仍需人工抽检估计其误判。这里的“独立验证器”指单独验证调用，是否与增强模型使用不同权重、提示或训练数据须由实际配置说明。</w:t>
      </w:r>
    </w:p>
    <w:p>
      <w:pPr>
        <w:pStyle w:val="Heading3"/>
      </w:pPr>
      <w:r>
        <w:t>3.2.4 增强效果的可识别性与数据追踪</w:t>
      </w:r>
    </w:p>
    <w:p>
      <w:r>
        <w:rPr>
          <w:rFonts w:ascii="Times New Roman" w:hAnsi="Times New Roman" w:eastAsia="Songti SC"/>
          <w:color w:val="000000"/>
        </w:rPr>
        <w:t>若一个以Claim为中心的增强单位包含一个Claim和</w:t>
      </w:r>
      <m:oMath>
        <m:r>
          <m:t xml:space="preserve">k</m:t>
        </m:r>
      </m:oMath>
      <w:r>
        <w:rPr>
          <w:rFonts w:ascii="Times New Roman" w:hAnsi="Times New Roman" w:eastAsia="Songti SC"/>
          <w:color w:val="000000"/>
        </w:rPr>
        <w:t>个Premise，接受</w:t>
      </w:r>
      <m:oMath>
        <m:r>
          <m:t xml:space="preserve">u</m:t>
        </m:r>
      </m:oMath>
      <w:r>
        <w:rPr>
          <w:rFonts w:ascii="Times New Roman" w:hAnsi="Times New Roman" w:eastAsia="Songti SC"/>
          <w:color w:val="000000"/>
        </w:rPr>
        <w:t>个同类变体后，两类实例数分别变为</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。当</w:t>
      </w:r>
      <m:oMath>
        <m:r>
          <m:t xml:space="preserve">u</m:t>
        </m:r>
        <m:r>
          <m:t xml:space="preserve">&gt;</m:t>
        </m:r>
        <m:r>
          <m:t xml:space="preserve">0</m:t>
        </m:r>
      </m:oMath>
      <w:r>
        <w:rPr>
          <w:rFonts w:ascii="Times New Roman" w:hAnsi="Times New Roman" w:eastAsia="Songti SC"/>
          <w:color w:val="000000"/>
        </w:rPr>
        <w:t>时，Claim相对Premise的数量比提高，当且仅当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。因此，保留局部拓扑并不自动改善类别平衡，应分别验证实例比例变化和表达多样性变化。该推导是对增强机制的分析，不是本稿新增的实验结果。</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r>
        <w:rPr>
          <w:rFonts w:ascii="Times New Roman" w:hAnsi="Times New Roman" w:eastAsia="Songti SC"/>
          <w:color w:val="000000"/>
        </w:rPr>
        <w:t>新参考实现将上述要求落实为训练集专用接口：按结论及入邻居构造局部单位，使用固定组件槽位改写并回填全文，随后重算所有受位移影响的跨度，保持类型、ID和关系拓扑。默认每文档最多4个单位、每单位2次尝试、最多保留1个变体；通过格式、结构与模型语义筛选后再执行全局文本去重，实际混合比由输出统计。plain对照只隐藏生成提示中的局部边，保持槽位及后续筛选相同，用于隔离结构条件的作用；它不等同于任一外部增强方法的复现。这些是新计划，尚无真实筛选计数和人工审计结果。</w:t>
      </w:r>
    </w:p>
    <w:p>
      <w:pPr>
        <w:pStyle w:val="Heading2"/>
      </w:pPr>
      <w:commentRangeStart w:id="5"/>
      <w:r>
        <w:t>3.3 面向结论组件的配套表示增强</w:t>
      </w:r>
      <w:commentRangeEnd w:id="5"/>
      <w:r>
        <w:commentReference w:id="5"/>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原稿提出在注意力投影层注入类型条件低秩分支。为明确0914-v2新参考实现，本节将全局分支与结论分支分别记为下标g和c，对基础权重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写为：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commentRangeStart w:id="13"/>
      <w:r>
        <w:rPr>
          <w:rFonts w:ascii="Times New Roman" w:hAnsi="Times New Roman" w:eastAsia="Songti SC"/>
          <w:color w:val="000000"/>
        </w:rPr>
        <w:t>新实现固定id、type、span的字段顺序。门控仅在已生成前缀包含完整闭合的结论类型后开启，在当前组件对象结束时关闭；类型首token与关系区域均不开启条件分支。AAEC触发类型为Claim/MajorClaim，CDCP为Policy/Value。教师强制同样只使用当前位置可见前缀，不读取未来类型。基础全局LoRA与专项LoRA共同存在，并提供单一全局rank32对照以匹配两条rank16分支的LoRA参数量；参数相近不等于计算量相同。该定义通过因果前缀测试，但不能证明其改善边界或减少梯度覆盖，也不能将旧分数沿用为这一新实现的结果。</w:t>
      </w:r>
      <w:commentRangeEnd w:id="13"/>
      <w:r>
        <w:commentReference w:id="13"/>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r>
        <w:rPr>
          <w:rFonts w:ascii="Times New Roman" w:hAnsi="Times New Roman" w:eastAsia="Songti SC"/>
          <w:color w:val="000000"/>
        </w:rPr>
        <w:t>新实现的完整词典为therefore、thus、in conclusion、consequently、hence、to conclude，采用不区分大小写的词边界匹配；触发时在聊天模板输入嵌入之前插入4个可训练向量，无触发时不插入占位向量。该词典及插入位置为本次新增定义，原实验是否相同仍待核验。</w:t>
      </w:r>
    </w:p>
    <w:p>
      <w:pPr>
        <w:pStyle w:val="Heading3"/>
      </w:pPr>
      <w:r>
        <w:t>3.3.3 多目标训练</w:t>
      </w:r>
    </w:p>
    <w:p>
      <w:commentRangeStart w:id="14"/>
      <w:r>
        <w:rPr>
          <w:rFonts w:ascii="Times New Roman" w:hAnsi="Times New Roman" w:eastAsia="Songti SC"/>
          <w:color w:val="000000"/>
        </w:rPr>
        <w:t>以下公式明确新参考实现的归一化方式：生成项对单个任务样本的有效回答token（含EOS）求均值，提示token不参与生成损失。设有效输出长度为</w:t>
      </w:r>
      <m:oMath>
        <m:sSub>
          <m:e>
            <m:r>
              <m:t xml:space="preserve">T</m:t>
            </m:r>
          </m:e>
          <m:sub>
            <m:r>
              <m:t xml:space="preserve">y</m:t>
            </m:r>
          </m:sub>
        </m:sSub>
      </m:oMath>
      <w:r>
        <w:rPr>
          <w:rFonts w:ascii="Times New Roman" w:hAnsi="Times New Roman" w:eastAsia="Songti SC"/>
          <w:color w:val="000000"/>
        </w:rPr>
        <w:t>，则：</w:t>
      </w:r>
      <w:commentRangeEnd w:id="14"/>
      <w:r>
        <w:commentReference w:id="14"/>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新实现按句末标点及文本结尾确定性切分输入，使用最后一层输入原文token的句内均值表示和线性二分类头，不池化输出标签。设输入句子数为</w:t>
      </w:r>
      <m:oMath>
        <m:sSub>
          <m:e>
            <m:r>
              <m:t xml:space="preserve">N</m:t>
            </m:r>
          </m:e>
          <m:sub>
            <m:r>
              <m:t xml:space="preserve">s</m:t>
            </m:r>
          </m:sub>
        </m:sSub>
      </m:oMath>
      <w:r>
        <w:rPr>
          <w:rFonts w:ascii="Times New Roman" w:hAnsi="Times New Roman" w:eastAsia="Songti SC"/>
          <w:color w:val="000000"/>
        </w:rPr>
        <w:t>，与结论类金标准跨度有重叠的句子标签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，否则为0；跨句组件可标记多个句子。AAEC结论类为MajorClaim/Claim，CDCP为Policy/Value。辅助项为：</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（3-10）</w:t>
      </w:r>
    </w:p>
    <w:p>
      <w:pPr>
        <w:keepNext/>
      </w:pPr>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辅助目标只参与训练，推理时不增加JSON字段。此处</w:t>
      </w:r>
      <m:oMath>
        <m:r>
          <m:t xml:space="preserve">λ</m:t>
        </m:r>
        <m:r>
          <m:t xml:space="preserve">=</m:t>
        </m:r>
        <m:r>
          <m:t xml:space="preserve">0</m:t>
        </m:r>
        <m:r>
          <m:t xml:space="preserve">.</m:t>
        </m:r>
        <m:r>
          <m:t xml:space="preserve">5</m:t>
        </m:r>
      </m:oMath>
      <w:r>
        <w:rPr>
          <w:rFonts w:ascii="Times New Roman" w:hAnsi="Times New Roman" w:eastAsia="Songti SC"/>
          <w:color w:val="000000"/>
        </w:rPr>
        <w:t>是两项样本内均值的权重，不是两个未归一化总和的固定比例。原稿公式为求和且没有代码佐证，本次改为均值是新实验协议选择，不构成原损失实现已经核实的结论。梯度累积按任务样本求均值，最后不足一个累积批次时按实际样本数归一化。</w:t>
      </w:r>
    </w:p>
    <w:p>
      <w:pPr>
        <w:ind w:firstLine="0"/>
      </w:pPr>
      <w:r>
        <w:rPr>
          <w:rFonts w:ascii="Times New Roman" w:hAnsi="Times New Roman" w:eastAsia="Songti SC"/>
          <w:color w:val="000000"/>
          <w:sz w:val="22"/>
        </w:rPr>
        <w:t>待核验R04：上述新定义已写入参考代码并进行小模型测试，但原始实验采用的句子切分、池化、loss mask、归一化、词典和提示位置仍不可追溯；无显式线索样本的真实效果也尚未测量。重新训练后应报告这些选择及其消融，不能仅删除待核验标记。</w:t>
      </w:r>
    </w:p>
    <w:p>
      <w:pPr>
        <w:pStyle w:val="Heading2"/>
      </w:pPr>
      <w:r>
        <w:t>3.4 实验设置与结果分析</w:t>
      </w:r>
    </w:p>
    <w:p>
      <w:pPr>
        <w:pStyle w:val="Heading3"/>
      </w:pPr>
      <w:r>
        <w:t>3.4.1 设置与评价指标</w:t>
      </w:r>
    </w:p>
    <w:p>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ind w:firstLine="0"/>
      </w:pPr>
      <w:r>
        <w:rPr>
          <w:rFonts w:ascii="Times New Roman" w:hAnsi="Times New Roman" w:eastAsia="Songti SC"/>
          <w:color w:val="000000"/>
          <w:sz w:val="22"/>
        </w:rPr>
        <w:t>待核验R05：本表配置对应关系以及外部基线分类别分数来源未确定。</w:t>
      </w:r>
    </w:p>
    <w:p>
      <w:pPr>
        <w:pStyle w:val="Heading3"/>
      </w:pPr>
      <w:r>
        <w:t>3.4.2 主要结果</w:t>
      </w:r>
    </w:p>
    <w:p>
      <w:pPr>
        <w:keepNext/>
        <w:ind w:firstLine="0"/>
        <w:jc w:val="center"/>
      </w:pPr>
      <w:r>
        <w:rPr>
          <w:rFonts w:ascii="Times New Roman" w:hAnsi="Times New Roman" w:eastAsia="Songti SC"/>
          <w:color w:val="000000"/>
          <w:sz w:val="22"/>
        </w:rPr>
        <w:t>表3-1 AAEC组件分类别结果原稿记录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pPr>
      <w:r>
        <w:t>3.4.3 模块作用与解释边界</w:t>
      </w:r>
    </w:p>
    <w:p>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pPr>
      <w:r>
        <w:t>3.5 误差类型与讨论</w:t>
      </w:r>
    </w:p>
    <w:p>
      <w:r>
        <w:rPr>
          <w:rFonts w:ascii="Times New Roman" w:hAnsi="Times New Roman" w:eastAsia="Songti SC"/>
          <w:color w:val="000000"/>
        </w:rPr>
        <w:t>结论组件学习需要重点检验以下三类潜在错误；当前缺少逐例输出，尚不将其视为已完成标注的错误分布。第一，隐式结论没有显式线索词，Cue-aware分支难以提供额外信息；第二，一个长句同时包含论据和结论时，模型容易扩大组件边界；第三，MajorClaim与Claim语义相近，模型可能在类型之间混淆。前两类错误需要更细粒度的边界建模，第三类错误则说明仅依赖局部语义不足，还需要结合文档级位置和段落结构。</w:t>
      </w:r>
    </w:p>
    <w:p>
      <w:r>
        <w:rPr>
          <w:rFonts w:ascii="Times New Roman" w:hAnsi="Times New Roman" w:eastAsia="Songti SC"/>
          <w:color w:val="000000"/>
        </w:rPr>
        <w:t>本章方法以改善候选组件质量为目标；其净效果仍需消除表格配置冲突后验证。下一章进一步保留多个组件假设，并利用完整关系结构对候选进行重排序和局部修复，以分析仅改变训练阶段之外的恢复空间。</w:t>
      </w:r>
    </w:p>
    <w:p>
      <w:pPr>
        <w:pStyle w:val="Heading2"/>
      </w:pPr>
      <w:r>
        <w:t>3.6 本章小结</w:t>
      </w:r>
    </w:p>
    <w:p>
      <w:r>
        <w:rPr>
          <w:rFonts w:ascii="Times New Roman" w:hAnsi="Times New Roman" w:eastAsia="Songti SC"/>
          <w:color w:val="000000"/>
        </w:rPr>
        <w:t>本章以结论中心局部子图保持组件类型及关系监督，并以条件适配、线索提示和辅助目标配合学习。与孤立改写相比，差异在于显式保留局部关系；独立收益仍需等预算对照。新代码已明确门控规则，但原稿分类别结果的配置、Premise表现与有效性证据仍待核验。</w:t>
      </w:r>
    </w:p>
    <w:p>
      <w:pPr>
        <w:pStyle w:val="Heading1"/>
      </w:pPr>
      <w:r>
        <w:t>第四章 基于候选图评估与异常驱动局部修正的论辩图生成</w:t>
      </w:r>
    </w:p>
    <w:p>
      <w:commentRangeStart w:id="6"/>
      <w:r>
        <w:rPr>
          <w:rFonts w:ascii="Times New Roman" w:hAnsi="Times New Roman" w:eastAsia="Songti SC"/>
          <w:color w:val="000000"/>
        </w:rPr>
        <w:t>本章提出基于完整候选图评估与异常驱动局部修正的MCR-BR方法。其评估对象包含组件和关系，先为多个组件假设构建完整图，再以结构检查和单独调用的语义验证信号选择初始状态；检测到的异常触发局部动作，并通过接受检查、回退、轮数和接受动作数限制控制修改。完整流程包括候选组件生成、候选图构建、一致性评分、初始解选择、异常检测和有界局部修正六个阶段。这里的“有界”特指所定义的修正步数约束，不代表已给出全部生成与验证调用的严格上界。</w:t>
      </w:r>
      <w:commentRangeEnd w:id="6"/>
      <w:r>
        <w:commentReference w:id="6"/>
      </w:r>
    </w:p>
    <w:p>
      <w:pPr>
        <w:pStyle w:val="Heading2"/>
      </w:pPr>
      <w:r>
        <w:t>4.1 单次生成的错误传播与恢复目标</w:t>
      </w:r>
    </w:p>
    <w:p>
      <w:r>
        <w:rPr>
          <w:rFonts w:ascii="Times New Roman" w:hAnsi="Times New Roman" w:eastAsia="Songti SC"/>
          <w:color w:val="000000"/>
        </w:rPr>
        <w:t>单次生成系统直接输出一个组件列表和关系列表。一旦组件被遗漏、边界偏移或编号错误，后续关系便可能出现悬空引用、孤立节点和错误连接。仅删除非法边的后处理不能补回缺失组件；自由生成式修订则可能同时改变正确结构。MCR-BR据此限定修改对象和接受条件，但其当前动作集合同样不提供一般性的缺失节点插入能力。</w:t>
      </w:r>
    </w:p>
    <w:p>
      <w:r>
        <w:rPr>
          <w:rFonts w:ascii="Times New Roman" w:hAnsi="Times New Roman" w:eastAsia="Songti SC"/>
          <w:color w:val="000000"/>
        </w:rPr>
        <w:t>原稿记录的AAEC修正触发率为42.5%，修正前无效组件引用比例为18.5%，JSON格式错误比例为6.2%，验证器判定的不连贯边比例为22.4%。这些指标的分母可能分别是文档、引用或关系边，不能相加为总体错误率。触发率还依赖异常阈值，不等于经人工确认的错误文档比例。</w:t>
      </w:r>
    </w:p>
    <w:p>
      <w:r>
        <w:rPr>
          <w:rFonts w:ascii="Times New Roman" w:hAnsi="Times New Roman" w:eastAsia="Songti SC"/>
          <w:color w:val="000000"/>
        </w:rPr>
        <w:t>相应恢复目标是改善可解析性与引用有效性、边级语义一致性和预设的连接覆盖偏好。覆盖不足并不必然是标注错误，未带显式理由的合法Claim也可能触发这一软偏好。</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r>
        <w:rPr>
          <w:rFonts w:ascii="Times New Roman" w:hAnsi="Times New Roman" w:eastAsia="Songti SC"/>
          <w:color w:val="000000"/>
        </w:rPr>
        <w:t>新实现不臆测置信度消解顺序：保留原始输出，严格解析后不自动改写重叠跨度或重排ID，形式违规进入合法性检查；无法解析的候选明确记为失败。关系阶段要求原样复制固定组件，若模型改变组件则拒绝该候选。该处理不同于尚未明确的旧规范化算法，后续与外部方法比较必须使用相同协议。</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以下流程整理原稿的模块关系，不代表新增实验或新增修复动作。</w:t>
      </w:r>
    </w:p>
    <w:p>
      <w:pPr>
        <w:keepNext/>
        <w:ind w:firstLine="0"/>
        <w:jc w:val="center"/>
      </w:pPr>
      <w:r>
        <w:rPr>
          <w:rFonts w:ascii="Times New Roman" w:hAnsi="Times New Roman" w:eastAsia="Songti SC"/>
          <w:color w:val="000000"/>
          <w:sz w:val="22"/>
        </w:rPr>
        <w:t>图4-1 MCR-BR候选选择与局部修正流程</w:t>
      </w:r>
    </w:p>
    <w:p>
      <w:pPr>
        <w:keepLines/>
        <w:spacing w:line="264" w:lineRule="auto" w:before="100" w:after="180"/>
        <w:ind w:firstLine="0" w:left="170"/>
        <w:jc w:val="center"/>
      </w:pPr>
      <w:r>
        <w:rPr>
          <w:rFonts w:ascii="Times New Roman" w:hAnsi="Times New Roman" w:eastAsia="Songti SC"/>
          <w:color w:val="000000"/>
          <w:sz w:val="22"/>
        </w:rPr>
        <w:t>原始文档</w:t>
        <w:br/>
        <w:t xml:space="preserve">  ↓ 组件生成与规范化</w:t>
        <w:br/>
        <w:t>K个组件候选</w:t>
        <w:br/>
        <w:t xml:space="preserve">  ↓ 对每个候选预测关系</w:t>
        <w:br/>
        <w:t>K个完整候选图</w:t>
        <w:br/>
        <w:t xml:space="preserve">  ↓ 合法性检查与语义验证</w:t>
        <w:br/>
        <w:t>候选评分与初始图选择</w:t>
        <w:br/>
        <w:t xml:space="preserve">  ↓ 检测异常并尝试局部动作</w:t>
        <w:br/>
        <w:t>接受或回退 → 终止判断 → 输出图</w:t>
      </w:r>
    </w:p>
    <w:p>
      <w:r>
        <w:rPr>
          <w:rFonts w:ascii="Times New Roman" w:hAnsi="Times New Roman" w:eastAsia="Songti SC"/>
          <w:color w:val="000000"/>
        </w:rPr>
        <w:t>如果候选不能解析，则其节点、关系和语义分量无法直接定义。应记录为解析失败并执行实现明确规定的处置，不能把解析失败偷偷当作空图加入正常语义统计。</w:t>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r>
          <m:t xml:space="preserve">E</m:t>
        </m:r>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集合成员的具体选择规则需与实现一起公开；若按已有入边选择，就可能漏掉本应诊断的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原稿给出顶层关系结论节点取2、其他评价节点取1，但未给出角色识别和阈值选择记录，均需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r>
        <w:rPr>
          <w:rFonts w:ascii="Times New Roman" w:hAnsi="Times New Roman" w:eastAsia="Songti SC"/>
          <w:color w:val="000000"/>
        </w:rPr>
        <w:t>新参考实现将评价节点固定为AAEC的Claim及CDCP的Policy/Value；节点在预测图中无出边时按顶层角色取阈值2，否则取1，空评价集合得分为0。这一确定规则使新代码可执行，但是否对应原稿角色判定并无证据。新实现默认生成器与验证器共享同一检查点，仅使用不同提示；判断缓存绑定文本、关系上下文和模型身份，不把两次调用称为独立验证。</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r>
          <m:t xml:space="preserve">E</m:t>
        </m:r>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pPr>
        <w:pStyle w:val="Heading2"/>
      </w:pPr>
      <w:r>
        <w:t>4.4 图约束下的有界局部修正</w:t>
      </w:r>
    </w:p>
    <w:p>
      <w:pPr>
        <w:pStyle w:val="Heading3"/>
      </w:pPr>
      <w:r>
        <w:t>4.4.1 异常表示与优先级</w:t>
      </w:r>
    </w:p>
    <w:p>
      <w:r>
        <w:rPr>
          <w:rFonts w:ascii="Times New Roman" w:hAnsi="Times New Roman" w:eastAsia="Songti SC"/>
          <w:color w:val="000000"/>
        </w:rPr>
        <w:t>对当前图</w:t>
      </w:r>
      <m:oMath>
        <m:r>
          <m:t xml:space="preserve">S</m:t>
        </m:r>
      </m:oMath>
      <w:r>
        <w:rPr>
          <w:rFonts w:ascii="Times New Roman" w:hAnsi="Times New Roman" w:eastAsia="Songti SC"/>
          <w:color w:val="000000"/>
        </w:rPr>
        <w:t>，错误检测器返回异常集合：</w:t>
      </w:r>
    </w:p>
    <w:p>
      <w:pPr>
        <w:keepLines/>
        <w:spacing w:line="288" w:lineRule="auto" w:before="100" w:after="180"/>
        <w:ind w:firstLine="0"/>
        <w:jc w:val="center"/>
      </w:pPr>
      <m:oMath>
        <m:r>
          <m:t xml:space="preserve">ℰ</m:t>
        </m:r>
        <m:r>
          <m:t xml:space="preserve">(</m:t>
        </m:r>
        <m:r>
          <m:t xml:space="preserve">S</m:t>
        </m:r>
        <m:r>
          <m:t xml:space="preserve">)</m:t>
        </m:r>
        <m:r>
          <m:t xml:space="preserve">=</m:t>
        </m:r>
        <m:r>
          <m:rPr>
            <m:sty m:val="p"/>
          </m:rPr>
          <m:t xml:space="preserve">{</m:t>
        </m:r>
        <m:r>
          <m:t xml:space="preserve">e</m:t>
        </m:r>
        <m:r>
          <m:t xml:space="preserve">=</m:t>
        </m:r>
        <m:r>
          <m:t xml:space="preserve">(</m:t>
        </m:r>
        <m:r>
          <m:t xml:space="preserve">ν</m:t>
        </m:r>
        <m:r>
          <m:t xml:space="preserve">,</m:t>
        </m:r>
        <m:r>
          <m:t xml:space="preserve">η</m:t>
        </m:r>
        <m:r>
          <m:t xml:space="preserve">,</m:t>
        </m:r>
        <m:r>
          <m:t xml:space="preserve">σ</m:t>
        </m:r>
        <m:r>
          <m:t xml:space="preserve">)</m:t>
        </m:r>
        <m:r>
          <m:rPr>
            <m:sty m:val="p"/>
          </m:rP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其中</w:t>
      </w:r>
      <m:oMath>
        <m:r>
          <m:t xml:space="preserve">ν</m:t>
        </m:r>
        <m:r>
          <m:t xml:space="preserve">∈</m:t>
        </m:r>
        <m:r>
          <m:rPr>
            <m:sty m:val="p"/>
          </m:rPr>
          <m:t xml:space="preserve">{</m:t>
        </m:r>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r>
          <m:rPr>
            <m:sty m:val="p"/>
          </m:rPr>
          <m:t xml:space="preserve">}</m:t>
        </m:r>
      </m:oMath>
      <w:r>
        <w:rPr>
          <w:rFonts w:ascii="Times New Roman" w:hAnsi="Times New Roman" w:eastAsia="Songti SC"/>
          <w:color w:val="000000"/>
        </w:rPr>
        <w:t>表示有效性、连贯性或完整性异常，</w:t>
      </w:r>
      <m:oMath>
        <m:r>
          <m:t xml:space="preserve">η</m:t>
        </m:r>
      </m:oMath>
      <w:r>
        <w:rPr>
          <w:rFonts w:ascii="Times New Roman" w:hAnsi="Times New Roman" w:eastAsia="Songti SC"/>
          <w:color w:val="000000"/>
        </w:rPr>
        <w:t>表示受影响的节点或边，</w:t>
      </w:r>
      <m:oMath>
        <m:r>
          <m:t xml:space="preserve">σ</m:t>
        </m:r>
        <m: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表示严重度。严重度定义为：</w:t>
      </w:r>
    </w:p>
    <w:p>
      <w:pPr>
        <w:keepLines/>
        <w:spacing w:line="288" w:lineRule="auto" w:before="100" w:after="180"/>
        <w:ind w:firstLine="0"/>
        <w:jc w:val="center"/>
      </w:pPr>
      <m:oMath>
        <m:r>
          <m:t xml:space="preserve">σ</m:t>
        </m:r>
        <m:r>
          <m:t xml:space="preserve">(</m:t>
        </m:r>
        <m:r>
          <m:t xml:space="preserve">e</m:t>
        </m:r>
        <m:r>
          <m:t xml:space="preserve">)</m:t>
        </m:r>
        <m:r>
          <m:t xml:space="preserve">=</m:t>
        </m:r>
        <m:d>
          <m:dPr>
            <m:begChr m:val="{"/>
            <m:endChr m:val=""/>
          </m:dPr>
          <m:e>
            <m:m>
              <m:mPr>
                <m:mcs>
                  <m:mc>
                    <m:mcPr>
                      <m:count m:val="2"/>
                      <m:mcJc m:val="left"/>
                    </m:mcPr>
                  </m:mc>
                </m:mcs>
              </m:mPr>
              <m:mr>
                <m:e>
                  <m:r>
                    <m:t xml:space="preserve">1</m:t>
                  </m:r>
                  <m:r>
                    <m:t xml:space="preserve">,</m:t>
                  </m:r>
                </m:e>
                <m:e>
                  <m:r>
                    <m:t xml:space="preserve">ν</m:t>
                  </m:r>
                  <m:r>
                    <m:t xml:space="preserve">=</m:t>
                  </m:r>
                  <m:r>
                    <m:t xml:space="preserve">V</m:t>
                  </m:r>
                  <m:r>
                    <m:t xml:space="preserve">A</m:t>
                  </m:r>
                  <m:r>
                    <m:t xml:space="preserve">L</m:t>
                  </m:r>
                  <m:r>
                    <m:t xml:space="preserve">,</m:t>
                  </m:r>
                </m:e>
              </m:mr>
              <m:mr>
                <m:e>
                  <m:r>
                    <m:t xml:space="preserve">1</m:t>
                  </m:r>
                  <m:r>
                    <m:t xml:space="preserve">-</m:t>
                  </m:r>
                  <m:sSub>
                    <m:e>
                      <m:r>
                        <m:t xml:space="preserve">p</m:t>
                      </m:r>
                    </m:e>
                    <m:sub>
                      <m:r>
                        <m:t xml:space="preserve">i</m:t>
                      </m:r>
                      <m:r>
                        <m:t xml:space="preserve">j</m:t>
                      </m:r>
                    </m:sub>
                  </m:sSub>
                  <m:r>
                    <m:t xml:space="preserve">,</m:t>
                  </m:r>
                </m:e>
                <m:e>
                  <m:r>
                    <m:t xml:space="preserve">ν</m:t>
                  </m:r>
                  <m:r>
                    <m:t xml:space="preserve">=</m:t>
                  </m:r>
                  <m:r>
                    <m:t xml:space="preserve">C</m:t>
                  </m:r>
                  <m:r>
                    <m:t xml:space="preserve">O</m:t>
                  </m:r>
                  <m:r>
                    <m:t xml:space="preserve">H</m:t>
                  </m:r>
                  <m:r>
                    <m:t xml:space="preserve">,</m:t>
                  </m:r>
                  <m:r>
                    <m:rPr>
                      <m:sty m:val="p"/>
                    </m:rPr>
                    <m:t xml:space="preserve"> </m:t>
                  </m:r>
                  <m:r>
                    <m:t xml:space="preserve">η</m:t>
                  </m:r>
                  <m:r>
                    <m:t xml:space="preserve">=</m:t>
                  </m:r>
                  <m:r>
                    <m:t xml:space="preserve">(</m:t>
                  </m:r>
                  <m:r>
                    <m:t xml:space="preserve">i</m:t>
                  </m:r>
                  <m:r>
                    <m:t xml:space="preserve">,</m:t>
                  </m:r>
                  <m:r>
                    <m:t xml:space="preserve">j</m:t>
                  </m:r>
                  <m:r>
                    <m:t xml:space="preserve">)</m:t>
                  </m:r>
                  <m:r>
                    <m:t xml:space="preserve">,</m:t>
                  </m:r>
                </m:e>
              </m:mr>
              <m:mr>
                <m:e>
                  <m:r>
                    <m:t xml:space="preserve">1</m:t>
                  </m:r>
                  <m:r>
                    <m:t xml:space="preserve">-</m:t>
                  </m:r>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ν</m:t>
                  </m:r>
                  <m:r>
                    <m:t xml:space="preserve">=</m:t>
                  </m:r>
                  <m:r>
                    <m:t xml:space="preserve">D</m:t>
                  </m:r>
                  <m:r>
                    <m:t xml:space="preserve">E</m:t>
                  </m:r>
                  <m:r>
                    <m:t xml:space="preserve">N</m:t>
                  </m:r>
                  <m:r>
                    <m:t xml:space="preserve">S</m:t>
                  </m:r>
                  <m:r>
                    <m:t xml:space="preserve">,</m:t>
                  </m:r>
                  <m:r>
                    <m:rPr>
                      <m:sty m:val="p"/>
                    </m:rPr>
                    <m:t xml:space="preserve"> </m:t>
                  </m:r>
                  <m:r>
                    <m:t xml:space="preserve">η</m:t>
                  </m:r>
                  <m:r>
                    <m:t xml:space="preserve">=</m:t>
                  </m:r>
                  <m:r>
                    <m:t xml:space="preserve">j</m:t>
                  </m:r>
                  <m:r>
                    <m:t xml:space="preserve">.</m:t>
                  </m:r>
                </m:e>
              </m:mr>
            </m:m>
          </m:e>
        </m:d>
      </m:oMath>
      <w:r>
        <w:rPr>
          <w:rFonts w:ascii="Times New Roman" w:hAnsi="Times New Roman" w:eastAsia="Songti SC"/>
          <w:color w:val="000000"/>
          <w:sz w:val="20"/>
        </w:rPr>
        <w:t xml:space="preserve">　（4-9）</w:t>
      </w:r>
    </w:p>
    <w:p>
      <w:r>
        <w:rPr>
          <w:rFonts w:ascii="Times New Roman" w:hAnsi="Times New Roman" w:eastAsia="Songti SC"/>
          <w:color w:val="000000"/>
        </w:rPr>
        <w:t>异常按严重度降序排列，同分时采用</w:t>
      </w:r>
      <m:oMath>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oMath>
      <w:r>
        <w:rPr>
          <w:rFonts w:ascii="Times New Roman" w:hAnsi="Times New Roman" w:eastAsia="Songti SC"/>
          <w:color w:val="000000"/>
        </w:rPr>
        <w:t>。有效性错误和被验证器拒绝的边直接触发修复。原稿“低于</w:t>
      </w:r>
      <m:oMath>
        <m:sSub>
          <m:e>
            <m:r>
              <m:t xml:space="preserve">δ</m:t>
            </m:r>
          </m:e>
          <m:sub>
            <m:r>
              <m:t xml:space="preserve">d</m:t>
            </m:r>
            <m:r>
              <m:t xml:space="preserve">e</m:t>
            </m:r>
            <m:r>
              <m:t xml:space="preserve">n</m:t>
            </m:r>
            <m:r>
              <m:t xml:space="preserve">s</m:t>
            </m:r>
          </m:sub>
        </m:sSub>
        <m:r>
          <m:t xml:space="preserve">=</m:t>
        </m:r>
        <m:r>
          <m:t xml:space="preserve">1</m:t>
        </m:r>
        <m:r>
          <m:t xml:space="preserve">.</m:t>
        </m:r>
        <m:r>
          <m:t xml:space="preserve">0</m:t>
        </m:r>
      </m:oMath>
      <w:r>
        <w:rPr>
          <w:rFonts w:ascii="Times New Roman" w:hAnsi="Times New Roman" w:eastAsia="Songti SC"/>
          <w:color w:val="000000"/>
        </w:rPr>
        <w:t>”应针对节点覆盖值</w:t>
      </w:r>
      <m:oMath>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τ</m:t>
        </m:r>
        <m:r>
          <m:t xml:space="preserve">,</m:t>
        </m:r>
        <m:r>
          <m:t xml:space="preserve">1</m:t>
        </m:r>
        <m:r>
          <m:t xml:space="preserve">)</m:t>
        </m:r>
      </m:oMath>
      <w:r>
        <w:rPr>
          <w:rFonts w:ascii="Times New Roman" w:hAnsi="Times New Roman" w:eastAsia="Songti SC"/>
          <w:color w:val="000000"/>
        </w:rPr>
        <w:t>解释，相应严重度为</w:t>
      </w:r>
      <m:oMath>
        <m:r>
          <m:t xml:space="preserve">1</m:t>
        </m:r>
      </m:oMath>
      <w:r>
        <w:rPr>
          <w:rFonts w:ascii="Times New Roman" w:hAnsi="Times New Roman" w:eastAsia="Songti SC"/>
          <w:color w:val="000000"/>
        </w:rPr>
        <w:t>减覆盖值，不能反过来把低严重度解释为需要修正。待核验R07：阈值比较方向须与实际代码核对，本稿不据此认定旧实验已使用该解释。</w:t>
      </w:r>
    </w:p>
    <w:p>
      <w:pPr>
        <w:pStyle w:val="Heading3"/>
      </w:pPr>
      <w:r>
        <w:t>4.4.2 修复动作</w:t>
      </w:r>
    </w:p>
    <w:p>
      <w:r>
        <w:rPr>
          <w:rFonts w:ascii="Times New Roman" w:hAnsi="Times New Roman" w:eastAsia="Songti SC"/>
          <w:color w:val="000000"/>
        </w:rPr>
        <w:t>BR定义四类局部动作：</w:t>
      </w:r>
    </w:p>
    <w:p>
      <w:pPr>
        <w:ind w:firstLine="0"/>
      </w:pPr>
      <w:r>
        <w:rPr>
          <w:rFonts w:ascii="Times New Roman" w:hAnsi="Times New Roman" w:eastAsia="Songti SC"/>
          <w:color w:val="000000"/>
        </w:rPr>
        <w:t xml:space="preserve">1. </w:t>
      </w:r>
      <w:r>
        <w:rPr>
          <w:rFonts w:ascii="Times New Roman" w:hAnsi="Times New Roman" w:eastAsia="Songti SC"/>
          <w:b/>
          <w:color w:val="000000"/>
        </w:rPr>
        <w:t>Promote/Demote</w:t>
      </w:r>
      <w:r>
        <w:rPr>
          <w:rFonts w:ascii="Times New Roman" w:hAnsi="Times New Roman" w:eastAsia="Songti SC"/>
          <w:color w:val="000000"/>
        </w:rPr>
        <w:t>：在标注规范允许的结论类类型之间转换，例如MajorClaim与Claim；</w:t>
      </w:r>
    </w:p>
    <w:p>
      <w:pPr>
        <w:ind w:firstLine="0"/>
      </w:pPr>
      <w:r>
        <w:rPr>
          <w:rFonts w:ascii="Times New Roman" w:hAnsi="Times New Roman" w:eastAsia="Songti SC"/>
          <w:color w:val="000000"/>
        </w:rPr>
        <w:t xml:space="preserve">2. </w:t>
      </w:r>
      <w:r>
        <w:rPr>
          <w:rFonts w:ascii="Times New Roman" w:hAnsi="Times New Roman" w:eastAsia="Songti SC"/>
          <w:b/>
          <w:color w:val="000000"/>
        </w:rPr>
        <w:t>Replace</w:t>
      </w:r>
      <w:r>
        <w:rPr>
          <w:rFonts w:ascii="Times New Roman" w:hAnsi="Times New Roman" w:eastAsia="Songti SC"/>
          <w:color w:val="000000"/>
        </w:rPr>
        <w:t>：从其他候选集中选择与问题位置对应的替代跨度或组件类型；</w:t>
      </w:r>
    </w:p>
    <w:p>
      <w:pPr>
        <w:ind w:firstLine="0"/>
      </w:pPr>
      <w:r>
        <w:rPr>
          <w:rFonts w:ascii="Times New Roman" w:hAnsi="Times New Roman" w:eastAsia="Songti SC"/>
          <w:color w:val="000000"/>
        </w:rPr>
        <w:t xml:space="preserve">3. </w:t>
      </w:r>
      <w:r>
        <w:rPr>
          <w:rFonts w:ascii="Times New Roman" w:hAnsi="Times New Roman" w:eastAsia="Songti SC"/>
          <w:b/>
          <w:color w:val="000000"/>
        </w:rPr>
        <w:t>RemoveEdge</w:t>
      </w:r>
      <w:r>
        <w:rPr>
          <w:rFonts w:ascii="Times New Roman" w:hAnsi="Times New Roman" w:eastAsia="Songti SC"/>
          <w:color w:val="000000"/>
        </w:rPr>
        <w:t>：删除验证器拒绝且删除后不产生新引用错误的边；</w:t>
      </w:r>
    </w:p>
    <w:p>
      <w:pPr>
        <w:ind w:firstLine="0"/>
      </w:pPr>
      <w:r>
        <w:rPr>
          <w:rFonts w:ascii="Times New Roman" w:hAnsi="Times New Roman" w:eastAsia="Songti SC"/>
          <w:color w:val="000000"/>
        </w:rPr>
        <w:t xml:space="preserve">4. </w:t>
      </w:r>
      <w:r>
        <w:rPr>
          <w:rFonts w:ascii="Times New Roman" w:hAnsi="Times New Roman" w:eastAsia="Songti SC"/>
          <w:b/>
          <w:color w:val="000000"/>
        </w:rPr>
        <w:t>LocalRerun</w:t>
      </w:r>
      <w:r>
        <w:rPr>
          <w:rFonts w:ascii="Times New Roman" w:hAnsi="Times New Roman" w:eastAsia="Songti SC"/>
          <w:color w:val="000000"/>
        </w:rPr>
        <w:t>：固定当前组件集合，仅对受影响源节点的关系进行约束重预测，目标编号限定在有效组件集合内。</w:t>
      </w:r>
    </w:p>
    <w:p>
      <w:r>
        <w:rPr>
          <w:rFonts w:ascii="Times New Roman" w:hAnsi="Times New Roman" w:eastAsia="Songti SC"/>
          <w:color w:val="000000"/>
        </w:rPr>
        <w:t>对候选动作</w:t>
      </w:r>
      <m:oMath>
        <m:r>
          <m:t xml:space="preserve">a</m:t>
        </m:r>
      </m:oMath>
      <w:r>
        <w:rPr>
          <w:rFonts w:ascii="Times New Roman" w:hAnsi="Times New Roman" w:eastAsia="Songti SC"/>
          <w:color w:val="000000"/>
        </w:rPr>
        <w:t>，记执行后的结构为</w:t>
      </w:r>
      <m:oMath>
        <m:r>
          <m:t xml:space="preserve">a</m:t>
        </m:r>
        <m:r>
          <m:t xml:space="preserve">(</m:t>
        </m:r>
        <m:r>
          <m:t xml:space="preserve">S</m:t>
        </m:r>
        <m:r>
          <m:t xml:space="preserve">)</m:t>
        </m:r>
      </m:oMath>
      <w:r>
        <w:rPr>
          <w:rFonts w:ascii="Times New Roman" w:hAnsi="Times New Roman" w:eastAsia="Songti SC"/>
          <w:color w:val="000000"/>
        </w:rPr>
        <w:t>。接受条件为：</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S</m:t>
        </m:r>
        <m:r>
          <m:t xml:space="preserve">)</m:t>
        </m:r>
        <m:r>
          <m:t xml:space="preserve">=</m:t>
        </m:r>
        <m:r>
          <m:t xml:space="preserve">𝕀</m:t>
        </m:r>
        <m:r>
          <m:t xml:space="preserve">[</m:t>
        </m:r>
        <m:r>
          <m:t xml:space="preserve">a</m:t>
        </m:r>
        <m:r>
          <m:t xml:space="preserve">(</m:t>
        </m:r>
        <m:r>
          <m:t xml:space="preserve">S</m:t>
        </m:r>
        <m:r>
          <m:t xml:space="preserve">)</m:t>
        </m:r>
        <m:r>
          <m:t xml:space="preserve">∈</m:t>
        </m:r>
        <m:sSub>
          <m:e>
            <m:r>
              <m:t xml:space="preserve">𝒢</m:t>
            </m:r>
          </m:e>
          <m:sub>
            <m:r>
              <m:t xml:space="preserve">𝒜</m:t>
            </m:r>
          </m:sub>
        </m:sSub>
        <m:r>
          <m:t xml:space="preserve">]</m:t>
        </m:r>
        <m:r>
          <m:t xml:space="preserve">·</m:t>
        </m:r>
        <m:r>
          <m:t xml:space="preserve">𝕀</m:t>
        </m:r>
        <m:r>
          <m:t xml:space="preserve">[</m:t>
        </m:r>
        <m:r>
          <m:t xml:space="preserve">E</m:t>
        </m:r>
        <m:r>
          <m:t xml:space="preserve">(</m:t>
        </m:r>
        <m:r>
          <m:t xml:space="preserve">a</m:t>
        </m:r>
        <m:r>
          <m:t xml:space="preserve">(</m:t>
        </m:r>
        <m:r>
          <m:t xml:space="preserve">S</m:t>
        </m:r>
        <m:r>
          <m:t xml:space="preserve">)</m:t>
        </m:r>
        <m:r>
          <m:t xml:space="preserve">)</m:t>
        </m:r>
        <m:r>
          <m:t xml:space="preserve">≥</m:t>
        </m:r>
        <m:r>
          <m:t xml:space="preserve">E</m:t>
        </m:r>
        <m:r>
          <m:t xml:space="preserve">(</m:t>
        </m:r>
        <m:r>
          <m:t xml:space="preserve">S</m:t>
        </m:r>
        <m:r>
          <m:t xml:space="preserve">)</m:t>
        </m:r>
        <m:r>
          <m:t xml:space="preserve">]</m:t>
        </m:r>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因此，每次被接受的动作产生的图满足规定合法性检查，且在评分可重复的前提下不降低该代理评分；不满足条件的动作回退。这是对被接受后状态的性质，不保证初始图合法，也不保证最终一定合法。</w:t>
      </w:r>
    </w:p>
    <w:p>
      <w:r>
        <w:rPr>
          <w:rFonts w:ascii="Times New Roman" w:hAnsi="Times New Roman" w:eastAsia="Songti SC"/>
          <w:color w:val="000000"/>
        </w:rPr>
        <w:t>Replace在原稿中定义为替换已有位置的跨度或类型，并没有明确定义插入缺失节点。如果其实现不改变节点数量，不能据此声称找回所有遗漏Claim；LocalRerun固定组件集合，也不能补节点。Promote/Demote改变类型后须同步重查允许的边类型和拓扑，尤其不能把AAEC的stance隐式转换为关系边。待核验R08：四类动作需补充前置条件、受影响字段、坐标和ID更新规则及失败返回值。</w:t>
      </w:r>
    </w:p>
    <w:p>
      <w:pPr>
        <w:pStyle w:val="Heading3"/>
      </w:pPr>
      <w:r>
        <w:t>4.4.3 终止条件与计算预算</w:t>
      </w:r>
    </w:p>
    <w:p>
      <w:r>
        <w:rPr>
          <w:rFonts w:ascii="Times New Roman" w:hAnsi="Times New Roman" w:eastAsia="Songti SC"/>
          <w:color w:val="000000"/>
        </w:rPr>
        <w:t>原稿设置最多执行</w:t>
      </w:r>
      <m:oMath>
        <m:r>
          <m:t xml:space="preserve">T</m:t>
        </m:r>
        <m:r>
          <m:t xml:space="preserve">=</m:t>
        </m:r>
        <m:r>
          <m:t xml:space="preserve">3</m:t>
        </m:r>
      </m:oMath>
      <w:r>
        <w:rPr>
          <w:rFonts w:ascii="Times New Roman" w:hAnsi="Times New Roman" w:eastAsia="Songti SC"/>
          <w:color w:val="000000"/>
        </w:rPr>
        <w:t>轮，每轮最多接受</w:t>
      </w:r>
      <m:oMath>
        <m:r>
          <m:t xml:space="preserve">M</m:t>
        </m:r>
        <m:r>
          <m:t xml:space="preserve">=</m:t>
        </m:r>
        <m:r>
          <m:t xml:space="preserve">2</m:t>
        </m:r>
      </m:oMath>
      <w:r>
        <w:rPr>
          <w:rFonts w:ascii="Times New Roman" w:hAnsi="Times New Roman" w:eastAsia="Songti SC"/>
          <w:color w:val="000000"/>
        </w:rPr>
        <w:t>个动作。以下为保留原语义的伪代码；GenerateActions需返回有限序列，模型调用需有超时或解码上限，否则仅靠外层预算不足以保证整个程序终止。</w:t>
      </w:r>
    </w:p>
    <w:p>
      <w:pPr>
        <w:keepNext/>
        <w:ind w:firstLine="0"/>
        <w:jc w:val="center"/>
      </w:pPr>
      <w:r>
        <w:rPr>
          <w:rFonts w:ascii="Times New Roman" w:hAnsi="Times New Roman" w:eastAsia="Songti SC"/>
          <w:color w:val="000000"/>
          <w:sz w:val="22"/>
        </w:rPr>
        <w:t>算法4-1 原稿有界修正流程及其接口要求</w:t>
      </w:r>
    </w:p>
    <w:p>
      <w:pPr>
        <w:keepLines/>
        <w:spacing w:line="264" w:lineRule="auto" w:before="100" w:after="180"/>
        <w:ind w:firstLine="0" w:left="170"/>
      </w:pPr>
      <w:r>
        <w:rPr>
          <w:rFonts w:ascii="Courier New" w:hAnsi="Courier New" w:eastAsia="Songti SC"/>
          <w:color w:val="000000"/>
          <w:sz w:val="19"/>
        </w:rPr>
        <w:t>输入：候选图集合 {S1,...,SK}，最大轮数 T，每轮动作预算 M</w:t>
        <w:br/>
        <w:t>输出：修正后的论辩图 S</w:t>
        <w:br/>
        <w:br/>
        <w:t>S ← argmax E(Sk)</w:t>
        <w:br/>
        <w:t>for t = 1,...,T:</w:t>
        <w:br/>
        <w:t xml:space="preserve">    errors ← DetectErrors(S)</w:t>
        <w:br/>
        <w:t xml:space="preserve">    if errors 中不存在触发项:</w:t>
        <w:br/>
        <w:t xml:space="preserve">        break</w:t>
        <w:br/>
        <w:t xml:space="preserve">    accepted ← 0</w:t>
        <w:br/>
        <w:t xml:space="preserve">    for e in SortBySeverity(errors):</w:t>
        <w:br/>
        <w:t xml:space="preserve">        for a in GenerateActions(e, candidate_pool):</w:t>
        <w:br/>
        <w:t xml:space="preserve">            S' ← a(S)</w:t>
        <w:br/>
        <w:t xml:space="preserve">            if Valid(S') and E(S') ≥ E(S):</w:t>
        <w:br/>
        <w:t xml:space="preserve">                S ← S'</w:t>
        <w:br/>
        <w:t xml:space="preserve">                accepted ← accepted + 1</w:t>
        <w:br/>
        <w:t xml:space="preserve">                break</w:t>
        <w:br/>
        <w:t xml:space="preserve">        if accepted = M:</w:t>
        <w:br/>
        <w:t xml:space="preserve">            break</w:t>
        <w:br/>
        <w:t xml:space="preserve">    if accepted = 0:</w:t>
        <w:br/>
        <w:t xml:space="preserve">        break</w:t>
        <w:br/>
        <w:t>return S</w:t>
      </w:r>
    </w:p>
    <w:p>
      <w:r>
        <w:rPr>
          <w:rFonts w:ascii="Times New Roman" w:hAnsi="Times New Roman" w:eastAsia="Songti SC"/>
          <w:color w:val="000000"/>
        </w:rPr>
        <w:t>算法在三种情况下退出外层迭代：不存在触发异常、当前动作空间中没有可接受修改、轮数预算耗尽。在动作生成有限且每次调用终止的前提下，总接受动作数不超过</w:t>
      </w:r>
      <m:oMath>
        <m:r>
          <m:t xml:space="preserve">T</m:t>
        </m:r>
        <m:r>
          <m:t xml:space="preserve">M</m:t>
        </m:r>
        <m:r>
          <m:t xml:space="preserve">=</m:t>
        </m:r>
        <m:r>
          <m:t xml:space="preserve">6</m:t>
        </m:r>
      </m:oMath>
      <w:r>
        <w:rPr>
          <w:rFonts w:ascii="Times New Roman" w:hAnsi="Times New Roman" w:eastAsia="Songti SC"/>
          <w:color w:val="000000"/>
        </w:rPr>
        <w:t>。这一界限不约束被拒绝的尝试次数，不能据此声称最多发生6次额外模型调用。</w:t>
      </w:r>
    </w:p>
    <w:p>
      <w:commentRangeStart w:id="15"/>
      <w:r>
        <w:rPr>
          <w:rFonts w:ascii="Times New Roman" w:hAnsi="Times New Roman" w:eastAsia="Songti SC"/>
          <w:color w:val="000000"/>
        </w:rPr>
        <w:t>新参考实现补充每文档最多24次动作尝试、每异常最多4个动作候选、全部生成及验证合计最多128次调用、累计最多32768个输出token；普通单次生成上限1024，边级判断上限32。拒绝和失败调用均入账；复用候选池也保留候选生成的逻辑成本，实际新增调用另列。每次接受后更新异常并记录访问状态，避免等分往返。预算耗尽时保留最后已接受图或返回显式失败，不填入未验证输出。以上默认值是新工程配置，尚未由验证集成本曲线确定，也不提供硬墙钟超时保证。</w:t>
      </w:r>
      <w:commentRangeEnd w:id="15"/>
      <w:r>
        <w:commentReference w:id="15"/>
      </w:r>
    </w:p>
    <w:p>
      <w:pPr>
        <w:pStyle w:val="Heading3"/>
      </w:pPr>
      <w:r>
        <w:t>4.4.4 代理目标与可恢复性分析</w:t>
      </w:r>
    </w:p>
    <w:p>
      <w:r>
        <w:rPr>
          <w:rFonts w:ascii="Times New Roman" w:hAnsi="Times New Roman" w:eastAsia="Songti SC"/>
          <w:color w:val="000000"/>
        </w:rPr>
        <w:t>命题一：若验证器结果固定或缓存，评分函数固定，且每次仅接受</w:t>
      </w:r>
      <m:oMath>
        <m:r>
          <m:t xml:space="preserve">E</m:t>
        </m:r>
        <m:r>
          <m:t xml:space="preserve">(</m:t>
        </m:r>
        <m:r>
          <m:t xml:space="preserve">S</m:t>
        </m:r>
        <m:r>
          <m:t xml:space="preserve">'</m:t>
        </m:r>
        <m:r>
          <m:t xml:space="preserve">)</m:t>
        </m:r>
        <m:r>
          <m:t xml:space="preserve">≥</m:t>
        </m:r>
        <m:r>
          <m:t xml:space="preserve">E</m:t>
        </m:r>
        <m:r>
          <m:t xml:space="preserve">(</m:t>
        </m:r>
        <m:r>
          <m:t xml:space="preserve">S</m:t>
        </m:r>
        <m:r>
          <m:t xml:space="preserve">)</m:t>
        </m:r>
      </m:oMath>
      <w:r>
        <w:rPr>
          <w:rFonts w:ascii="Times New Roman" w:hAnsi="Times New Roman" w:eastAsia="Songti SC"/>
          <w:color w:val="000000"/>
        </w:rPr>
        <w:t>的动作，则被接受状态的评分序列单调不降。证明由接受条件逐次应用直接得到。若逐次重新随机调用验证器而不固定结果，同一图的分数也可能变化，因而这一命题的前提不再成立。由于评分范围有界，这一数值性质不意味着在有限时间达到全局最优，也不意味着Relation-F1单调提高；本文的停止依据仍是显式预算与有限动作空间。</w:t>
      </w:r>
    </w:p>
    <w:p>
      <w:r>
        <w:rPr>
          <w:rFonts w:ascii="Times New Roman" w:hAnsi="Times New Roman" w:eastAsia="Songti SC"/>
          <w:color w:val="000000"/>
        </w:rPr>
        <w:t>命题二：软合法性加权不能保证初始选择合法。按原稿权重，一个非法图若覆盖与连贯性都为1，可得0.8；一个合法图若两项都为0.5，则得0.6。最大加权分可能选中非法图。这是由评分式构造的反例，不是实际测试样本。</w:t>
      </w:r>
    </w:p>
    <w:p>
      <w:r>
        <w:rPr>
          <w:rFonts w:ascii="Times New Roman" w:hAnsi="Times New Roman" w:eastAsia="Songti SC"/>
          <w:color w:val="000000"/>
        </w:rPr>
        <w:t>命题三：全图合法后才接受的条件可能阻碍逐步修复。若初始图有两个独立无效引用，一次局部动作只修复其中一个，修改后的图仍不合法，因此被拒绝；即使两步组合能得到合法图，当前一步式接受规则也不一定能走到该状态。原稿同时报告残余无效ID，因此不能宣称BR保证最终输出全部合法。</w:t>
      </w:r>
    </w:p>
    <w:p>
      <w:r>
        <w:rPr>
          <w:rFonts w:ascii="Times New Roman" w:hAnsi="Times New Roman" w:eastAsia="Songti SC"/>
          <w:color w:val="000000"/>
        </w:rPr>
        <w:t>上述分析说明，现有方法的可陈述保证是“有限前提下的步数界”和“固定代理评分下的接受状态非下降”，不是语义正确性或全局最优保证。附录B提出可行候选优先、非法状态处置和总调用预算的修订建议；其中部分已在新项目提供独立选项或预算接口，仍未正式评测，不能回填为本章已有实验的生成过程。</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pPr>
        <w:pStyle w:val="Heading3"/>
      </w:pPr>
      <w:commentRangeStart w:id="7"/>
      <w:r>
        <w:t>4.5.3 近期相关方法的比较边界</w:t>
      </w:r>
      <w:commentRangeEnd w:id="7"/>
      <w:r>
        <w:commentReference w:id="7"/>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[22]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pPr>
        <w:pStyle w:val="Heading3"/>
      </w:pPr>
      <w:commentRangeStart w:id="16"/>
      <w:r>
        <w:t>4.5.4 配置核对与新实验命名</w:t>
      </w:r>
      <w:commentRangeEnd w:id="16"/>
      <w:r>
        <w:commentReference w:id="16"/>
      </w:r>
    </w:p>
    <w:p>
      <w:r>
        <w:rPr>
          <w:rFonts w:ascii="Times New Roman" w:hAnsi="Times New Roman" w:eastAsia="Songti SC"/>
          <w:color w:val="000000"/>
        </w:rPr>
        <w:t>原稿明确列出的骨干、LoRA秩与缩放、提示长度、辅助权重、三项评分权重及K/T/M可以登记为“稿件声称的配置”，但没有日志就不能升级为“已执行并验证”。学习率、划分ID、目标层、dropout、种子、重复数及硬件等缺项不能用常见取值补作历史事实。附录D列出新项目的确定配置，供重新实验，不作为表3-1至表5-2的运行来源。</w:t>
      </w:r>
    </w:p>
    <w:p>
      <w:r>
        <w:rPr>
          <w:rFonts w:ascii="Times New Roman" w:hAnsi="Times New Roman" w:eastAsia="Songti SC"/>
          <w:color w:val="000000"/>
        </w:rPr>
        <w:t>新项目将Single-Pass限定为一次联合整图生成，将staged-K1限定为一次组件生成加一次固定组件的关系生成；K3-LogProb、K3-Rerank、K3-Rerank-BR则使用完整候选图，并可复用同一冻结候选池。训练模块及数据消融必须重新训练，推理消融则固定检查点。这一命名区分不能自行解释81.67与77.82的历史冲突，两个旧值仍保留待核验。</w:t>
      </w:r>
    </w:p>
    <w:p>
      <w:r>
        <w:rPr>
          <w:rFonts w:ascii="Times New Roman" w:hAnsi="Times New Roman" w:eastAsia="Songti SC"/>
          <w:color w:val="000000"/>
        </w:rPr>
        <w:t>公平比较需核对实际预算。同样3个epoch在增强后通常对应更多更新；新代码提供更新步数上限，但仍需检查实际步数、样本/token量和检查点选择是否匹配。移除软合法性评分不等于取消修正动作的硬合法性检查。新项目尚未实现所有旧表基线，未完成真实数据训练、多个种子重复或显著性检验。</w:t>
      </w:r>
    </w:p>
    <w:p>
      <w:pPr>
        <w:pStyle w:val="Heading2"/>
      </w:pPr>
      <w:r>
        <w:t>4.6 域内主要结果</w:t>
      </w:r>
    </w:p>
    <w:p>
      <w:pPr>
        <w:pStyle w:val="Heading3"/>
      </w:pPr>
      <w:r>
        <w:t>4.6.1 AAEC结果</w:t>
      </w:r>
    </w:p>
    <w:p>
      <w:pPr>
        <w:keepNext/>
        <w:ind w:firstLine="0"/>
        <w:jc w:val="center"/>
      </w:pPr>
      <w:r>
        <w:rPr>
          <w:rFonts w:ascii="Times New Roman" w:hAnsi="Times New Roman" w:eastAsia="Songti SC"/>
          <w:color w:val="000000"/>
          <w:sz w:val="22"/>
        </w:rPr>
        <w:t>表4-1 AAEC域内结果原稿记录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按表4-1记录，Full相对FLAN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表4-2 CDCP域内结果原稿记录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按表4-2记录，CDCP上的Full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表4-3 模块消融原稿记录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仅重排序到Full的差值为2.62个点；只有在两者使用相同检查点、相同缓存候选池和相同评价脚本时，这才是对加入BR的有效对照。去除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训练模块消融反映其在其他模块保留时的条件差异，不能把各差值相加。本稿尚缺等样本量普通改写、无增强、无</w:t>
      </w:r>
      <m:oMath>
        <m:sSub>
          <m:e>
            <m:r>
              <m:t xml:space="preserve">E</m:t>
            </m:r>
          </m:e>
          <m:sub>
            <m:r>
              <m:t xml:space="preserve">d</m:t>
            </m:r>
            <m:r>
              <m:t xml:space="preserve">e</m:t>
            </m:r>
            <m:r>
              <m:t xml:space="preserve">n</m:t>
            </m:r>
            <m:r>
              <m:t xml:space="preserve">s</m:t>
            </m:r>
          </m:sub>
        </m:sSub>
      </m:oMath>
      <w:r>
        <w:rPr>
          <w:rFonts w:ascii="Times New Roman" w:hAnsi="Times New Roman" w:eastAsia="Songti SC"/>
          <w:color w:val="000000"/>
        </w:rPr>
        <w:t>、无</w:t>
      </w:r>
      <m:oMath>
        <m:sSub>
          <m:e>
            <m:r>
              <m:t xml:space="preserve">E</m:t>
            </m:r>
          </m:e>
          <m:sub>
            <m:r>
              <m:t xml:space="preserve">c</m:t>
            </m:r>
            <m:r>
              <m:t xml:space="preserve">o</m:t>
            </m:r>
            <m:r>
              <m:t xml:space="preserve">h</m:t>
            </m:r>
          </m:sub>
        </m:sSub>
      </m:oMath>
      <w:r>
        <w:rPr>
          <w:rFonts w:ascii="Times New Roman" w:hAnsi="Times New Roman" w:eastAsia="Songti SC"/>
          <w:color w:val="000000"/>
        </w:rPr>
        <w:t>、逐动作移除和候选数—成本曲线等对照。因此当前表格没有完全分离增强、候选覆盖、选择器与修正操作的贡献。</w:t>
      </w:r>
    </w:p>
    <w:p>
      <w:pPr>
        <w:pStyle w:val="Heading3"/>
      </w:pPr>
      <w:r>
        <w:t>4.7.2 验证器替换分析</w:t>
      </w:r>
    </w:p>
    <w:p>
      <w:pPr>
        <w:keepNext/>
        <w:ind w:firstLine="0"/>
        <w:jc w:val="center"/>
      </w:pPr>
      <w:r>
        <w:rPr>
          <w:rFonts w:ascii="Times New Roman" w:hAnsi="Times New Roman" w:eastAsia="Songti SC"/>
          <w:color w:val="000000"/>
          <w:sz w:val="22"/>
        </w:rPr>
        <w:t>表4-4 验证器替换原稿记录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表4-5 Oracle条件结果原稿记录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按表4-5记录，Candidate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表4-6 修正行为原稿记录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MCR-BR还带来额外推理成本。</w:t>
      </w:r>
      <m:oMath>
        <m:r>
          <m:t xml:space="preserve">K</m:t>
        </m:r>
        <m:r>
          <m:t xml:space="preserve">=</m:t>
        </m:r>
        <m:r>
          <m:t xml:space="preserve">3</m:t>
        </m:r>
      </m:oMath>
      <w:r>
        <w:rPr>
          <w:rFonts w:ascii="Times New Roman" w:hAnsi="Times New Roman" w:eastAsia="Songti SC"/>
          <w:color w:val="000000"/>
        </w:rPr>
        <w:t>候选和逐边验证增加了并行计算量，局部修复则引入顺序解码。现有</w:t>
      </w:r>
      <m:oMath>
        <m:r>
          <m:t xml:space="preserve">T</m:t>
        </m:r>
        <m:r>
          <m:t xml:space="preserve">=</m:t>
        </m:r>
        <m:r>
          <m:t xml:space="preserve">3</m:t>
        </m:r>
      </m:oMath>
      <w:r>
        <w:rPr>
          <w:rFonts w:ascii="Times New Roman" w:hAnsi="Times New Roman" w:eastAsia="Songti SC"/>
          <w:color w:val="000000"/>
        </w:rPr>
        <w:t>和</w:t>
      </w:r>
      <m:oMath>
        <m:r>
          <m:t xml:space="preserve">M</m:t>
        </m:r>
        <m:r>
          <m:t xml:space="preserve">=</m:t>
        </m:r>
        <m:r>
          <m:t xml:space="preserve">2</m:t>
        </m:r>
      </m:oMath>
      <w:r>
        <w:rPr>
          <w:rFonts w:ascii="Times New Roman" w:hAnsi="Times New Roman" w:eastAsia="Songti SC"/>
          <w:color w:val="000000"/>
        </w:rPr>
        <w:t>仅限制轮数与接受动作数，尚未给出最坏调用成本上界。若有</w:t>
      </w:r>
      <m:oMath>
        <m:sSub>
          <m:e>
            <m:r>
              <m:t xml:space="preserve">A</m:t>
            </m:r>
          </m:e>
          <m:sub>
            <m:r>
              <m:t xml:space="preserve">t</m:t>
            </m:r>
            <m:r>
              <m:t xml:space="preserve">r</m:t>
            </m:r>
            <m:r>
              <m:t xml:space="preserve">y</m:t>
            </m:r>
          </m:sub>
        </m:sSub>
      </m:oMath>
      <w:r>
        <w:rPr>
          <w:rFonts w:ascii="Times New Roman" w:hAnsi="Times New Roman" w:eastAsia="Songti SC"/>
          <w:color w:val="000000"/>
        </w:rPr>
        <w:t>次动作尝试，每次还可能涉及多个边验证调用，实际开销取决于候选边数、验证批处理和缓存策略。应测量生成与验证的调用次数、输入输出token、端到端平均及P95时延、峰值显存，并在相同硬件上与Single-Pass比较。当前没有这些记录，不能定量宣称效率改善或成本已严格受控。</w:t>
      </w:r>
    </w:p>
    <w:p>
      <w:r>
        <w:rPr>
          <w:rFonts w:ascii="Times New Roman" w:hAnsi="Times New Roman" w:eastAsia="Songti SC"/>
          <w:color w:val="000000"/>
        </w:rPr>
        <w:t>新项目现有预算接口只说明后续能够记录并限制哪些计算，不提供上述历史成本数据，也不证明在目标GPU上的效率优势。</w:t>
      </w:r>
    </w:p>
    <w:p>
      <w:pPr>
        <w:pStyle w:val="Heading2"/>
      </w:pPr>
      <w:r>
        <w:t>4.9 本章小结</w:t>
      </w:r>
    </w:p>
    <w:p>
      <w:r>
        <w:rPr>
          <w:rFonts w:ascii="Times New Roman" w:hAnsi="Times New Roman" w:eastAsia="Songti SC"/>
          <w:color w:val="000000"/>
        </w:rPr>
        <w:t>本章以完整候选图为评估对象，将多候选选择与异常驱动局部修正连接起来，明确了异常、动作、接受条件和回退的关系。这是相对于一般多采样和自由文本自修正的具体设计差异，而不是对两类已有思想的首次提出。现有域内、消融、验证器替换和Oracle记录为分析完整配置提供依据；BR的净收益需在固定候选池下解释，额外计算的价值需经预算匹配比较。软合法性、非法初始图恢复和遗漏节点操作仍限定着当前方法的适用范围。</w:t>
      </w:r>
    </w:p>
    <w:p>
      <w:pPr>
        <w:pStyle w:val="Heading1"/>
      </w:pPr>
      <w:r>
        <w:t>第五章 粗粒度标签协议下的跨语料迁移分析</w:t>
      </w:r>
    </w:p>
    <w:p>
      <w:commentRangeStart w:id="8"/>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[23]不同，本章声明的零样本设定仅使用源域训练监督。鉴于近期句子级论辩识别研究揭示了词汇线索与跨数据集泛化之间的风险[24]，本章特别区分领域变化、标签归约和评价口径，避免将域内正向结果直接外推到目标域。</w:t>
      </w:r>
      <w:commentRangeEnd w:id="8"/>
      <w:r>
        <w:commentReference w:id="8"/>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原稿对迁移时输出源标签还是目标标签没有提供可核验记录。新参考实现明确继续输出AAEC源标签，并只在评价阶段把预测与CDCP金标准分别映射为粗类型及有向Link；不向生成器提供目标域标注示例，也不切换为目标细粒度输出Schema。候选数、评分权重、完整性阈值和修正预算均沿用源域配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commentRangeStart w:id="17"/>
      <w:r>
        <w:rPr>
          <w:rFonts w:ascii="Times New Roman" w:hAnsi="Times New Roman" w:eastAsia="Songti SC"/>
          <w:color w:val="000000"/>
        </w:rPr>
        <w:t>新实现把标签对齐限制在评价阶段的确定性映射，Link端点默认要求边界及粗类型一致；不使用目标测试结果调节阈值。源域Schema和图约束可能限制目标域输出，是需要评估的协议选择。所有指标基于预测组件计算；旧表是否遵循该新定义仍待R14核验。</w:t>
      </w:r>
      <w:commentRangeEnd w:id="17"/>
      <w:r>
        <w:commentReference w:id="17"/>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记录。</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局部重预测比整图重新生成更少破坏已经正确的目标域结构。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pPr>
        <w:keepLines/>
      </w:pPr>
      <w:r>
        <w:rPr>
          <w:rFonts w:ascii="Times New Roman" w:hAnsi="Times New Roman" w:eastAsia="Songti SC"/>
          <w:color w:val="000000"/>
        </w:rPr>
        <w:t>本章在明确标签映射和无标签连接评价范围的基础上，完成AAEC到CDCP的零样本迁移验证。原稿记录中MCR-BR的组件和连接指标高于列出的零样本基线，但该结论仅限同一映射和同一目标评价协议，且仍需核验数据使用边界。标签归约、单向迁移和预训练污染风险限制了对跨领域泛化的进一步解释。</w:t>
      </w:r>
    </w:p>
    <w:p>
      <w:pPr>
        <w:pStyle w:val="Heading1"/>
      </w:pPr>
      <w:r>
        <w:t>第六章 总结与展望</w:t>
      </w:r>
    </w:p>
    <w:p>
      <w:pPr>
        <w:pStyle w:val="Heading2"/>
      </w:pPr>
      <w:commentRangeStart w:id="9"/>
      <w:r>
        <w:t>6.1 工作总结</w:t>
      </w:r>
      <w:commentRangeEnd w:id="9"/>
      <w:r>
        <w:commentReference w:id="9"/>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基于完整候选图评估与异常驱动局部修正的MCR-BR方法。多个组件假设分别生成候选论辩图，图级评分用于选择初始结构，异常检测用于触发局部动作，接受检查与回退用于控制修改过程。与仅增加采样次数或自由文本自修正相比，该方法明确了候选对象、反馈粒度和修改边界。其当前性质限于给定前提下的修正步数限制和固定代理评分下的接受状态非下降，不包括全局最优、最终必然合法或任意遗漏节点恢复的保证。</w:t>
      </w:r>
    </w:p>
    <w:p>
      <w:r>
        <w:rPr>
          <w:rFonts w:ascii="Times New Roman" w:hAnsi="Times New Roman" w:eastAsia="Songti SC"/>
          <w:color w:val="000000"/>
        </w:rPr>
        <w:t>第三，在域内和规定的跨语料协议下分析方法表现。原稿记录中，Full在AAEC上的Component-F1和Relation-F1为83.71和64.83，在CDCP上为76.45和38.17；在AAEC到CDCP的粗粒度组件与有向无标签连接协议下，两项指标分别为60.78和43.21。上述结果保留为完整配置的实验记录，不将总增益分配给某一模块，也不将不同标签协议的分数直接相减解释领域退化。</w:t>
      </w:r>
    </w:p>
    <w:p>
      <w:r>
        <w:rPr>
          <w:rFonts w:ascii="Times New Roman" w:hAnsi="Times New Roman" w:eastAsia="Songti SC"/>
          <w:color w:val="000000"/>
        </w:rPr>
        <w:t>相关工作比较表明，生成式联合抽取、篇章结构引导和论辩候选判断已有相邻研究。本文可主张的具体贡献应落在结论中心局部结构保持增强，以及完整候选图评估与异常驱动局部修正的设计和实证分析上。当前工作仍需完成配置对应、增强独立消融和预算匹配验证，才能进一步确认两项方法各自的增量价值；跨语料结果则仅支持所采用迁移方向与标签归约下的适用性判断。</w:t>
      </w:r>
    </w:p>
    <w:p>
      <w:pPr>
        <w:pStyle w:val="Heading2"/>
      </w:pPr>
      <w:r>
        <w:t>6.2 当前不足与后续研究</w:t>
      </w:r>
    </w:p>
    <w:p>
      <w:r>
        <w:rPr>
          <w:rFonts w:ascii="Times New Roman" w:hAnsi="Times New Roman" w:eastAsia="Songti SC"/>
          <w:color w:val="000000"/>
        </w:rPr>
        <w:t>首先，实验可追溯性尚不完整。应优先绑定每张结果表与实际运行配置，解决第三章和第四章同名方法的分数差异，补齐评价脚本、数据划分、重复次数及“±”含义。这些工作属于现有结论的验证前提，不应全部放入长期展望。</w:t>
      </w:r>
    </w:p>
    <w:p>
      <w:r>
        <w:rPr>
          <w:rFonts w:ascii="Times New Roman" w:hAnsi="Times New Roman" w:eastAsia="Songti SC"/>
          <w:color w:val="000000"/>
        </w:rPr>
        <w:t>本轮已补充独立参考实现和配置说明，使重新实验具有代码起点；但软件测试不是方法有效性验证。在取得真实数据及模型、完成原始标注抽检并运行正式对照前，仍不能将新项目视为表格结果的复现证据。</w:t>
      </w:r>
    </w:p>
    <w:p>
      <w:r>
        <w:rPr>
          <w:rFonts w:ascii="Times New Roman" w:hAnsi="Times New Roman" w:eastAsia="Songti SC"/>
          <w:color w:val="000000"/>
        </w:rPr>
        <w:t>其次，训练增强的独立贡献尚未分离。后续应在等训练预算下比较无增强、普通改写和结构感知增强，报告类别数量、筛选通过率、人工抽检及Premise表现；条件适配器需在训练与推理可用信息一致的实现下重新核验。</w:t>
      </w:r>
    </w:p>
    <w:p>
      <w:r>
        <w:rPr>
          <w:rFonts w:ascii="Times New Roman" w:hAnsi="Times New Roman" w:eastAsia="Songti SC"/>
          <w:color w:val="000000"/>
        </w:rPr>
        <w:t>再次，图级修正需要同时控制错误修改与计算成本。除当前接受动作预算外，应定义被拒绝尝试的上限、验证缓存和失败返回策略。评价时应包含原本正确对象被破坏的比例，以及性能—时延—token开销的对照，避免只以代理分数或合法率衡量修正收益。</w:t>
      </w:r>
    </w:p>
    <w:p>
      <w:r>
        <w:rPr>
          <w:rFonts w:ascii="Times New Roman" w:hAnsi="Times New Roman" w:eastAsia="Songti SC"/>
          <w:color w:val="000000"/>
        </w:rPr>
        <w:t>最后，跨语料证据只覆盖一种归约和一个方向。双向迁移、更多目标语料、不同映射策略以及预训练污染审计可以检验结论的稳定性。在完成这些验证之前，中文、多语言及长篇专业文本仍属于待研究范围。</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MADAAN A, TANDON N, GUPTA P, et al. Self-Refine: Iterative refinement with self-feedback[EB/OL]. arXiv:2303.17651v2, 2023[2026-09-13]. DOI: 10.48550/arXiv.2303.17651.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HUANG J, CHEN X, MISHRA S, et al. Large language models cannot self-correct reasoning yet[EB/OL]. arXiv:2310.01798v2, 2024[2026-09-13]. DOI: 10.48550/arXiv.2310.01798.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WANG X, WEI J, SCHUURMANS D, et al. Self-consistency improves chain of thought reasoning in language models[EB/OL]. arXiv:2203.11171v4, 2023[2026-09-13]. DOI: 10.48550/arXiv.2203.11171.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MORIO G, OZAKI H, MORISHITA T, et al. End-to-end argument mining with cross-corpora multi-task learning[J]. Transactions of the Association for Computational Linguistics, 2022, 10: 639–658. DOI: 10.1162/tacl_a_00481.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VASWANI A, SHAZEER N, PARMAR N, et al. Attention is all you need[EB/OL]. arXiv:1706.03762, 2017[2026-09-13]. DOI: 10.48550/arXiv.1706.03762.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QWEN TEAM. Qwen2.5 technical report[EB/OL]. arXiv:2412.15115, 2024[2026-09-13]. DOI: 10.48550/arXiv.2412.15115.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HU E J, SHEN Y, WALLIS P, et al. LoRA: Low-rank adaptation of large language models[EB/OL]. arXiv:2106.09685, 2021[2026-09-13]. DOI: 10.48550/arXiv.2106.09685.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0">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历史结果的14项未决事项。新项目已提供若干对应接口和测试，但不是原实验材料，因此下列事项不自动关闭。每项应以原始记录，或明确另列的新实验配置、日志、数据清单与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最小补实验顺序为：先复现同一Single-Pass和Full配置，再在固定候选池上比较序列概率、验证器评分和BR；其后完成增强独立消融、合法性与语义评分消融、等计算预算对比。验证器人工评价和跨域扩展应在评价脚本稳定后开展，以免重复标注和重跑。</w:t>
      </w:r>
    </w:p>
    <w:p>
      <w:pPr>
        <w:pStyle w:val="Heading1"/>
      </w:pPr>
      <w:r>
        <w:t>附录B 算法修订建议</w:t>
      </w:r>
    </w:p>
    <w:p>
      <w:pPr>
        <w:spacing w:line="380" w:lineRule="exact"/>
      </w:pPr>
      <w:r>
        <w:rPr>
          <w:rFonts w:ascii="Times New Roman" w:hAnsi="Times New Roman" w:eastAsia="Songti SC"/>
          <w:color w:val="000000"/>
          <w:sz w:val="22"/>
        </w:rPr>
        <w:t>本附录给出针对第四章逻辑缺口的可实验建议。新项目已提供合法优先选择选项、尝试/调用/token上限及逐次日志；没有实现非法中间状态的分阶段修复或Insert。所有建议均未使用原稿分数验证。</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新项目采用的默认值见4.4.3节，属于待验证的新工程上限，而不是对原实验的补填；最终仍应依据验证集性能—成本曲线选择。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1"/>
      </w:pPr>
      <w:r>
        <w:t>附录C 修订与辅助工具使用说明</w:t>
      </w:r>
    </w:p>
    <w:p>
      <w:pPr>
        <w:spacing w:line="380" w:lineRule="exact"/>
      </w:pPr>
      <w:commentRangeStart w:id="10"/>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commentRangeEnd w:id="10"/>
      <w:r>
        <w:commentReference w:id="10"/>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p>
      <w:pPr>
        <w:spacing w:line="380" w:lineRule="exact"/>
      </w:pPr>
      <w:r>
        <w:rPr>
          <w:rFonts w:ascii="Times New Roman" w:hAnsi="Times New Roman" w:eastAsia="Songti SC"/>
          <w:color w:val="000000"/>
          <w:sz w:val="22"/>
        </w:rPr>
        <w:t>0914-v2轮次在作者明确授权后新建实验代码，并完成构造数据与随机初始化小模型的前向、反向、短训练、保存和重载测试。上一段“未运行训练实验”对应0914文稿修订轮次；本轮运行的是软件测试，未进行真实语料上的正式模型训练、效能比较或人工标注。参考实现中新增的超参数与协议均有来源分级及代码记录；作者仍需审阅生成代码、核对理论定义并对最终研究事实负责。</w:t>
      </w:r>
    </w:p>
    <w:p>
      <w:pPr>
        <w:pStyle w:val="Heading1"/>
      </w:pPr>
      <w:r>
        <w:t>附录D 新参考实现与复现实验接口</w:t>
      </w:r>
    </w:p>
    <w:p>
      <w:pPr>
        <w:pStyle w:val="Heading2"/>
      </w:pPr>
      <w:r>
        <w:t>D.1 身份与配置来源</w:t>
      </w:r>
    </w:p>
    <w:p>
      <w:pPr>
        <w:spacing w:line="380" w:lineRule="exact"/>
      </w:pPr>
      <w:r>
        <w:rPr>
          <w:rFonts w:ascii="Times New Roman" w:hAnsi="Times New Roman" w:eastAsia="Songti SC"/>
          <w:color w:val="000000"/>
          <w:sz w:val="22"/>
        </w:rPr>
        <w:t>项目名为argument_mining_0914，实现标识为0914-reference-v1。其来源是本次依据论文进行的新开发，不是原实验仓库。项目含数据转换、精确匹配评价、训练与增强、五种推理策略、四类局部动作、19份具名配置及运行说明；不存在与旧表分数绑定的真实运行记录。表D-1中“沿用原稿取值”仅指文字取值一致，不代表原实验已经验证。</w:t>
      </w:r>
    </w:p>
    <w:p>
      <w:pPr>
        <w:keepNext/>
        <w:spacing w:line="380" w:lineRule="exact"/>
        <w:ind w:firstLine="0"/>
        <w:jc w:val="center"/>
      </w:pPr>
      <w:r>
        <w:rPr>
          <w:rFonts w:ascii="Times New Roman" w:hAnsi="Times New Roman" w:eastAsia="Songti SC"/>
          <w:color w:val="000000"/>
          <w:sz w:val="22"/>
        </w:rPr>
        <w:t>表D-1 新参考实现配置与证据来源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配置组</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新实现取值或规则</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来源及限制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骨干与核心参数</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Qwen2.5-7B-Instruct；r=16，alpha=32；m=4；辅助权重0.5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沿用原稿取值；本地未提供该模型权重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评分与修正</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权重0.4/0.4/0.2；K=3；T=3；M=2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沿用原稿取值；M计接受动作，不计总调用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训练优化</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AdamW；lr=0.0002；3轮；微批1、累积8；dev生成损失早停</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学习率、轮数、累积数及选择细则为本次新设；未运行正式训练</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目标层与随机性</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q_proj/v_proj；dropout=0.05；默认seed=17</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新实现选择；不填作旧实验种子或目标层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生成与长度</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temperature=0.7；top-p=0.9；单次最多1024新token；上下文8192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新实现选择；超长显式失败，不静默截断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设备与软件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具名训练配置为CUDA/bfloat16；Torch 2.8.0、Transformers 4.57.6</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目标GPU未验证；本机仅CPU小模型测试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总预算与缓存</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每文档24次动作尝试；128次调用；32768输出token</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新预算接口；复用候选生成成本仍计逻辑预算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评价与划分</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显式train/dev/test ID；跨度与类型精确匹配micro-F1</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新评价协议；不能追认原表指标与划分</w:t>
            </w:r>
          </w:p>
        </w:tc>
      </w:tr>
    </w:tbl>
    <w:p>
      <w:pPr>
        <w:spacing w:after="0" w:line="240" w:lineRule="auto"/>
      </w:pPr>
    </w:p>
    <w:p>
      <w:pPr>
        <w:spacing w:line="380" w:lineRule="exact"/>
      </w:pPr>
      <w:r>
        <w:rPr>
          <w:rFonts w:ascii="Times New Roman" w:hAnsi="Times New Roman" w:eastAsia="Songti SC"/>
          <w:color w:val="000000"/>
          <w:sz w:val="22"/>
        </w:rPr>
        <w:t>默认训练数据为原始训练集，结构增强并不因使用名为Full的配置自动发生；需显式将增强后的train文件传入并记录哈希。模块配置和数据版本共同决定实验身份。更多取值、提示、句子切分、数据格式及动作字段见项目实现说明。</w:t>
      </w:r>
    </w:p>
    <w:p>
      <w:pPr>
        <w:pStyle w:val="Heading2"/>
      </w:pPr>
      <w:r>
        <w:t>D.2 输入输出与可追溯性</w:t>
      </w:r>
    </w:p>
    <w:p>
      <w:pPr>
        <w:spacing w:line="380" w:lineRule="exact"/>
      </w:pPr>
      <w:r>
        <w:rPr>
          <w:rFonts w:ascii="Times New Roman" w:hAnsi="Times New Roman" w:eastAsia="Songti SC"/>
          <w:color w:val="000000"/>
          <w:sz w:val="22"/>
        </w:rPr>
        <w:t>AAEC入口接受BRAT标注；stance属性不转换为Claim到MajorClaim的关系。CDCP入口接受显式组件偏移与Reason/Evidence区间边，多前提默认拒绝，只有选定expand选项才展开为二元边。该选项改变表示，需单列协议。转换器使用明确的Unicode评价分词与字符到token映射；分词不同于骨干子词切分，边界不精确对齐时拒绝。真实发布数据尚未导入，首次使用必须抽样检查转换后的原文、跨度及边，不能认为构造样例测试已经验证全部语料兼容性。</w:t>
      </w:r>
    </w:p>
    <w:p>
      <w:pPr>
        <w:spacing w:line="380" w:lineRule="exact"/>
      </w:pPr>
      <w:r>
        <w:rPr>
          <w:rFonts w:ascii="Times New Roman" w:hAnsi="Times New Roman" w:eastAsia="Songti SC"/>
          <w:color w:val="000000"/>
          <w:sz w:val="22"/>
        </w:rPr>
        <w:t>每次运行输出配置、代码、数据和模型身份哈希，训练记录验证集检查点选择，推理记录候选原始输出、评分、选择与修正历史、失败原因及预算。已有输出目录不会自动覆盖。候选缓存绑定文档和生成配置，支持同池比较；失效缓存不能作为复现实验输入。配置可设更新步数上限，实际更新量仍由日志确认。新多种子汇总以不同seed且相同非种子配置为必要条件，报告样本标准差，不自动给出统计显著性。</w:t>
      </w:r>
    </w:p>
    <w:p>
      <w:pPr>
        <w:pStyle w:val="Heading2"/>
      </w:pPr>
      <w:commentRangeStart w:id="18"/>
      <w:r>
        <w:t>D.3 当前验证范围与未完成工作</w:t>
      </w:r>
      <w:commentRangeEnd w:id="18"/>
      <w:r>
        <w:commentReference w:id="18"/>
      </w:r>
    </w:p>
    <w:p>
      <w:pPr>
        <w:spacing w:line="380" w:lineRule="exact"/>
      </w:pPr>
      <w:r>
        <w:rPr>
          <w:rFonts w:ascii="Times New Roman" w:hAnsi="Times New Roman" w:eastAsia="Songti SC"/>
          <w:color w:val="000000"/>
          <w:sz w:val="22"/>
        </w:rPr>
        <w:t>本轮55项自动测试全部通过、无跳过，覆盖坐标、标注转换构造样例、数据泄漏检查、重复预测与失败分母、因果门控、四类动作、缓存成本及预算等。随机初始化的小型Qwen结构验证了响应损失mask、梯度流、冻结骨干、一个优化步骤、短训练和检查点重载；这不是Qwen2.5-7B或真实数据上的效果验证。完整验证报告保存在项目validation目录，运行时间与软件版本亦被记录。</w:t>
      </w:r>
    </w:p>
    <w:p>
      <w:pPr>
        <w:spacing w:line="380" w:lineRule="exact"/>
      </w:pPr>
      <w:r>
        <w:rPr>
          <w:rFonts w:ascii="Times New Roman" w:hAnsi="Times New Roman" w:eastAsia="Songti SC"/>
          <w:color w:val="000000"/>
          <w:sz w:val="22"/>
        </w:rPr>
        <w:t>仍未完成真实数据训练和评价、外部基线复现、语法约束解码、Self-Refine、Llama验证器、金标准组件替换Oracle、Insert、分阶段非法状态修复，以及目标GPU的显存和时延测试。代码中逐token无缓存生成路径便于核验门控但较慢，不作为高性能部署方案。上述边界决定了本次只能交付“可测试的新实验起点”，不能据此确认创新收益、论文全部分数或送审资格。</w:t>
      </w:r>
    </w:p>
    <w:sectPr w:rsidR="00FC693F" w:rsidRPr="0006063C" w:rsidSect="00034616">
      <w:headerReference w:type="default" r:id="rId9"/>
      <w:footerReference w:type="default" r:id="rId10"/>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修订记录" w:date="2026-09-14T03:47:18Z">
    <w:p>
      <w:r>
        <w:t>0914修改：中英文摘要统一为训练阶段局部结构保持增强、推理阶段候选图评估与局部修正。保留现有实验数值，不将Full结果重复归因于某一模块。</w:t>
      </w:r>
    </w:p>
  </w:comment>
  <w:comment w:id="1" w:author="Codex 修订记录" w:date="2026-09-14T03:47:18Z">
    <w:p>
      <w:r>
        <w:t>0914修改：相关工作由五节调整为六节，增加9篇文献（8篇为2025—2026年），区分原始文本抽取、给定组件分类、话轮分割与系统演示。</w:t>
      </w:r>
    </w:p>
  </w:comment>
  <w:comment w:id="2" w:author="Codex 修订记录" w:date="2026-09-14T03:47:18Z">
    <w:p>
      <w:r>
        <w:t>0914修改：两项方法贡献加一项验证工作。LoRA、连续提示、辅助损失不各自作为独立创新；跨语料映射不称为新算法。</w:t>
      </w:r>
    </w:p>
  </w:comment>
  <w:comment w:id="3" w:author="Codex 修订记录" w:date="2026-09-14T03:47:18Z">
    <w:p>
      <w:r>
        <w:t>0914新增：两个阶段共享任务表示，但未定义验证器反馈反向传播的联合训练；明确固定训练配置与候选池的归因条件。</w:t>
      </w:r>
    </w:p>
  </w:comment>
  <w:comment w:id="4" w:author="Codex 修订记录" w:date="2026-09-14T03:47:18Z">
    <w:p>
      <w:r>
        <w:t>0914修改：第三章聚焦结论中心局部子图及监督保持机制，Adapter等作为配套模块；门控与增强配置仍需代码核验。</w:t>
      </w:r>
    </w:p>
  </w:comment>
  <w:comment w:id="5" w:author="Codex 修订记录" w:date="2026-09-14T03:47:18Z">
    <w:p>
      <w:r>
        <w:t>0914修改：补充DENIM及关联关键短语方法的相邻关系，避免将结构或线索利用作宽泛原创主张。</w:t>
      </w:r>
    </w:p>
  </w:comment>
  <w:comment w:id="6" w:author="Codex 修订记录" w:date="2026-09-14T03:47:18Z">
    <w:p>
      <w:r>
        <w:t>0914修改：第四章与创新点二同步；有界指轮数和接受动作限制，不代表全部模型调用上界，也不保证遗漏节点恢复。</w:t>
      </w:r>
    </w:p>
  </w:comment>
  <w:comment w:id="7" w:author="Codex 修订记录" w:date="2026-09-14T03:47:18Z">
    <w:p>
      <w:r>
        <w:t>0914新增：区分优先补做的同协议基线与只能作机制讨论的相邻研究。未向实验表格添加未经运行的新方法分数。</w:t>
      </w:r>
    </w:p>
  </w:comment>
  <w:comment w:id="8" w:author="Codex 修订记录" w:date="2026-09-14T03:47:18Z">
    <w:p>
      <w:r>
        <w:t>0914修改：第五章补入MT-AM与2025泛化研究，区分辅助语料训练和源域零样本迁移；映射表与实验数值保持不变。</w:t>
      </w:r>
    </w:p>
  </w:comment>
  <w:comment w:id="9" w:author="Codex 修订记录" w:date="2026-09-14T03:47:18Z">
    <w:p>
      <w:r>
        <w:t>0914修改：总结对应两项方法贡献和验证工作，保留独立消融、配置追踪及预算匹配的未决条件。</w:t>
      </w:r>
    </w:p>
  </w:comment>
  <w:comment w:id="10" w:author="Codex 修订记录" w:date="2026-09-14T03:47:18Z">
    <w:p>
      <w:r>
        <w:t>0914修改：更新辅助工具使用与修订可追溯性说明；未运行新实验，不声称完成ARS全套逐块授权或研究完整性认证。</w:t>
      </w:r>
    </w:p>
  </w:comment>
  <w:comment w:id="11" w:author="Codex 修订记录" w:date="2026-09-14T03:47:18Z">
    <w:p>
      <w:r>
        <w:t>0914-v2：原项目缺失，新增代码为参考实现，不是原结果复现。真实实验表不改动。</w:t>
      </w:r>
    </w:p>
  </w:comment>
  <w:comment w:id="12" w:author="Codex 修订记录" w:date="2026-09-14T03:47:18Z">
    <w:p>
      <w:r>
        <w:t>0914-v2：精确匹配与失败处理已编码；旧表评价口径仍未核实。重复预测不去重抬分，失败样本不移出分母。</w:t>
      </w:r>
    </w:p>
  </w:comment>
  <w:comment w:id="13" w:author="Codex 修订记录" w:date="2026-09-14T03:47:18Z">
    <w:p>
      <w:r>
        <w:t>0914-v2：门控只使用可见前缀；全局与专项LoRA共同存在。新实现通过小模型测试，但需重训后验证收益。</w:t>
      </w:r>
    </w:p>
  </w:comment>
  <w:comment w:id="14" w:author="Codex 修订记录" w:date="2026-09-14T03:47:18Z">
    <w:p>
      <w:r>
        <w:t>0914-v2：生成项和句子辅助项均改为均值以对应新代码。历史求和尺度未核实，不沿用旧分数验证新公式。</w:t>
      </w:r>
    </w:p>
  </w:comment>
  <w:comment w:id="15" w:author="Codex 修订记录" w:date="2026-09-14T03:47:18Z">
    <w:p>
      <w:r>
        <w:t>0914-v2：将接受数、尝试数、模型调用数和输出token预算分开记录；候选缓存仍计逻辑生成成本。</w:t>
      </w:r>
    </w:p>
  </w:comment>
  <w:comment w:id="16" w:author="Codex 修订记录" w:date="2026-09-14T03:47:18Z">
    <w:p>
      <w:r>
        <w:t>0914-v2：单次整图与单候选分阶段推理明确分开。81.67/77.82冲突不可仅凭新命名解决；保留R05。</w:t>
      </w:r>
    </w:p>
  </w:comment>
  <w:comment w:id="17" w:author="Codex 修订记录" w:date="2026-09-14T03:47:18Z">
    <w:p>
      <w:r>
        <w:t>0914-v2：新跨域协议继续输出AAEC源标签，评价时才映射粗标签；旧表是否相同仍需日志。</w:t>
      </w:r>
    </w:p>
  </w:comment>
  <w:comment w:id="18" w:author="Codex 修订记录" w:date="2026-09-14T03:47:18Z">
    <w:p>
      <w:r>
        <w:t>0914-v2：55项软件测试通过，包含随机小模型的短训练和重载；未运行真实数据、7B效果或GPU效率实验。</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0914-v2修订工作稿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3.emnlp-main.674/" TargetMode="External"/><Relationship Id="rId29" Type="http://schemas.openxmlformats.org/officeDocument/2006/relationships/hyperlink" Target="https://arxiv.org/abs/2303.17651v2" TargetMode="External"/><Relationship Id="rId30" Type="http://schemas.openxmlformats.org/officeDocument/2006/relationships/hyperlink" Target="https://arxiv.org/abs/2310.01798v2" TargetMode="External"/><Relationship Id="rId31" Type="http://schemas.openxmlformats.org/officeDocument/2006/relationships/hyperlink" Target="https://arxiv.org/abs/2203.11171v4" TargetMode="External"/><Relationship Id="rId32" Type="http://schemas.openxmlformats.org/officeDocument/2006/relationships/hyperlink" Target="https://aclanthology.org/2025.aimecon-main.13/" TargetMode="External"/><Relationship Id="rId33" Type="http://schemas.openxmlformats.org/officeDocument/2006/relationships/hyperlink" Target="https://aclanthology.org/2022.tacl-1.37/" TargetMode="External"/><Relationship Id="rId34" Type="http://schemas.openxmlformats.org/officeDocument/2006/relationships/hyperlink" Target="https://aclanthology.org/2025.acl-long.1164/" TargetMode="External"/><Relationship Id="rId35" Type="http://schemas.openxmlformats.org/officeDocument/2006/relationships/hyperlink" Target="https://aclanthology.org/2023.emnlp-main.582/" TargetMode="External"/><Relationship Id="rId36" Type="http://schemas.openxmlformats.org/officeDocument/2006/relationships/hyperlink" Target="https://aclanthology.org/2022.acl-long.162/" TargetMode="External"/><Relationship Id="rId37" Type="http://schemas.openxmlformats.org/officeDocument/2006/relationships/hyperlink" Target="https://arxiv.org/abs/1706.03762" TargetMode="External"/><Relationship Id="rId38" Type="http://schemas.openxmlformats.org/officeDocument/2006/relationships/hyperlink" Target="https://arxiv.org/abs/2412.15115" TargetMode="External"/><Relationship Id="rId39" Type="http://schemas.openxmlformats.org/officeDocument/2006/relationships/hyperlink" Target="https://arxiv.org/abs/2106.09685" TargetMode="External"/><Relationship Id="rId40" Type="http://schemas.openxmlformats.org/officeDocument/2006/relationships/hyperlink" Target="https://aclanthology.org/2021.emnlp-main.243/" TargetMode="External"/><Relationship Id="rId4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0914-v2修订工作稿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