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0914-v3修订工作稿</w:t>
      </w:r>
    </w:p>
    <w:p>
      <w:pPr>
        <w:spacing w:before="300"/>
        <w:ind w:firstLine="0"/>
        <w:jc w:val="center"/>
      </w:pPr>
      <w:r>
        <w:t>2026年9月14日</w:t>
      </w:r>
    </w:p>
    <w:p>
      <w:pPr>
        <w:pStyle w:val="Heading1"/>
      </w:pPr>
      <w:r>
        <w:t>版本说明</w:t>
      </w:r>
    </w:p>
    <w:p>
      <w:commentRangeStart w:id="0"/>
      <w:r>
        <w:rPr>
          <w:rFonts w:ascii="Times New Roman" w:hAnsi="Times New Roman" w:eastAsia="Songti SC"/>
          <w:color w:val="000000"/>
        </w:rPr>
        <w:t>本稿在0914-v2基础上澄清两项贡献的输入、操作与输出，补齐局部增强的边集合、全文回填统计及异常到动作的对应规则，并加入可复算的构造示例和评分反例。相关工作补充至本次检索可核对的2026年公开成果。历史实验表格数值保持不变；新增示例仅用于解释机制，不是AAEC/CDCP实验。本轮未改变参考项目的训练或推理算法，也未运行真实数据实验。版本差异和建议取舍详见随稿《0914_v3评估与修改说明》。</w:t>
      </w:r>
      <w:commentRangeEnd w:id="0"/>
      <w:r>
        <w:commentReference w:id="0"/>
      </w:r>
    </w:p>
    <w:p>
      <w:r>
        <w:rPr>
          <w:rFonts w:ascii="Times New Roman" w:hAnsi="Times New Roman" w:eastAsia="Songti SC"/>
          <w:color w:val="000000"/>
        </w:rPr>
        <w:t>本稿使用三个证据层次：方法定义与代码检查说明算法如何执行；明确标注的构造例检验性质和反例；原稿结果记录保留已有实验信息。构造数值不得与真实实验成绩混同。原实验日志与划分材料仍缺失，Single-Pass的81.67和77.82及两处Full的83.71尚未绑定run ID。附录A集中列出14项历史证据待核验事项；正文保留影响结果解释的必要提示。当前稿为研究工作稿，正式送审还需补齐实验依据，并按学院适用模板完善封面、声明、授权页、致谢与成果页。</w:t>
      </w:r>
    </w:p>
    <w:p>
      <w:pPr>
        <w:pStyle w:val="Heading1"/>
      </w:pPr>
      <w:r>
        <w:t>摘要</w:t>
      </w:r>
    </w:p>
    <w:p>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p>
    <w:p>
      <w:r>
        <w:rPr>
          <w:rFonts w:ascii="Times New Roman" w:hAnsi="Times New Roman" w:eastAsia="Songti SC"/>
          <w:color w:val="000000"/>
        </w:rPr>
        <w:t>在训练阶段，本文设计面向结论类组件的局部论辩结构保持增强方法。从标注训练图中选取结论节点及其入邻居，以这些节点之间的已有关系约束组件改写；将变体回填原文并更新跨度，输出类型、编号与关系拓扑保持不变的增强文档，再通过分层检查筛选。该方法针对结论表达及其关系上下文的多样性，类型条件低秩适配、线索感知连续提示和句子级辅助目标提供配套表示能力。全文回填会同时复制未改写组件，因此样本增加不等同于类别比例改善。</w:t>
      </w:r>
    </w:p>
    <w:p>
      <w:r>
        <w:rPr>
          <w:rFonts w:ascii="Times New Roman" w:hAnsi="Times New Roman" w:eastAsia="Songti SC"/>
          <w:color w:val="000000"/>
        </w:rPr>
        <w:t>在推理阶段，本文提出基于完整候选图评估与异常驱动局部修正的方法MCR-BR。多个组件假设分别生成关系，形成可供整体比较的候选图；连接覆盖、边语义连贯性和输出合法性用于选择初始图，检测到的异常用于提出类型转换、组件替换、删边或限定源节点的关系重预测。修改通过合法性及代理评分检查后接受，否则回退。这里的完整候选指同时包含组件与关系，局部修正不具有任意遗漏节点恢复能力；覆盖评分与任务正确性的偏差通过构造反例明确说明。</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 conclusion and its incoming neighbors define the editable nodes, and their annotated internal relations condition paraphrasing. Rewritten components are inserted into the original document with updated spans while preserving types, identifiers, and relation topology, followed by layered filtering. Type-conditioned low-rank adaptation, cue-aware continuous prompts, and a sentence-level auxiliary objective support representation learning. Whole-document reconstruction also duplicates unchanged components, so augmentation does not necessarily improve class balance.</w:t>
      </w:r>
    </w:p>
    <w:p>
      <w:pPr>
        <w:spacing w:line="360" w:lineRule="exact"/>
      </w:pPr>
      <w:r>
        <w:rPr>
          <w:rFonts w:ascii="Times New Roman" w:hAnsi="Times New Roman" w:eastAsia="Songti SC"/>
          <w:color w:val="000000"/>
        </w:rPr>
        <w:t>For inference-time repair, this thesis proposes MCR-BR. Multiple component hypotheses receive relation predictions to form complete candidate graphs. Argument-link coverage, edge-level semantic coherence, and output validity guide initial selection; detected anomalies trigger type changes, component replacement, edge removal, or relation regeneration over specified source nodes. Edits are accepted only after validity and surrogate-score checks; otherwise, they are rolled back. Complete candidates contain both components and relations, but local repair cannot generally recover missing nodes. Constructed counterexamples clarify why higher surrogate scores need not indicate more accurate extraction.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20</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35</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39</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44</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45</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47</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48</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r>
        <w:rPr>
          <w:rFonts w:ascii="Times New Roman" w:hAnsi="Times New Roman" w:eastAsia="Songti SC"/>
          <w:color w:val="000000"/>
        </w:rPr>
        <w:t>2026年，Sun等针对LLM伪标注中的组件边界和关系噪声，分别引入边界细化与关系去噪[18]。其训练数据来源与本文从已标注局部结构生成变体的路径不同，但同样说明合成监督的可靠性需要专门处理。该文的IoU边界评价和关系分类指标不能直接替代本文的端到端精确匹配评价。</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未定义这类最小代价目标或形式语义保证，因此应将MCR-BR定位为面向抽取的有限预算启发式修正，不主张最小修改性质。</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r>
        <w:t>1.3.2 主要研究工作与贡献</w:t>
      </w:r>
    </w:p>
    <w:p>
      <w:commentRangeStart w:id="1"/>
      <w:r>
        <w:rPr>
          <w:rFonts w:ascii="Times New Roman" w:hAnsi="Times New Roman" w:eastAsia="Songti SC"/>
          <w:color w:val="000000"/>
        </w:rPr>
        <w:t>（1）设计结论中心的局部结构保持增强方法。输入为已标注训练文档；选取结论及其入邻居，用局部诱导子图中的关系约束组件改写，再回填全文、重算跨度并筛选，输出可用于联合抽取训练的增强文档。具体贡献在于将结论表达变化与关系标注保持连接起来。是否优于普通改写，需要在相同源文档、接受样本量及训练预算下验证；条件适配、线索提示和辅助目标作为配套模块，不分别计为独立创新。</w:t>
      </w:r>
      <w:commentRangeEnd w:id="1"/>
      <w:r>
        <w:commentReference w:id="1"/>
      </w:r>
    </w:p>
    <w:p>
      <w:r>
        <w:rPr>
          <w:rFonts w:ascii="Times New Roman" w:hAnsi="Times New Roman" w:eastAsia="Songti SC"/>
          <w:color w:val="000000"/>
        </w:rPr>
        <w:t>（2）提出完整候选图评估与异常驱动局部修正方法MCR-BR。输入为同一文档的多组预测组件及其关系；先整体评分选择初始图，再按异常对象提出有明确字段边界的动作，经过合法性及代理评分检查后接受或回退，输出最终预测图与修正轨迹。具体贡献在于整图选择与任务特定修正流程的衔接。独立收益应由固定候选池的重排序与BR对照确认，成本价值应由等预算比较确认；该方法不承诺最终语义正确、最小修改或补回所有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分类别表与配套模块消融记录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普通改写与结构条件对照、Premise表现、全文类别统计</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域内比较、评分反例、代码动作定义</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固定候选池、错误修改率、评分消融与等预算比较</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同协议评价与目标数据使用记录；双向迁移属扩展</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[30]。本文使用的骨干为原稿所述Qwen2.5-7B-Instruct；Qwen2.5技术报告可用于说明模型系列，但不能代替本文具体权重版本、训练配置和硬件记录[31]。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LoRA在冻结基础权重的条件下引入低秩增量[32]。对于一般线性投影，采用统一表示：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[33]。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r>
        <w:t>2.6 训练增强与推理修正的接口</w:t>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该上界对所有关系端点成立，并不单独证明Claim比Premise更值得优先增强。选择结论中心，是希望同一次改写同时约束结论表达和其关联关系；其合理性需要由训练集类型计数、关联边分布和分类别错误验证。本文据此关注结论边界与类型，以及含有标注关联边的结论节点召回；在缺少度分布统计时，不将其统一描述为高连接度节点。</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m:oMath>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r>
          <m:rPr>
            <m:sty m:val="p"/>
          </m:rPr>
          <m:t xml:space="preserve"> </m:t>
        </m:r>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oMath>
    </w:p>
    <w:p>
      <m:oMath>
        <m:sSub>
          <m:e>
            <m:r>
              <m:t xml:space="preserve">E</m:t>
            </m:r>
          </m:e>
          <m:sub>
            <m:r>
              <m:t xml:space="preserve">c</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c</m:t>
            </m:r>
          </m:sub>
        </m:sSub>
        <m:r>
          <m:t xml:space="preserve">,</m:t>
        </m:r>
        <m:r>
          <m:rPr>
            <m:sty m:val="p"/>
          </m:rPr>
          <m:t xml:space="preserve"> </m:t>
        </m:r>
        <m:r>
          <m:t xml:space="preserve">j</m:t>
        </m:r>
        <m:r>
          <m:t xml:space="preserve">∈</m:t>
        </m:r>
        <m:sSub>
          <m:e>
            <m:r>
              <m:t xml:space="preserve">V</m:t>
            </m:r>
          </m:e>
          <m:sub>
            <m:r>
              <m:t xml:space="preserve">c</m:t>
            </m:r>
          </m:sub>
        </m:sSub>
        <m:r>
          <m:rPr>
            <m:sty m:val="p"/>
          </m:rPr>
          <m:t xml:space="preserve">}</m:t>
        </m:r>
        <m:r>
          <m:t xml:space="preserve">.</m:t>
        </m:r>
      </m:oMath>
    </w:p>
    <w:p>
      <w:commentRangeStart w:id="2"/>
      <w:r>
        <w:rPr>
          <w:rFonts w:ascii="Times New Roman" w:hAnsi="Times New Roman" w:eastAsia="Songti SC"/>
          <w:color w:val="000000"/>
        </w:rPr>
        <w:t>邻域节点按结论的入边选取，边集合则取这些节点上的诱导子图。因此，若两个入邻居之间已有标注边，该边也属于生成条件，不能只保留指向中心的星形边。全文中恰有一个端点位于该节点集合的边称为边界边：回填时保留其端点、方向与标签，并在全文语义筛选中一并检查。结构保持指不改变已有标注，不意味着模型证明了所有未标注关系均不存在。</w:t>
      </w:r>
      <w:commentRangeEnd w:id="2"/>
      <w:r>
        <w:commentReference w:id="2"/>
      </w:r>
    </w:p>
    <w:p>
      <w:r>
        <w:rPr>
          <w:rFonts w:ascii="Times New Roman" w:hAnsi="Times New Roman" w:eastAsia="Songti SC"/>
          <w:color w:val="000000"/>
        </w:rPr>
        <w:t>在AAEC中，局部子图按已有关系标注构造，不将Claim—MajorClaim立场属性转为Support/Attack边。无关联入边的MajorClaim可能形成单节点单位，其增强仅增加结论表达变体。增强模型接收所选组件文本、类型及内部关系，输出各组件的替换文本；组件ID、类型和全部关系由原标注保留，跨度由回填后的统一分词重新计算。</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，以下条件生成式表示所选组件文本的联合改写；实际接口按组件ID返回替换文本，而不是让增强模型重新预测标注：</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为所选组件的原始文本集合，</w:t>
      </w:r>
      <m:oMath>
        <m:sSub>
          <m:e>
            <m:r>
              <m:t xml:space="preserve">𝒯</m:t>
            </m:r>
          </m:e>
          <m:sub>
            <m:r>
              <m:t xml:space="preserve">c</m:t>
            </m:r>
          </m:sub>
        </m:sSub>
      </m:oMath>
      <w:r>
        <w:rPr>
          <w:rFonts w:ascii="Times New Roman" w:hAnsi="Times New Roman" w:eastAsia="Songti SC"/>
          <w:color w:val="000000"/>
        </w:rPr>
        <w:t>为对应组件类型，</w:t>
      </w:r>
      <m:oMath>
        <m:sSub>
          <m:e>
            <m:r>
              <m:t xml:space="preserve">E</m:t>
            </m:r>
          </m:e>
          <m:sub>
            <m:r>
              <m:t xml:space="preserve">c</m:t>
            </m:r>
          </m:sub>
        </m:sSub>
      </m:oMath>
      <w:r>
        <w:rPr>
          <w:rFonts w:ascii="Times New Roman" w:hAnsi="Times New Roman" w:eastAsia="Songti SC"/>
          <w:color w:val="000000"/>
        </w:rPr>
        <w:t>为内部关系，</w:t>
      </w:r>
      <m:oMath>
        <m:r>
          <m:t xml:space="preserve">Π</m:t>
        </m:r>
      </m:oMath>
      <w:r>
        <w:rPr>
          <w:rFonts w:ascii="Times New Roman" w:hAnsi="Times New Roman" w:eastAsia="Songti SC"/>
          <w:color w:val="000000"/>
        </w:rPr>
        <w:t>为改写约束。生成必须保留各组件的论辩角色和原有含义。程序仅接受与请求ID完全对应的替换项，将其回填全文并重新计算跨度，不接受新增组件、类型或关系字段。所有生成来源限定为训练文档；格式检查不承担证明训练文本与测试文本完全无语义重合的功能。</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：单独调用验证器检查回填后的全文、组件角色和关系，包含因局部改写而可能受影响的边界边。该检查是模型判断，仍需人工抽检。</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三层筛选分别检查格式、标注结构与语义合理性。第三层的单独调用不等于独立模型、独立知识来源或人工验证。新参考实现由程序保留原关系表并检查全文语义；若局部改写损害边界边，应拒绝整个变体。验证器仍可能漏判，因此需报告边界边样本的人工抽检情况。</w:t>
      </w:r>
    </w:p>
    <w:p>
      <w:pPr>
        <w:pStyle w:val="Heading3"/>
      </w:pPr>
      <w:r>
        <w:t>3.2.4 增强效果的可识别性与数据追踪</w:t>
      </w:r>
    </w:p>
    <w:p>
      <w:r>
        <w:rPr>
          <w:rFonts w:ascii="Times New Roman" w:hAnsi="Times New Roman" w:eastAsia="Songti SC"/>
          <w:color w:val="000000"/>
        </w:rPr>
        <w:t>类别计数必须与训练实例的组织方式一致。仅当局部单位单独作为训练实例，且每个变体恰含一个Claim和</w:t>
      </w:r>
      <m:oMath>
        <m:r>
          <m:t xml:space="preserve">k</m:t>
        </m:r>
      </m:oMath>
      <w:r>
        <w:rPr>
          <w:rFonts w:ascii="Times New Roman" w:hAnsi="Times New Roman" w:eastAsia="Songti SC"/>
          <w:color w:val="000000"/>
        </w:rPr>
        <w:t>个Premise时，接受</w:t>
      </w:r>
      <m:oMath>
        <m:r>
          <m:t xml:space="preserve">u</m:t>
        </m:r>
      </m:oMath>
      <w:r>
        <w:rPr>
          <w:rFonts w:ascii="Times New Roman" w:hAnsi="Times New Roman" w:eastAsia="Songti SC"/>
          <w:color w:val="000000"/>
        </w:rPr>
        <w:t>个变体才对应</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；在</w:t>
      </w:r>
      <m:oMath>
        <m:r>
          <m:t xml:space="preserve">u</m:t>
        </m:r>
        <m:r>
          <m:t xml:space="preserve">&gt;</m:t>
        </m:r>
        <m:r>
          <m:t xml:space="preserve">0</m:t>
        </m:r>
      </m:oMath>
      <w:r>
        <w:rPr>
          <w:rFonts w:ascii="Times New Roman" w:hAnsi="Times New Roman" w:eastAsia="Songti SC"/>
          <w:color w:val="000000"/>
        </w:rPr>
        <w:t>且计数分母为正时，Claim/Premise比提高当且仅当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。这一条件不能直接用于全文回填方案。</w:t>
      </w:r>
    </w:p>
    <w:p>
      <w:commentRangeStart w:id="3"/>
      <w:r>
        <w:rPr>
          <w:rFonts w:ascii="Times New Roman" w:hAnsi="Times New Roman" w:eastAsia="Songti SC"/>
          <w:color w:val="000000"/>
        </w:rPr>
        <w:t>新参考实现每接受一个变体便增加一篇完整文档。设训练文档</w:t>
      </w:r>
      <m:oMath>
        <m:r>
          <m:t xml:space="preserve">d</m:t>
        </m:r>
      </m:oMath>
      <w:r>
        <w:rPr>
          <w:rFonts w:ascii="Times New Roman" w:hAnsi="Times New Roman" w:eastAsia="Songti SC"/>
          <w:color w:val="000000"/>
        </w:rPr>
        <w:t>含类型</w:t>
      </w:r>
      <m:oMath>
        <m:r>
          <m:t xml:space="preserve">τ</m:t>
        </m:r>
      </m:oMath>
      <w:r>
        <w:rPr>
          <w:rFonts w:ascii="Times New Roman" w:hAnsi="Times New Roman" w:eastAsia="Songti SC"/>
          <w:color w:val="000000"/>
        </w:rPr>
        <w:t>的组件数为</w:t>
      </w:r>
      <m:oMath>
        <m:sSub>
          <m:e>
            <m:r>
              <m:t xml:space="preserve">N</m:t>
            </m:r>
          </m:e>
          <m:sub>
            <m:r>
              <m:t xml:space="preserve">d</m:t>
            </m:r>
            <m:r>
              <m:t xml:space="preserve">,</m:t>
            </m:r>
            <m:r>
              <m:t xml:space="preserve">τ</m:t>
            </m:r>
          </m:sub>
        </m:sSub>
      </m:oMath>
      <w:r>
        <w:rPr>
          <w:rFonts w:ascii="Times New Roman" w:hAnsi="Times New Roman" w:eastAsia="Songti SC"/>
          <w:color w:val="000000"/>
        </w:rPr>
        <w:t>，该文档最终接受的变体数为</w:t>
      </w:r>
      <m:oMath>
        <m:sSub>
          <m:e>
            <m:r>
              <m:t xml:space="preserve">a</m:t>
            </m:r>
          </m:e>
          <m:sub>
            <m:r>
              <m:t xml:space="preserve">d</m:t>
            </m:r>
          </m:sub>
        </m:sSub>
      </m:oMath>
      <w:r>
        <w:rPr>
          <w:rFonts w:ascii="Times New Roman" w:hAnsi="Times New Roman" w:eastAsia="Songti SC"/>
          <w:color w:val="000000"/>
        </w:rPr>
        <w:t>，则增强后计数应为：</w:t>
      </w:r>
      <w:commentRangeEnd w:id="3"/>
      <w:r>
        <w:commentReference w:id="3"/>
      </w:r>
    </w:p>
    <w:p>
      <m:oMath>
        <m:sSub>
          <m:e>
            <m:r>
              <m:t xml:space="preserve">N</m:t>
            </m:r>
          </m:e>
          <m:sub>
            <m:r>
              <m:t xml:space="preserve">τ</m:t>
            </m:r>
          </m:sub>
        </m:sSub>
        <m:r>
          <m:t xml:space="preserve">'</m:t>
        </m:r>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r>
          <m:t xml:space="preserve">.</m:t>
        </m:r>
      </m:oMath>
    </w:p>
    <w:p>
      <w:r>
        <w:rPr>
          <w:rFonts w:ascii="Times New Roman" w:hAnsi="Times New Roman" w:eastAsia="Songti SC"/>
          <w:color w:val="000000"/>
        </w:rPr>
        <w:t>若每篇源文档接受相同数量的变体，则各类实例数按相同比例增加，IR不变；若接受数不同，类别比例变化来自源文档的重复权重及筛选结果。结论中心决定改写位置，不意味着只有结论进入新增训练样本。类别分布、表达多样性和测试效果因此需要分别统计。</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这些是新计划，尚无真实筛选计数和人工审计结果。</w:t>
      </w:r>
    </w:p>
    <w:p>
      <w:pPr>
        <w:pStyle w:val="Heading3"/>
      </w:pPr>
      <w:r>
        <w:t>3.2.5 全文回填的构造示例</w:t>
      </w:r>
    </w:p>
    <w:p>
      <w:r>
        <w:rPr>
          <w:rFonts w:ascii="Times New Roman" w:hAnsi="Times New Roman" w:eastAsia="Songti SC"/>
          <w:color w:val="000000"/>
        </w:rPr>
        <w:t>下面的文本和标注为人工构造，仅用于解释接口。原文为“Libraries should stay open longer. Students need study space. Campus services need investment.”。按2.1节坐标，组件1是Claim，跨度[1,5]；组件2是Premise，跨度[7,10]；组件3是Claim，跨度[12,15]。设标注包含Support边2→1和2→3。</w:t>
      </w:r>
    </w:p>
    <w:p>
      <w:r>
        <w:rPr>
          <w:rFonts w:ascii="Times New Roman" w:hAnsi="Times New Roman" w:eastAsia="Songti SC"/>
          <w:color w:val="000000"/>
        </w:rPr>
        <w:t>以组件1为中心时，选取组件1与2，内部关系为2→1；2→3是边界边。将前两组件改写为“Libraries ought to remain open longer”和“Students require space for studying”，组件3文本保持不变。回填后的三个跨度分别为[1,6]、[8,12]和[14,17]，关系仍为2→1和2→3。组件3虽然没有被改写，也因前文长度变化而更新坐标，并随完整文档再次进入训练。</w:t>
      </w:r>
    </w:p>
    <w:p>
      <w:r>
        <w:rPr>
          <w:rFonts w:ascii="Times New Roman" w:hAnsi="Times New Roman" w:eastAsia="Songti SC"/>
          <w:color w:val="000000"/>
        </w:rPr>
        <w:t>该例说明需要同时做到文本回填、全体跨度更新和边界边复查。即使ID与边表完全相同，若把组件2改写为“不需要学习空间”，关系语义仍可能改变；确定性拓扑检查无法单独排除这类问题。</w:t>
      </w:r>
    </w:p>
    <w:p>
      <w:pPr>
        <w:pStyle w:val="Heading2"/>
      </w:pPr>
      <w:r>
        <w:t>3.3 面向结论组件的配套表示增强</w:t>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p>
    <w:p>
      <w:commentRangeStart w:id="4"/>
      <w:r>
        <w:rPr>
          <w:rFonts w:ascii="Times New Roman" w:hAnsi="Times New Roman" w:eastAsia="Songti SC"/>
          <w:color w:val="000000"/>
        </w:rPr>
        <w:t>该因果门控更准确的含义是“已生成结论类型条件下的后续字段适配”。它在当前类型闭合后才开启，不能直接利用该类型去纠正同一组件已经输出的类型字段；后续span生成会受该分支影响。对类型F1的可能作用只能来自共享参数训练或后续上下文等间接路径，不能把分类别分数提高直接解释为门控当场纠正了类型。</w:t>
      </w:r>
      <w:commentRangeEnd w:id="4"/>
      <w:r>
        <w:commentReference w:id="4"/>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（3-9）</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mask、归一化、词典和提示位置仍不可追溯；无显式线索样本的真实效果也尚未测量。重新训练后应报告这些选择及其消融，不能仅删除待核验标记。</w:t>
      </w:r>
    </w:p>
    <w:p>
      <w:pPr>
        <w:pStyle w:val="Heading2"/>
        <w:spacing w:before="120" w:after="60"/>
      </w:pPr>
      <w:r>
        <w:t>3.4 实验设置与结果分析</w:t>
      </w:r>
    </w:p>
    <w:p>
      <w:pPr>
        <w:pStyle w:val="Heading3"/>
        <w:spacing w:before="120" w:after="60"/>
      </w:pPr>
      <w:r>
        <w:t>3.4.1 设置与评价指标</w:t>
      </w:r>
    </w:p>
    <w:p>
      <w:pPr>
        <w:spacing w:after="0"/>
      </w:pPr>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pPr>
        <w:spacing w:after="0"/>
      </w:pPr>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spacing w:after="0"/>
        <w:ind w:firstLine="0"/>
      </w:pPr>
      <w:r>
        <w:rPr>
          <w:rFonts w:ascii="Times New Roman" w:hAnsi="Times New Roman" w:eastAsia="Songti SC"/>
          <w:color w:val="000000"/>
          <w:sz w:val="22"/>
        </w:rPr>
        <w:t>待核验R05：本表配置对应关系以及外部基线分类别分数来源未确定。</w:t>
      </w:r>
    </w:p>
    <w:p>
      <w:pPr>
        <w:pStyle w:val="Heading3"/>
        <w:spacing w:before="120" w:after="60"/>
      </w:pPr>
      <w:r>
        <w:t>3.4.2 主要结果</w:t>
      </w:r>
    </w:p>
    <w:p>
      <w:pPr>
        <w:keepNext/>
        <w:spacing w:after="0"/>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after="0"/>
      </w:pPr>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spacing w:before="120" w:after="60"/>
      </w:pPr>
      <w:r>
        <w:t>3.4.3 模块作用与解释边界</w:t>
      </w:r>
    </w:p>
    <w:p>
      <w:pPr>
        <w:spacing w:after="0"/>
      </w:pPr>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pPr>
        <w:spacing w:after="0"/>
      </w:pPr>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spacing w:before="120" w:after="60"/>
      </w:pPr>
      <w:r>
        <w:t>3.5 误差类型与讨论</w:t>
      </w:r>
    </w:p>
    <w:p>
      <w:pPr>
        <w:spacing w:after="0"/>
      </w:pPr>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pPr>
        <w:spacing w:after="0"/>
      </w:pPr>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spacing w:before="120" w:after="60"/>
      </w:pPr>
      <w:r>
        <w:t>3.6 本章小结</w:t>
      </w:r>
    </w:p>
    <w:p>
      <w:pPr>
        <w:spacing w:after="0"/>
      </w:pPr>
      <w:r>
        <w:rPr>
          <w:rFonts w:ascii="Times New Roman" w:hAnsi="Times New Roman" w:eastAsia="Songti SC"/>
          <w:color w:val="000000"/>
        </w:rPr>
        <w:t>本章以结论中心局部子图保持组件类型及关系监督，并以条件适配、线索提示和辅助目标配合学习。与孤立改写相比，差异在于显式保留局部关系；独立收益仍需等预算对照。新代码已明确门控规则，但原稿分类别结果的配置、Premise表现与有效性证据仍待核验。</w:t>
      </w:r>
    </w:p>
    <w:p>
      <w:pPr>
        <w:pStyle w:val="Heading1"/>
      </w:pPr>
      <w:r>
        <w:t>第四章 基于候选图评估与异常驱动局部修正的论辩图生成</w:t>
      </w:r>
    </w:p>
    <w:p>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可解析性由候选生成与解析阶段处理，图级BR只接收已经解析为组件和关系对象的候选。其恢复目标是调整引用、边界或类型错误，以及验证器指出的边语义和连接覆盖问题。覆盖不足只是预设软偏好，未带显式理由的合法Claim也可能触发它。</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commentRangeStart w:id="5"/>
      <w:r>
        <w:rPr>
          <w:rFonts w:ascii="Times New Roman" w:hAnsi="Times New Roman" w:eastAsia="Songti SC"/>
          <w:color w:val="000000"/>
        </w:rPr>
        <w:t>新参考实现对JSON或必需字段解析失败的候选标记失败并跳过，不把它交给图级BR，也不在该槽位内自动重试。后续槽位可以在总预算内继续生成；若没有可解析候选，返回明确失败，评价时保留该文档及其金标准对象。失败调用仍计入成本。因而原表JSON错误从6.2%到0.0%的变化，在阶段和分母未明确前不能归因于四类图修改动作。</w:t>
      </w:r>
      <w:commentRangeEnd w:id="5"/>
      <w:r>
        <w:commentReference w:id="5"/>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commentRangeStart w:id="6"/>
      <w:r>
        <w:rPr>
          <w:rFonts w:ascii="Times New Roman" w:hAnsi="Times New Roman" w:eastAsia="Songti SC"/>
          <w:color w:val="000000"/>
        </w:rPr>
        <w:t>覆盖分量和连贯性分量复用同一组边判断</w:t>
      </w:r>
      <m:oMath>
        <m:sSub>
          <m:e>
            <m:r>
              <m:t xml:space="preserve">p</m:t>
            </m:r>
          </m:e>
          <m:sub>
            <m:r>
              <m:t xml:space="preserve">i</m:t>
            </m:r>
            <m:r>
              <m:t xml:space="preserve">j</m:t>
            </m:r>
          </m:sub>
        </m:sSub>
      </m:oMath>
      <w:r>
        <w:rPr>
          <w:rFonts w:ascii="Times New Roman" w:hAnsi="Times New Roman" w:eastAsia="Songti SC"/>
          <w:color w:val="000000"/>
        </w:rPr>
        <w:t>：前者按目标节点聚合，后者按预测边求平均。二者分别表达连接分布与边级通过比例，但不是两份独立语义证据。组合加权可能重复放大同一次验证错误，需要在固定候选池上分别移除覆盖项与连贯性项，观察最终F1及边数变化。</w:t>
      </w:r>
      <w:commentRangeEnd w:id="6"/>
      <w:r>
        <w:commentReference w:id="6"/>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表示图合法性、边语义连贯性或连接覆盖不足异常，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keepNext/>
        <w:ind w:firstLine="0"/>
        <w:jc w:val="center"/>
      </w:pPr>
      <w:r>
        <w:rPr>
          <w:rFonts w:ascii="Times New Roman" w:hAnsi="Times New Roman" w:eastAsia="Songti SC"/>
          <w:color w:val="000000"/>
          <w:sz w:val="22"/>
        </w:rPr>
        <w:t>表4-1 新参考实现中的异常与动作对应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665"/>
        <w:gridCol w:w="4479"/>
      </w:tblGrid>
      <w:tr>
        <w:trPr>
          <w:cantSplit/>
          <w:tblHeader/>
        </w:trPr>
        <w:tc>
          <w:tcPr>
            <w:tcW w:type="dxa" w:w="1757"/>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异常对象</w:t>
            </w:r>
          </w:p>
        </w:tc>
        <w:tc>
          <w:tcPr>
            <w:tcW w:type="dxa" w:w="266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候选动作与顺序</w:t>
            </w:r>
          </w:p>
        </w:tc>
        <w:tc>
          <w:tcPr>
            <w:tcW w:type="dxa" w:w="447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字段范围与执行限制</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边级VAL或COH</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先RemoveEdge，再LocalRerun</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删当前边；或重预测该边源节点的全部出边，源节点须存在</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节点级VAL</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类型转换、Replace、LocalRerun</w:t>
            </w:r>
          </w:p>
        </w:tc>
        <w:tc>
          <w:tcPr>
            <w:tcW w:type="dxa" w:w="447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类型转换限AAEC Claim/MajorClaim；Replace保留当前ID与节点数</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节点级DENS</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类型转换、Replace、LocalRerun</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重预测源集合为当前图中除该目标外的全部节点，不插入组件</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JSON或字段无法解析</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无图级动作</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候选阶段记失败并跳过，不进入BR</w:t>
            </w:r>
          </w:p>
        </w:tc>
      </w:tr>
    </w:tbl>
    <w:p>
      <w:pPr>
        <w:spacing w:after="0" w:line="240" w:lineRule="auto"/>
      </w:pPr>
    </w:p>
    <w:p>
      <w:r>
        <w:rPr>
          <w:rFonts w:ascii="Times New Roman" w:hAnsi="Times New Roman" w:eastAsia="Songti SC"/>
          <w:color w:val="000000"/>
        </w:rPr>
        <w:t>表4-1是参考代码的执行说明，不是已证明最优的动作顺序。Replace按候选池中与当前跨度有交集的组件产生替代项，依跨度交并比降序、起止位置及类型排序；没有交集的遗漏组件不能因此被插入。ID重复等问题也可能无法被现有保留ID的动作修好，此时保留失败原因而非宣称动作完备。</w:t>
      </w:r>
    </w:p>
    <w:p>
      <w:commentRangeStart w:id="7"/>
      <w:r>
        <w:rPr>
          <w:rFonts w:ascii="Times New Roman" w:hAnsi="Times New Roman" w:eastAsia="Songti SC"/>
          <w:color w:val="000000"/>
        </w:rPr>
        <w:t>LocalRerun固定全部组件，只替换指定源节点的出边，其余出边保留；目标可为当前任一有效组件，随后检查引用、自环和其他约束。对DENS异常，当前实现选择除问题目标以外的全部节点作为源集合，修改范围可能接近全图关系重预测。因此“局部”只说明字段和源集合受到限制，不保证修改只在目标的一跳邻域内；每异常最多4个动作候选还可能使排序靠后的LocalRerun未被尝试。</w:t>
      </w:r>
      <w:commentRangeEnd w:id="7"/>
      <w:r>
        <w:commentReference w:id="7"/>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r>
        <w:rPr>
          <w:rFonts w:ascii="Times New Roman" w:hAnsi="Times New Roman" w:eastAsia="Songti SC"/>
          <w:color w:val="000000"/>
        </w:rPr>
        <w:t>新参考实现补充每文档最多24次动作尝试、每异常最多4个动作候选、全部生成及验证合计最多128次调用、累计最多32768个输出token；普通单次生成上限1024，边级判断上限32。拒绝和失败调用均入账；复用候选池也保留候选生成的逻辑成本，实际新增调用另列。每次接受后更新异常并记录访问状态，避免等分往返。预算耗尽时保留最后已接受图或返回显式失败，不填入未验证输出。以上默认值是新工程配置，尚未由验证集成本曲线确定，也不提供硬墙钟超时保证。</w:t>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commentRangeStart w:id="8"/>
      <w:r>
        <w:rPr>
          <w:rFonts w:ascii="Times New Roman" w:hAnsi="Times New Roman" w:eastAsia="Songti SC"/>
          <w:color w:val="000000"/>
        </w:rPr>
        <w:t>反例四：改变覆盖集合可以提高代理分数而损害组件预测。构造含两个Claim和两个Premise的合法图，Claim 1孤立，两个Premise均以通过验证的Support边指向Claim 2。两Claim均无出边，阈值为2，因此覆盖分数为0.5，连贯性与合法性均为1，总分为0.8。仅将孤立Claim 1改为MajorClaim后，它退出覆盖集合，覆盖分数升至1，总分升至1；边集没有变化。该动作满足当前合法性和非下降接受条件，且位于DENS动作序列前部。</w:t>
      </w:r>
      <w:commentRangeEnd w:id="8"/>
      <w:r>
        <w:commentReference w:id="8"/>
      </w:r>
    </w:p>
    <w:p>
      <w:r>
        <w:rPr>
          <w:rFonts w:ascii="Times New Roman" w:hAnsi="Times New Roman" w:eastAsia="Songti SC"/>
          <w:color w:val="000000"/>
        </w:rPr>
        <w:t>若构造金标准中四个节点原本均正确，该修改使组件精确匹配F1由100降至75，关系F1保持100。数值来自同一构造图的确定性计数，不是测试集成绩。它证明当前接受规则不能排除这类错误修改，不能推断其在真实数据中的发生频率。修正方向及所需对照列于附录B.5。</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其中部分已在新项目提供独立选项或预算接口，仍未正式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r>
        <w:t>4.5.3 近期相关方法的比较边界</w:t>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[23]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3"/>
      </w:pPr>
      <w:r>
        <w:t>4.5.4 配置核对与新实验命名</w:t>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新项目的确定配置，供重新实验，不作为表3-1至表5-2的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新项目尚未实现所有旧表基线，未完成真实数据训练、多个种子重复或显著性检验。</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表4-2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按表4-2记录，Full相对FLAN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表4-3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按表4-3记录，CDCP上的Full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表4-4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表4-5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表4-6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按表4-6记录，Candidate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表4-7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下面给出可复算的成功路径作为机制示例，同样不代替真实错误分析。构造三个已正确识别的节点：一个无出边Claim和两个Premise；初始图含两条入边，其中一条Support为构造金标准关系，另一条Attack不在金标准中。固定验证器分别返回1和0，则覆盖、连贯性、合法性为0.5、0.5、1，总分0.6。COH异常触发RemoveEdge后，三分量变为0.5、1、1，总分0.8，图仍合法，因而接受。</w:t>
      </w:r>
    </w:p>
    <w:p>
      <w:r>
        <w:rPr>
          <w:rFonts w:ascii="Times New Roman" w:hAnsi="Times New Roman" w:eastAsia="Songti SC"/>
          <w:color w:val="000000"/>
        </w:rPr>
        <w:t>该例组件F1保持100，关系F1由66.67升至100，但DENS仍会因仅有一条通过验证的入边而触发。这说明一次正确删边不代表所有异常都应该继续消除；如果验证器随后误认第二条边，补边也可能提高代理分数而降低精确率。成功路径与反例四共同界定了该方法对验证器质量的依赖。</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r>
        <w:rPr>
          <w:rFonts w:ascii="Times New Roman" w:hAnsi="Times New Roman" w:eastAsia="Songti SC"/>
          <w:color w:val="000000"/>
        </w:rPr>
        <w:t>新项目现有预算接口只说明后续能够记录并限制哪些计算，不提供上述历史成本数据，也不证明在目标GPU上的效率优势。</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[25]不同，本章声明的零样本设定仅使用源域训练监督。鉴于近期句子级论辩识别研究揭示了词汇线索与跨数据集泛化之间的风险[27]，本章特别区分领域变化、标签归约和评价口径，避免将域内正向结果直接外推到目标域。</w:t>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连接覆盖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r>
        <w:rPr>
          <w:rFonts w:ascii="Times New Roman" w:hAnsi="Times New Roman" w:eastAsia="Songti SC"/>
          <w:color w:val="000000"/>
        </w:rPr>
        <w:t>本章明确了AAEC到CDCP零样本迁移的标签映射和无标签连接评价范围，并分析原稿保留记录。Full的组件和连接分数高于表中基线，但这一比较仅限所声明的单向粗粒度协议，仍需核验实际数据使用与评价脚本。双向迁移可作为后续扩展，不是回答本章限定问题的必要条件。</w:t>
      </w:r>
    </w:p>
    <w:p>
      <w:pPr>
        <w:pStyle w:val="Heading1"/>
      </w:pPr>
      <w:r>
        <w:t>第六章 总结与展望</w:t>
      </w:r>
    </w:p>
    <w:p>
      <w:pPr>
        <w:pStyle w:val="Heading2"/>
      </w:pPr>
      <w:r>
        <w:t>6.1 工作总结</w:t>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r>
        <w:rPr>
          <w:rFonts w:ascii="Times New Roman" w:hAnsi="Times New Roman" w:eastAsia="Songti SC"/>
          <w:color w:val="000000"/>
        </w:rPr>
        <w:t>对应RQ1，现有记录尚不能分离结构增强的独立作用，需要同规模普通改写对照及Premise结果；对应RQ2，现有表格给出组合配置的正向差值，固定候选池与等预算结果仍缺，评分反例说明接受规则不保证任务指标提高；对应RQ3，结论限于原稿单向粗粒度迁移记录，不能外推到未测试的语言或领域。三项问题的回答强度以各自证据为准。</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本轮已补充独立参考实现和配置说明，使重新实验具有代码起点；但软件测试不是方法有效性验证。在取得真实数据及模型、完成原始标注抽检并运行正式对照前，仍不能将新项目视为表格结果的复现证据。</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未决事项。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本附录给出针对第四章逻辑缺口的可实验建议。新项目已提供合法优先选择选项、尝试/调用/token上限及逐次日志；没有实现非法中间状态的分阶段修复或Insert。所有建议均未使用原稿分数验证。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4.4.3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本节日志亦应用于识别4.4.4节的评分反例：保留类型修改前后的覆盖集合、各节点阈值及任务匹配计数，避免只记录总分。</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commentRangeStart w:id="9"/>
      <w:pPr>
        <w:pStyle w:val="Heading2"/>
      </w:pPr>
      <w:r>
        <w:t>B.5 覆盖评分投机的保守修订方向</w:t>
      </w:r>
      <w:commentRangeEnd w:id="9"/>
      <w:r>
        <w:commentReference w:id="9"/>
      </w:r>
    </w:p>
    <w:p>
      <w:pPr>
        <w:spacing w:line="380" w:lineRule="exact"/>
      </w:pPr>
      <w:r>
        <w:rPr>
          <w:rFonts w:ascii="Times New Roman" w:hAnsi="Times New Roman" w:eastAsia="Songti SC"/>
          <w:color w:val="000000"/>
          <w:sz w:val="22"/>
        </w:rPr>
        <w:t>优先评估将“关系修正”与“类型修正”分开：关系修正阶段固定初始图的覆盖节点ID和阈值，仅允许不改变组件类型的动作；类型修正另需基于文本的类型判断依据，并单列其错误修改率。当前仅关闭Promote/Demote仍不充分，因为Replace也能改变类型；仅固定覆盖分母也不充分，因为非下降接受允许等分的错误类型修改。</w:t>
      </w:r>
    </w:p>
    <w:p>
      <w:pPr>
        <w:spacing w:line="380" w:lineRule="exact"/>
      </w:pPr>
      <w:r>
        <w:rPr>
          <w:rFonts w:ascii="Times New Roman" w:hAnsi="Times New Roman" w:eastAsia="Songti SC"/>
          <w:color w:val="000000"/>
          <w:sz w:val="22"/>
        </w:rPr>
        <w:t>这一建议会改变现有动作空间与接受条件，本轮未将其写成已实现方法，也未替换旧表结果。应设置原规则、禁止类型变化、固定覆盖集合及阈值、两者结合的对照，先检查构造反例，再在冻结候选池上比较类型F1、关系F1、错误修改率和成本。跨候选重排序中不同候选的覆盖集合仍可能不同，固定BR初始集合不能自动解决选择阶段的偏差。</w:t>
      </w:r>
    </w:p>
    <w:p>
      <w:pPr>
        <w:pStyle w:val="Heading2"/>
      </w:pPr>
      <w:r>
        <w:t>B.6 两项贡献的最小独立验证</w:t>
      </w:r>
    </w:p>
    <w:p>
      <w:pPr>
        <w:spacing w:line="380" w:lineRule="exact"/>
      </w:pPr>
      <w:r>
        <w:rPr>
          <w:rFonts w:ascii="Times New Roman" w:hAnsi="Times New Roman" w:eastAsia="Songti SC"/>
          <w:color w:val="000000"/>
          <w:sz w:val="22"/>
        </w:rPr>
        <w:t>训练增强首先比较无增强、普通改写、结构条件改写。后两者使用相同源文档、目标单位、全文筛选和尽可能匹配的接受样本量及优化步数；若两组筛选导致源文档分布不同，应报告这种差异。此处plain只隔离生成提示是否含局部边，不能代表完全不使用结构信息的增强基线。另加结论中心与随机组件中心的预算匹配对照，才能检验为何优先选择结论。</w:t>
      </w:r>
    </w:p>
    <w:p>
      <w:pPr>
        <w:spacing w:line="380" w:lineRule="exact"/>
      </w:pPr>
      <w:r>
        <w:rPr>
          <w:rFonts w:ascii="Times New Roman" w:hAnsi="Times New Roman" w:eastAsia="Songti SC"/>
          <w:color w:val="000000"/>
          <w:sz w:val="22"/>
        </w:rPr>
        <w:t>推理实验在每个固定检查点下缓存同一批候选，比较长度归一化序列概率选择、图级重排序、重排序加BR；随后比较删边后处理和等调用或等token预算的通用修订。训练增强与BR可组成2×2对照：原始数据/结构增强分别配合重排序/重排序加BR。候选池在同一检查点的两种推理策略间固定，不要求不同训练检查点产生相同候选。</w:t>
      </w:r>
    </w:p>
    <w:p>
      <w:pPr>
        <w:spacing w:line="380" w:lineRule="exact"/>
      </w:pPr>
      <w:r>
        <w:rPr>
          <w:rFonts w:ascii="Times New Roman" w:hAnsi="Times New Roman" w:eastAsia="Songti SC"/>
          <w:color w:val="000000"/>
          <w:sz w:val="22"/>
        </w:rPr>
        <w:t>报告分类别Precision、Recall、F1、多个种子的结果和差值不确定性；若开展逐文档重采样，应在每次抽样后重新汇总TP/FP/FN再计算micro-F1。真实成功与错误修改案例需附原文、金标准、候选、动作和成本。若结构增强没有稳定优于plain，或BR没有在预算匹配下优于重排序，应相应收缩贡献表述，保留可复核的负结果与适用边界。</w:t>
      </w:r>
    </w:p>
    <w:p>
      <w:pPr>
        <w:pStyle w:val="Heading1"/>
      </w:pPr>
      <w:r>
        <w:t>附录C 修订与辅助工具使用说明</w:t>
      </w:r>
    </w:p>
    <w:p>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spacing w:line="380" w:lineRule="exact"/>
      </w:pPr>
      <w:r>
        <w:rPr>
          <w:rFonts w:ascii="Times New Roman" w:hAnsi="Times New Roman" w:eastAsia="Songti SC"/>
          <w:color w:val="000000"/>
          <w:sz w:val="22"/>
        </w:rPr>
        <w:t>0914-v3依据作者“评估后可直接修改”的授权执行局部修订，沿用academic-research-suite的证据分级与贡献审查原则。新增内容包括方法定义澄清、2026年相关文献的定向核查、构造示例及评分反例诊断；未将软件诊断作为正式实验。本轮保存逐项替换、完整差异与文件核对记录，不生成或追认缺失的历史实验日志，也不声称完成全套ARS授权链或独立校准的专家评审。</w:t>
      </w:r>
    </w:p>
    <w:p>
      <w:pPr>
        <w:pStyle w:val="Heading1"/>
      </w:pPr>
      <w:r>
        <w:t>附录D 新参考实现与复现实验接口</w:t>
      </w:r>
    </w:p>
    <w:p>
      <w:pPr>
        <w:pStyle w:val="Heading2"/>
      </w:pPr>
      <w:r>
        <w:t>D.1 身份与配置来源</w:t>
      </w:r>
    </w:p>
    <w:p>
      <w:pPr>
        <w:spacing w:line="380" w:lineRule="exact"/>
      </w:pPr>
      <w:r>
        <w:rPr>
          <w:rFonts w:ascii="Times New Roman" w:hAnsi="Times New Roman" w:eastAsia="Songti SC"/>
          <w:color w:val="000000"/>
          <w:sz w:val="22"/>
        </w:rPr>
        <w:t>项目名为argument_mining_0914，实现标识为0914-reference-v1。其来源是本次依据论文进行的新开发，不是原实验仓库。项目含数据转换、精确匹配评价、训练与增强、五种推理策略、四类局部动作、19份具名配置及运行说明；不存在与旧表分数绑定的真实运行记录。表D-1中“沿用原稿取值”仅指文字取值一致，不代表原实验已经验证。</w:t>
      </w:r>
    </w:p>
    <w:p>
      <w:pPr>
        <w:keepNext/>
        <w:spacing w:line="380" w:lineRule="exact"/>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pPr>
      <w:r>
        <w:t>D.2 输入输出与可追溯性</w:t>
      </w:r>
    </w:p>
    <w:p>
      <w:pPr>
        <w:spacing w:line="380" w:lineRule="exact"/>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pPr>
        <w:pStyle w:val="Heading2"/>
      </w:pPr>
      <w:r>
        <w:t>D.3 当前验证范围与未完成工作</w:t>
      </w:r>
    </w:p>
    <w:p>
      <w:pPr>
        <w:spacing w:line="380" w:lineRule="exact"/>
      </w:pPr>
      <w:r>
        <w:rPr>
          <w:rFonts w:ascii="Times New Roman" w:hAnsi="Times New Roman" w:eastAsia="Songti SC"/>
          <w:color w:val="000000"/>
          <w:sz w:val="22"/>
        </w:rPr>
        <w:t>本轮55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完整验证报告保存在项目validation目录，运行时间与软件版本亦被记录。</w:t>
      </w:r>
    </w:p>
    <w:p>
      <w:pPr>
        <w:spacing w:line="380" w:lineRule="exact"/>
      </w:pPr>
      <w:r>
        <w:rPr>
          <w:rFonts w:ascii="Times New Roman" w:hAnsi="Times New Roman" w:eastAsia="Songti SC"/>
          <w:color w:val="000000"/>
          <w:sz w:val="22"/>
        </w:rPr>
        <w:t>仍未完成真实数据训练和评价、外部基线复现、语法约束解码、Self-Refine、Llama验证器、金标准组件替换Oracle、Insert、分阶段非法状态修复，以及目标GPU的显存和时延测试。代码中逐token无缓存生成路径便于核验门控但较慢，不作为高性能部署方案。上述边界决定了本次只能交付“可测试的新实验起点”，不能据此确认创新收益、论文全部分数或送审资格。</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4-v3 修订" w:date="2026-09-14T12:06:25Z">
    <w:p>
      <w:r>
        <w:t>v3：已澄清方法和新增构造诊断，未更改历史成绩或运行正式实验。</w:t>
      </w:r>
    </w:p>
  </w:comment>
  <w:comment w:id="1" w:author="Codex 0914-v3 修订" w:date="2026-09-14T12:06:25Z">
    <w:p>
      <w:r>
        <w:t>v3：贡献落实为输入、改写单位、保持对象与输出。独立增益仍需与普通改写和随机中心对照。</w:t>
      </w:r>
    </w:p>
  </w:comment>
  <w:comment w:id="2" w:author="Codex 0914-v3 修订" w:date="2026-09-14T12:06:25Z">
    <w:p>
      <w:r>
        <w:t>v3：按现有代码补齐诱导边集合与边界边的处理，不再把邻域理解成只有中心入边的星形结构。</w:t>
      </w:r>
    </w:p>
  </w:comment>
  <w:comment w:id="3" w:author="Codex 0914-v3 修订" w:date="2026-09-14T12:06:25Z">
    <w:p>
      <w:r>
        <w:t>v3：这是全文回填协议的正确计数单位，未改写组件也会随整篇样本再次进入训练。</w:t>
      </w:r>
    </w:p>
  </w:comment>
  <w:comment w:id="4" w:author="Codex 0914-v3 修订" w:date="2026-09-14T12:06:25Z">
    <w:p>
      <w:r>
        <w:t>v3：条件分支只在类型闭合后开启，不应解释为直接纠正当前类型字段。</w:t>
      </w:r>
    </w:p>
  </w:comment>
  <w:comment w:id="5" w:author="Codex 0914-v3 修订" w:date="2026-09-14T12:06:25Z">
    <w:p>
      <w:r>
        <w:t>v3：解析失败不能交给图级BR；原表JSON错误变化的归因仍待核验。</w:t>
      </w:r>
    </w:p>
  </w:comment>
  <w:comment w:id="6" w:author="Codex 0914-v3 修订" w:date="2026-09-14T12:06:25Z">
    <w:p>
      <w:r>
        <w:t>v3：两个聚合指标不是独立语义证据，需做各自消融。</w:t>
      </w:r>
    </w:p>
  </w:comment>
  <w:comment w:id="7" w:author="Codex 0914-v3 修订" w:date="2026-09-14T12:06:25Z">
    <w:p>
      <w:r>
        <w:t>v3：DENS的源集合可能包含几乎全图节点，不宜宣称只修改一跳邻域。</w:t>
      </w:r>
    </w:p>
  </w:comment>
  <w:comment w:id="8" w:author="Codex 0914-v3 修订" w:date="2026-09-14T12:06:25Z">
    <w:p>
      <w:r>
        <w:t>v3：已用现有BR代码复现接受错误类型修改的构造反例；不代表真实测试频率。</w:t>
      </w:r>
    </w:p>
  </w:comment>
  <w:comment w:id="9" w:author="Codex 0914-v3 修订" w:date="2026-09-14T12:06:25Z">
    <w:p>
      <w:r>
        <w:t>v3：新接受条件及动作约束属于建议变体，未更改现有算法或以旧结果背书。</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0914-v3修订工作稿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