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基于大语言模型的</w:t>
        <w:br/>
        <w:t>端到端论辩挖掘方法研究</w:t>
      </w:r>
    </w:p>
    <w:p>
      <w:pPr>
        <w:ind w:firstLine="0"/>
        <w:jc w:val="center"/>
      </w:pPr>
      <w:r>
        <w:rPr>
          <w:rFonts w:ascii="Times New Roman" w:hAnsi="Times New Roman" w:eastAsia="Songti SC"/>
          <w:color w:val="000000"/>
          <w:sz w:val="30"/>
        </w:rPr>
        <w:t>End-to-End Argument Mining</w:t>
        <w:br/>
        <w:t>with Large Language Models</w:t>
      </w:r>
    </w:p>
    <w:p>
      <w:pPr>
        <w:spacing w:before="300"/>
        <w:ind w:firstLine="0"/>
        <w:jc w:val="center"/>
      </w:pPr>
      <w:r>
        <w:t>计算机科学与技术</w:t>
      </w:r>
    </w:p>
    <w:p>
      <w:pPr>
        <w:spacing w:before="300"/>
        <w:ind w:firstLine="0"/>
        <w:jc w:val="center"/>
      </w:pPr>
      <w:r>
        <w:t>0914-v2修订工作稿</w:t>
      </w:r>
    </w:p>
    <w:p>
      <w:pPr>
        <w:spacing w:before="300"/>
        <w:ind w:firstLine="0"/>
        <w:jc w:val="center"/>
      </w:pPr>
      <w:r>
        <w:t>2026年9月14日</w:t>
      </w:r>
    </w:p>
    <w:p>
      <w:pPr>
        <w:pStyle w:val="Heading1"/>
      </w:pPr>
      <w:r>
        <w:t>版本说明</w:t>
      </w:r>
    </w:p>
    <w:p>
      <w:commentRangeStart w:id="11"/>
      <w:r>
        <w:rPr>
          <w:rFonts w:ascii="Times New Roman" w:hAnsi="Times New Roman" w:eastAsia="Songti SC"/>
          <w:color w:val="000000"/>
        </w:rPr>
        <w:t>本稿在0914修订稿基础上核对实验配置，并依据作者授权新建argument_mining_0914参考项目。原有实验表格、数值和近期文献定位保持不变；本次完成软件层面的构造样例测试及随机初始化小模型测试，没有运行AAEC/CDCP正式训练或复现原表。新代码不是原实验代码的恢复，不能追溯性地证明原分数。文中“原稿记录”指从旧稿继承的结果，“新参考实现”指本次明确并编码的协议，二者不得混用。修改与核验边界详见随稿《0914_v2实验配置核对与修改说明》。</w:t>
      </w:r>
      <w:commentRangeEnd w:id="11"/>
      <w:r>
        <w:commentReference w:id="11"/>
      </w:r>
    </w:p>
    <w:p>
      <w:r>
        <w:rPr>
          <w:rFonts w:ascii="Times New Roman" w:hAnsi="Times New Roman" w:eastAsia="Songti SC"/>
          <w:color w:val="000000"/>
        </w:rPr>
        <w:t>目前没有原实验项目、原始日志和数据划分材料。第三章与第四章Single-Pass的81.67和77.82、两处Full的83.71仍缺run ID对应关系；新增代码不能消除这一历史证据缺口。门控、评价、修正预算等已获得可执行的新定义，但需以真实数据重新实验后才能验证有效性。本稿仍是待作者核验的工作稿，不作为已满足送审要求的声明。正式封面、作者导师信息、原创性声明、授权页、致谢与成果页，应按学院适用模板另行补齐，不代填或代签。</w:t>
      </w:r>
    </w:p>
    <w:p>
      <w:pPr>
        <w:pStyle w:val="Heading1"/>
      </w:pPr>
      <w:r>
        <w:t>摘要</w:t>
      </w:r>
    </w:p>
    <w:p>
      <w:commentRangeStart w:id="0"/>
      <w:r>
        <w:rPr>
          <w:rFonts w:ascii="Times New Roman" w:hAnsi="Times New Roman" w:eastAsia="Songti SC"/>
          <w:color w:val="000000"/>
        </w:rPr>
        <w:t>论辩挖掘旨在从非结构化文本中识别论辩组件及其关系，恢复符合语料标注规范的论辩图。生成式大语言模型能够统一表示组件跨度、类型和有向关系，但组件识别错误会限制后续关系预测的候选空间，单次生成也可能产生错误引用和缺乏语义依据的连接。针对上述问题，本文从训练阶段的结论组件增强和推理阶段的论辩图修正两个方面研究端到端论辩挖掘方法。</w:t>
      </w:r>
      <w:commentRangeEnd w:id="0"/>
      <w:r>
        <w:commentReference w:id="0"/>
      </w:r>
    </w:p>
    <w:p>
      <w:r>
        <w:rPr>
          <w:rFonts w:ascii="Times New Roman" w:hAnsi="Times New Roman" w:eastAsia="Songti SC"/>
          <w:color w:val="000000"/>
        </w:rPr>
        <w:t>在训练阶段，本文设计面向结论类组件的局部论辩结构保持增强方法。以结论节点及其支撑或攻击邻域作为增强单位，在保留组件类型、关系端点与方向的条件下生成表达变体，并通过格式、结构和语义检查筛选样本。结合类型条件低秩适配、线索感知连续提示和句子级辅助目标，该方法旨在丰富结论表达及其关系上下文，为组件和关系预测提供结构一致的训练监督。增强目标是提高有效样本的多样性，不将样本扩充直接等同于类别平衡改善。</w:t>
      </w:r>
    </w:p>
    <w:p>
      <w:r>
        <w:rPr>
          <w:rFonts w:ascii="Times New Roman" w:hAnsi="Times New Roman" w:eastAsia="Songti SC"/>
          <w:color w:val="000000"/>
        </w:rPr>
        <w:t>在推理阶段，本文提出基于完整候选图评估与异常驱动局部修正的方法MCR-BR。该方法从多个组件假设构建候选论辩图，利用论证连接覆盖、边语义连贯性和输出合法性进行图级评分；随后针对检测到的异常尝试局部修改，通过接受检查与回退机制控制修改过程，并限制修正轮数和每轮接受动作数。该设计将候选选择与生成后的局部调整衔接起来，目标是改善端到端抽取结果，而非以代理评分代替任务正确性判断。</w:t>
      </w:r>
    </w:p>
    <w:p>
      <w:r>
        <w:rPr>
          <w:rFonts w:ascii="Times New Roman" w:hAnsi="Times New Roman" w:eastAsia="Songti SC"/>
          <w:color w:val="000000"/>
        </w:rPr>
        <w:t>现有实验记录中，完整框架在AAEC上的Component-F1和Relation-F1分别为83.71和64.83，在CDCP上分别为76.45和38.17。在采用粗粒度组件标签及有向无标签连接的AAEC到CDCP零样本迁移设置下，完整框架的Link-F1为43.21，较同骨干Single-Pass记录提高9.79个F1点。上述记录呈现了训练增强与推理修正相结合的应用价值；两项方法的独立增益、等计算预算优势及更广泛的迁移能力，仍需在配置核验和相应消融基础上分别确定。</w:t>
      </w:r>
    </w:p>
    <w:p>
      <w:pPr>
        <w:ind w:firstLine="0"/>
      </w:pPr>
      <w:r>
        <w:rPr>
          <w:rFonts w:ascii="Times New Roman" w:hAnsi="Times New Roman" w:eastAsia="Songti SC"/>
          <w:color w:val="000000"/>
        </w:rPr>
        <w:t>关键词：论辩挖掘；大语言模型；局部结构保持增强；结论组件；候选图评估；异常驱动修正</w:t>
      </w:r>
    </w:p>
    <w:p>
      <w:pPr>
        <w:pStyle w:val="Heading1"/>
      </w:pPr>
      <w:r>
        <w:t>Abstract</w:t>
      </w:r>
    </w:p>
    <w:p>
      <w:pPr>
        <w:spacing w:line="360" w:lineRule="exact"/>
      </w:pPr>
      <w:r>
        <w:rPr>
          <w:rFonts w:ascii="Times New Roman" w:hAnsi="Times New Roman" w:eastAsia="Songti SC"/>
          <w:color w:val="000000"/>
        </w:rPr>
        <w:t>Argument mining reconstructs components and relations from unstructured text under corpus-specific annotation guidelines. Generative large language models can represent component spans, types, and directed relations jointly. However, component errors restrict relation prediction, while a single generation may contain invalid references or unsupported links. This thesis studies complementary training-time conclusion enhancement and inference-time graph repair for end-to-end argument mining.</w:t>
      </w:r>
    </w:p>
    <w:p>
      <w:pPr>
        <w:spacing w:line="360" w:lineRule="exact"/>
      </w:pPr>
      <w:r>
        <w:rPr>
          <w:rFonts w:ascii="Times New Roman" w:hAnsi="Times New Roman" w:eastAsia="Songti SC"/>
          <w:color w:val="000000"/>
        </w:rPr>
        <w:t>For training-time enhancement, this thesis designs local structure-preserving augmentation centered on conclusion components and their supporting or attacking neighborhoods. Expression variants preserve component types, relation endpoints, and directions, and undergo format, structural, and semantic checks. Type-conditioned low-rank adaptation, cue-aware continuous prompts, and a sentence-level auxiliary objective provide supporting mechanisms. The aim is to diversify conclusion expressions and relational contexts with consistent supervision, without assuming that more examples automatically improve class balance.</w:t>
      </w:r>
    </w:p>
    <w:p>
      <w:pPr>
        <w:spacing w:line="360" w:lineRule="exact"/>
      </w:pPr>
      <w:r>
        <w:rPr>
          <w:rFonts w:ascii="Times New Roman" w:hAnsi="Times New Roman" w:eastAsia="Songti SC"/>
          <w:color w:val="000000"/>
        </w:rPr>
        <w:t>For inference-time repair, this thesis proposes MCR-BR, combining complete candidate-graph evaluation with anomaly-driven local repair. Graphs built from multiple component hypotheses are scored using argument-link coverage, edge-level semantic coherence, and output validity. Detected anomalies trigger local edits subject to acceptance checks, rollback, and limits on iterations and accepted actions. This connects candidate selection with post-generation adjustment; the surrogate score does not replace gold-standard evaluation.</w:t>
      </w:r>
    </w:p>
    <w:p>
      <w:pPr>
        <w:spacing w:line="360" w:lineRule="exact"/>
      </w:pPr>
      <w:r>
        <w:rPr>
          <w:rFonts w:ascii="Times New Roman" w:hAnsi="Times New Roman" w:eastAsia="Songti SC"/>
          <w:color w:val="000000"/>
        </w:rPr>
        <w:t>The retained records report full-framework Component-F1/Relation-F1 scores of 83.71/64.83 on AAEC and 76.45/38.17 on CDCP. Under AAEC-to-CDCP zero-shot transfer with coarse component labels and directed unlabeled links, Link-F1 is 43.21, 9.79 points above the same-backbone Single-Pass baseline. These records indicate the potential value of combining enhancement and repair. Independent gains, matched-budget advantages, and broader transferability require configuration verification and corresponding ablations.</w:t>
      </w:r>
    </w:p>
    <w:p>
      <w:pPr>
        <w:spacing w:line="360" w:lineRule="exact"/>
        <w:ind w:firstLine="0"/>
      </w:pPr>
      <w:r>
        <w:rPr>
          <w:rFonts w:ascii="Times New Roman" w:hAnsi="Times New Roman" w:eastAsia="Songti SC"/>
          <w:color w:val="000000"/>
          <w:sz w:val="22"/>
        </w:rPr>
        <w:t>Keywords: Argument Mining; Large Language Models; Local Structure-Preserving Augmentation; Conclusion Components; Candidate-Graph Evaluation; Anomaly-Driven Repair</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8</w:t>
      </w:r>
    </w:p>
    <w:p>
      <w:pPr>
        <w:tabs>
          <w:tab w:pos="8504" w:val="right"/>
        </w:tabs>
        <w:spacing w:after="280" w:line="336" w:lineRule="auto"/>
        <w:ind w:firstLine="0"/>
      </w:pPr>
      <w:r>
        <w:rPr>
          <w:rFonts w:ascii="Times New Roman" w:hAnsi="Times New Roman" w:eastAsia="Songti SC"/>
          <w:color w:val="000000"/>
        </w:rPr>
        <w:t>第三章 面向结论类组件的局部论辩结构保持增强</w:t>
      </w:r>
      <w:r>
        <w:rPr>
          <w:rFonts w:ascii="Times New Roman" w:hAnsi="Times New Roman" w:eastAsia="Songti SC"/>
          <w:color w:val="000000"/>
          <w:sz w:val="24"/>
        </w:rPr>
        <w:tab/>
        <w:t>12</w:t>
      </w:r>
    </w:p>
    <w:p>
      <w:pPr>
        <w:tabs>
          <w:tab w:pos="8504" w:val="right"/>
        </w:tabs>
        <w:spacing w:after="280" w:line="336" w:lineRule="auto"/>
        <w:ind w:firstLine="0"/>
      </w:pPr>
      <w:r>
        <w:rPr>
          <w:rFonts w:ascii="Times New Roman" w:hAnsi="Times New Roman" w:eastAsia="Songti SC"/>
          <w:color w:val="000000"/>
        </w:rPr>
        <w:t>第四章 基于候选图评估与异常驱动局部修正的论辩图生成</w:t>
      </w:r>
      <w:r>
        <w:rPr>
          <w:rFonts w:ascii="Times New Roman" w:hAnsi="Times New Roman" w:eastAsia="Songti SC"/>
          <w:color w:val="000000"/>
          <w:sz w:val="24"/>
        </w:rPr>
        <w:tab/>
        <w:t>19</w:t>
      </w:r>
    </w:p>
    <w:p>
      <w:pPr>
        <w:tabs>
          <w:tab w:pos="8504" w:val="right"/>
        </w:tabs>
        <w:spacing w:after="280" w:line="336" w:lineRule="auto"/>
        <w:ind w:firstLine="0"/>
      </w:pPr>
      <w:r>
        <w:rPr>
          <w:rFonts w:ascii="Times New Roman" w:hAnsi="Times New Roman" w:eastAsia="Songti SC"/>
          <w:color w:val="000000"/>
        </w:rPr>
        <w:t>第五章 粗粒度标签协议下的跨语料迁移分析</w:t>
      </w:r>
      <w:r>
        <w:rPr>
          <w:rFonts w:ascii="Times New Roman" w:hAnsi="Times New Roman" w:eastAsia="Songti SC"/>
          <w:color w:val="000000"/>
          <w:sz w:val="24"/>
        </w:rPr>
        <w:tab/>
        <w:t>32</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36</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38</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41</w:t>
      </w:r>
    </w:p>
    <w:p>
      <w:pPr>
        <w:tabs>
          <w:tab w:pos="8504" w:val="right"/>
        </w:tabs>
        <w:spacing w:after="280" w:line="336" w:lineRule="auto"/>
        <w:ind w:firstLine="0"/>
      </w:pPr>
      <w:r>
        <w:rPr>
          <w:rFonts w:ascii="Times New Roman" w:hAnsi="Times New Roman" w:eastAsia="Songti SC"/>
          <w:color w:val="000000"/>
        </w:rPr>
        <w:t>附录B 算法修订建议</w:t>
      </w:r>
      <w:r>
        <w:rPr>
          <w:rFonts w:ascii="Times New Roman" w:hAnsi="Times New Roman" w:eastAsia="Songti SC"/>
          <w:color w:val="000000"/>
          <w:sz w:val="24"/>
        </w:rPr>
        <w:tab/>
        <w:t>42</w:t>
      </w:r>
    </w:p>
    <w:p>
      <w:pPr>
        <w:tabs>
          <w:tab w:pos="8504" w:val="right"/>
        </w:tabs>
        <w:spacing w:after="280" w:line="336" w:lineRule="auto"/>
        <w:ind w:firstLine="0"/>
      </w:pPr>
      <w:r>
        <w:rPr>
          <w:rFonts w:ascii="Times New Roman" w:hAnsi="Times New Roman" w:eastAsia="Songti SC"/>
          <w:color w:val="000000"/>
        </w:rPr>
        <w:t>附录C 修订与辅助工具使用说明</w:t>
      </w:r>
      <w:r>
        <w:rPr>
          <w:rFonts w:ascii="Times New Roman" w:hAnsi="Times New Roman" w:eastAsia="Songti SC"/>
          <w:color w:val="000000"/>
          <w:sz w:val="24"/>
        </w:rPr>
        <w:tab/>
        <w:t>43</w:t>
      </w:r>
    </w:p>
    <w:p>
      <w:pPr>
        <w:tabs>
          <w:tab w:pos="8504" w:val="right"/>
        </w:tabs>
        <w:spacing w:after="280" w:line="336" w:lineRule="auto"/>
        <w:ind w:firstLine="0"/>
      </w:pPr>
      <w:r>
        <w:rPr>
          <w:rFonts w:ascii="Times New Roman" w:hAnsi="Times New Roman" w:eastAsia="Songti SC"/>
          <w:color w:val="000000"/>
        </w:rPr>
        <w:t>附录D 新参考实现与复现实验接口</w:t>
      </w:r>
      <w:r>
        <w:rPr>
          <w:rFonts w:ascii="Times New Roman" w:hAnsi="Times New Roman" w:eastAsia="Songti SC"/>
          <w:color w:val="000000"/>
          <w:sz w:val="24"/>
        </w:rPr>
        <w:tab/>
        <w:t>44</w:t>
      </w:r>
    </w:p>
    <w:p>
      <w:pPr>
        <w:sectPr>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commentRangeStart w:id="1"/>
      <w:pPr>
        <w:pStyle w:val="Heading2"/>
      </w:pPr>
      <w:r>
        <w:t>1.2 国内外研究现状</w:t>
      </w:r>
      <w:commentRangeEnd w:id="1"/>
      <w:r>
        <w:commentReference w:id="1"/>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逐边语义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从训练实例提取约束并通过提示生成新样本，为条件增强提供了相关路线[16]。SegMix在任务相关片段上进行结构感知的混合增强，并在命名实体识别和关系抽取等任务上验证；它不等同于对论辩组件进行自由文本替换[17]。</w:t>
      </w:r>
    </w:p>
    <w:p>
      <w:r>
        <w:rPr>
          <w:rFonts w:ascii="Times New Roman" w:hAnsi="Times New Roman" w:eastAsia="Songti SC"/>
          <w:color w:val="000000"/>
        </w:rPr>
        <w:t>在本文中，增强对象不是孤立Claim句子，而是结论节点及其局部支撑或攻击邻域。组件类型、关系端点与方向共同构成需保持的监督条件，表达多样性则来自允许变化的文本内容。相对于通用约束生成，可主张的改进是面向论辩关系监督的局部增强单位及其筛选方式，而不是首次提出结构感知增强。</w:t>
      </w:r>
    </w:p>
    <w:p>
      <w:r>
        <w:rPr>
          <w:rFonts w:ascii="Times New Roman" w:hAnsi="Times New Roman" w:eastAsia="Songti SC"/>
          <w:color w:val="000000"/>
        </w:rPr>
        <w:t>局部拓扑保持也不等同于语义标签必然正确或类别比例自动改善。新增一个Claim及多个Premise可能同时增加高频类别，语义筛选也可能继承验证模型偏差。第三章据此区分表达多样性、类别分布和真实测试集增益；只有在等样本量或等训练预算下比较无增强、普通改写与局部结构保持增强，才能分离该设计的独立作用。</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[18]。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[19]；Huang等指出，在其研究的推理设置中，缺乏外部反馈的内在自纠错可能无效甚至降低表现[20]。自一致性则通过采样多条推理路径并聚合答案改善所研究的推理任务[21]。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[22]。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完整图选择还应与逐节点、逐边投票区分：独立投票可能拼接出候选池中从未出现过的结构，但选择完整候选也可能保留其遗漏节点。本文以图级评分选择初始状态，再尝试异常驱动修改；评分中的软合法性项不构成硬保证，有限接受动作也不等于严格限制全部模型调用。这些边界在第四章逐项分析。</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[23]。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Feger等在2025年对17个英文句子级数据集进行泛化评估，发现所研究模型可能依赖数据集相关词汇线索，在未见数据集上表现下降[24]。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[25]。IAM整合多项论辩挖掘任务，使用英文资源，不能作为中文论辩语料的例证[26]。本文实验使用英文AAEC和CDCP，不主张已经验证中文或多语言能力。</w:t>
      </w:r>
    </w:p>
    <w:p>
      <w:r>
        <w:rPr>
          <w:rFonts w:ascii="Times New Roman" w:hAnsi="Times New Roman" w:eastAsia="Songti SC"/>
          <w:color w:val="000000"/>
        </w:rPr>
        <w:t>综合以上研究，本文的研究位置是：训练阶段以结论中心局部子图保持关系监督，推理阶段以完整候选图评估和异常驱动局部修改处理生成错误；跨语料实验用于限定方法适用范围。现有文献已覆盖生成式联合预测、结构前缀、关键短语、一阶逻辑、多候选判断及跨语料训练，故本文不作“首次结合大语言模型与论辩结构”的宽泛主张，也不在缺乏同协议比较时宣称全面优于近期方法。</w:t>
      </w:r>
    </w:p>
    <w:p>
      <w:pPr>
        <w:pStyle w:val="Heading2"/>
      </w:pPr>
      <w:r>
        <w:t>1.3 研究问题与主要研究工作</w:t>
      </w:r>
    </w:p>
    <w:p>
      <w:r>
        <w:rPr>
          <w:rFonts w:ascii="Times New Roman" w:hAnsi="Times New Roman" w:eastAsia="Songti SC"/>
          <w:color w:val="000000"/>
        </w:rPr>
        <w:t>本文围绕端到端论辩挖掘中的组件识别错误及其向关系预测传播的问题展开研究，分别从训练阶段的结论组件增强和推理阶段的论辩图修正两个方面提出改进方法。前者以局部结构保持增强改善组件学习，后者利用完整候选图评估和异常驱动修正调整预测结果，共同服务于组件与关系的联合抽取。二者是训练与推理阶段的互补设计，不构成验证器向生成器回传梯度的联合训练过程。</w:t>
      </w:r>
    </w:p>
    <w:p>
      <w:pPr>
        <w:pStyle w:val="Heading3"/>
      </w:pPr>
      <w:r>
        <w:t>1.3.1 研究问题</w:t>
      </w:r>
    </w:p>
    <w:p>
      <w:r>
        <w:rPr>
          <w:rFonts w:ascii="Times New Roman" w:hAnsi="Times New Roman" w:eastAsia="Songti SC"/>
          <w:color w:val="000000"/>
        </w:rPr>
        <w:t>RQ1：以结论为中心的局部结构保持增强，能否在不明显损害Premise识别的条件下改善结论跨度与类型预测？需要通过分类别Precision、Recall和F1，以及增强和表示模块的独立消融回答，不能将完整系统的全部增益归于训练增强。</w:t>
      </w:r>
    </w:p>
    <w:p>
      <w:r>
        <w:rPr>
          <w:rFonts w:ascii="Times New Roman" w:hAnsi="Times New Roman" w:eastAsia="Songti SC"/>
          <w:color w:val="000000"/>
        </w:rPr>
        <w:t>RQ2：在相同骨干和候选池下，完整图评估与异常驱动局部修正能否改善端到端组件和关系抽取？需要区分候选数量、选择器和修正动作的作用，并进一步与确定性后处理、通用自修正在可比计算预算下比较。</w:t>
      </w:r>
    </w:p>
    <w:p>
      <w:r>
        <w:rPr>
          <w:rFonts w:ascii="Times New Roman" w:hAnsi="Times New Roman" w:eastAsia="Songti SC"/>
          <w:color w:val="000000"/>
        </w:rPr>
        <w:t>RQ3：上述方法在明确标签归约的AAEC到CDCP迁移协议下，是否仍优于相应源域训练基线？该问题限定于单向、粗粒度迁移设置，不据此推导多语言或任意领域上的稳健性。</w:t>
      </w:r>
    </w:p>
    <w:p>
      <w:commentRangeStart w:id="2"/>
      <w:pPr>
        <w:pStyle w:val="Heading3"/>
      </w:pPr>
      <w:r>
        <w:t>1.3.2 主要研究工作与贡献</w:t>
      </w:r>
      <w:commentRangeEnd w:id="2"/>
      <w:r>
        <w:commentReference w:id="2"/>
      </w:r>
    </w:p>
    <w:p>
      <w:r>
        <w:rPr>
          <w:rFonts w:ascii="Times New Roman" w:hAnsi="Times New Roman" w:eastAsia="Songti SC"/>
          <w:color w:val="000000"/>
        </w:rPr>
        <w:t>（1）设计面向结论类组件的局部论辩结构保持增强方法。针对结论组件识别不足可能压缩关系预测候选空间的问题，以结论节点及其支撑或攻击邻域为增强单位，在保持组件类型、关系端点和方向的条件下生成表达变体，并以格式、结构和语义检查筛选样本。该设计将结论表达增强与局部关系监督结合，重点在于增强单位和监督保持机制；类型条件低秩适配、线索感知提示及辅助目标作为配套实现，不分别列为独立创新。</w:t>
      </w:r>
    </w:p>
    <w:p>
      <w:r>
        <w:rPr>
          <w:rFonts w:ascii="Times New Roman" w:hAnsi="Times New Roman" w:eastAsia="Songti SC"/>
          <w:color w:val="000000"/>
        </w:rPr>
        <w:t>（2）提出基于完整候选图评估与异常驱动局部修正的论辩图生成方法。针对单次组件预测及关系生成容易过早固定错误结构的问题，构建多组完整候选图，利用连接覆盖、边语义和合法性信号进行整体评估，再将检测到的异常映射为局部修改动作，并结合接受检查、回退与修正步数限制形成MCR-BR流程。方法贡献在于图级选择和局部修正的任务特定组织，不是多采样或自修正思想本身；当前动作集合不被表述为可以一般性补回遗漏节点。</w:t>
      </w:r>
    </w:p>
    <w:p>
      <w:r>
        <w:rPr>
          <w:rFonts w:ascii="Times New Roman" w:hAnsi="Times New Roman" w:eastAsia="Songti SC"/>
          <w:color w:val="000000"/>
        </w:rPr>
        <w:t>（3）开展域内评估与粗粒度协议下的跨语料迁移分析。围绕AAEC和CDCP整理组件、关系、消融、验证器替换及Oracle结果，并通过明确组件标签归约和有向无标签连接指标分析单向迁移表现。这部分属于验证与适用性分析，不构成第三项算法创新，也不将标签映射命名为新的领域自适应方法。</w:t>
      </w:r>
    </w:p>
    <w:p>
      <w:pPr>
        <w:keepNext/>
        <w:ind w:firstLine="0"/>
        <w:jc w:val="center"/>
      </w:pPr>
      <w:r>
        <w:rPr>
          <w:rFonts w:ascii="Times New Roman" w:hAnsi="Times New Roman" w:eastAsia="Songti SC"/>
          <w:color w:val="000000"/>
          <w:sz w:val="22"/>
        </w:rPr>
        <w:t>表1-1 研究问题与证据对应关系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4"/>
        <w:gridCol w:w="2608"/>
      </w:tblGrid>
      <w:tr>
        <w:trPr>
          <w:cantSplit/>
          <w:tblHeader/>
        </w:trPr>
        <w:tc>
          <w:tcPr>
            <w:tcW w:type="dxa" w:w="187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主要方法</w:t>
            </w:r>
          </w:p>
        </w:tc>
        <w:tc>
          <w:tcPr>
            <w:tcW w:type="dxa" w:w="2154"/>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现有材料</w:t>
            </w:r>
          </w:p>
        </w:tc>
        <w:tc>
          <w:tcPr>
            <w:tcW w:type="dxa" w:w="260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尚缺的关键证据</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RQ1 结论组件质量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局部结构保持增强及配套表示模块</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分类别表与部分模块消融</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配置冲突消解、类别统计、增强独立消融</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RQ2 图级结构恢复</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完整候选图评估与异常驱动局部修正</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域内比较、验证器替换、Oracle记录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固定候选池比较、可执行动作、预算与时延</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RQ3 跨语料适用性</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粗粒度映射下的源域迁移</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AAEC到CDCP单向记录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目标数据使用审计、双向迁移和映射敏感性</w:t>
            </w:r>
          </w:p>
        </w:tc>
      </w:tr>
    </w:tbl>
    <w:p>
      <w:pPr>
        <w:spacing w:after="0" w:line="240" w:lineRule="auto"/>
      </w:pPr>
    </w:p>
    <w:p>
      <w:r>
        <w:rPr>
          <w:rFonts w:ascii="Times New Roman" w:hAnsi="Times New Roman" w:eastAsia="Songti SC"/>
          <w:color w:val="000000"/>
        </w:rPr>
        <w:t>两项方法贡献描述的是本文的设计内容，不意味着其独立优越性已经由完整系统总分充分证明。现有数值记录、消融和方法分析分别承担不同证据作用：总分支持完整配置的表现，控制变量消融用于归因，形式分析用于限定可达空间与算法性质；三者不能相互替代。</w:t>
      </w:r>
    </w:p>
    <w:p>
      <w:pPr>
        <w:pStyle w:val="Heading2"/>
      </w:pPr>
      <w:r>
        <w:t>1.4 论文组织结构</w:t>
      </w:r>
    </w:p>
    <w:p>
      <w:pPr>
        <w:keepLines/>
      </w:pPr>
      <w:r>
        <w:rPr>
          <w:rFonts w:ascii="Times New Roman" w:hAnsi="Times New Roman" w:eastAsia="Songti SC"/>
          <w:color w:val="000000"/>
        </w:rPr>
        <w:t>第一章介绍研究问题、相关工作及两项方法贡献。第二章统一任务表示、序列化规范、评价口径和训练—推理接口。第三章给出面向结论类组件的局部论辩结构保持增强方法及配套表示模块。第四章介绍完整候选图评估与异常驱动局部修正方法MCR-BR，分析其性质并整理域内结果。第五章在粗粒度标签和有向无标签连接协议下分析跨语料迁移。第六章总结研究工作及后续验证方向。附录保留实现核验清单与待实验的算法修订建议，不将建议视为已实现方法。</w:t>
      </w:r>
    </w:p>
    <w:p>
      <w:pPr>
        <w:pStyle w:val="Heading1"/>
      </w:pPr>
      <w:r>
        <w:t>第二章 任务表示与方法基础</w:t>
      </w:r>
    </w:p>
    <w:p>
      <w:pPr>
        <w:pStyle w:val="Heading2"/>
      </w:pPr>
      <w:r>
        <w:t>2.1 论辩组件与关系表示</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。一个组件定义为</w:t>
      </w:r>
      <m:oMath>
        <m:sSub>
          <m:e>
            <m:r>
              <m:t xml:space="preserve">c</m:t>
            </m:r>
          </m:e>
          <m:sub>
            <m:r>
              <m:t xml:space="preserve">i</m:t>
            </m:r>
          </m:sub>
        </m:sSub>
        <m:r>
          <m:t xml:space="preserve">=</m:t>
        </m:r>
        <m:r>
          <m:t xml:space="preserve">(</m:t>
        </m:r>
        <m:sSub>
          <m:e>
            <m:r>
              <m:t xml:space="preserve">s</m:t>
            </m:r>
          </m:e>
          <m:sub>
            <m:r>
              <m:t xml:space="preserve">i</m:t>
            </m:r>
          </m:sub>
        </m:sSub>
        <m:r>
          <m:t xml:space="preserve">,</m:t>
        </m:r>
        <m:sSub>
          <m:e>
            <m:r>
              <m:t xml:space="preserve">e</m:t>
            </m:r>
          </m:e>
          <m:sub>
            <m:r>
              <m:t xml:space="preserve">i</m:t>
            </m:r>
          </m:sub>
        </m:sSub>
        <m:r>
          <m:t xml:space="preserve">,</m:t>
        </m:r>
        <m:sSub>
          <m:e>
            <m:r>
              <m:t xml:space="preserve">τ</m:t>
            </m:r>
          </m:e>
          <m:sub>
            <m:r>
              <m:t xml:space="preserve">i</m:t>
            </m:r>
          </m:sub>
        </m:sSub>
        <m:r>
          <m:t xml:space="preserve">)</m:t>
        </m:r>
      </m:oMath>
      <w:r>
        <w:rPr>
          <w:rFonts w:ascii="Times New Roman" w:hAnsi="Times New Roman" w:eastAsia="Songti SC"/>
          <w:color w:val="000000"/>
        </w:rPr>
        <w:t>，其中</w:t>
      </w:r>
      <m:oMath>
        <m:r>
          <m:t xml:space="preserve">1</m:t>
        </m:r>
        <m:r>
          <m:t xml:space="preserve">≤</m:t>
        </m:r>
        <m:sSub>
          <m:e>
            <m:r>
              <m:t xml:space="preserve">s</m:t>
            </m:r>
          </m:e>
          <m:sub>
            <m:r>
              <m:t xml:space="preserve">i</m:t>
            </m:r>
          </m:sub>
        </m:sSub>
        <m:r>
          <m:t xml:space="preserve">≤</m:t>
        </m:r>
        <m:sSub>
          <m:e>
            <m:r>
              <m:t xml:space="preserve">e</m:t>
            </m:r>
          </m:e>
          <m:sub>
            <m:r>
              <m:t xml:space="preserve">i</m:t>
            </m:r>
          </m:sub>
        </m:sSub>
        <m:r>
          <m:t xml:space="preserve">≤</m:t>
        </m:r>
        <m:r>
          <m:t xml:space="preserve">n</m:t>
        </m:r>
      </m:oMath>
      <w:r>
        <w:rPr>
          <w:rFonts w:ascii="Times New Roman" w:hAnsi="Times New Roman" w:eastAsia="Songti SC"/>
          <w:color w:val="000000"/>
        </w:rPr>
        <w:t>，跨度采用从1开始的闭区间，</w:t>
      </w:r>
      <m:oMath>
        <m:sSub>
          <m:e>
            <m:r>
              <m:t xml:space="preserve">τ</m:t>
            </m:r>
          </m:e>
          <m:sub>
            <m:r>
              <m:t xml:space="preserve">i</m:t>
            </m:r>
          </m:sub>
        </m:sSub>
      </m:oMath>
      <w:r>
        <w:rPr>
          <w:rFonts w:ascii="Times New Roman" w:hAnsi="Times New Roman" w:eastAsia="Songti SC"/>
          <w:color w:val="000000"/>
        </w:rPr>
        <w:t>为数据集规定的类型。评价token与模型内部子词token不是同一概念；模型输出需映射回统一评价坐标后再比较。具体分词器和映射脚本属于实验配置，不能仅靠这一数学定义确定。</w:t>
      </w:r>
    </w:p>
    <w:p>
      <w:r>
        <w:rPr>
          <w:rFonts w:ascii="Times New Roman" w:hAnsi="Times New Roman" w:eastAsia="Songti SC"/>
          <w:color w:val="000000"/>
        </w:rPr>
        <w:t>组件集合记为</w:t>
      </w:r>
      <m:oMath>
        <m:r>
          <m:t xml:space="preserve">C</m:t>
        </m:r>
        <m:r>
          <m:t xml:space="preserve">=</m:t>
        </m:r>
        <m:r>
          <m:rPr>
            <m:sty m:val="p"/>
          </m:rPr>
          <m:t xml:space="preserve">{</m:t>
        </m:r>
        <m:sSub>
          <m:e>
            <m:r>
              <m:t xml:space="preserve">c</m:t>
            </m:r>
          </m:e>
          <m:sub>
            <m:r>
              <m:t xml:space="preserve">1</m:t>
            </m:r>
          </m:sub>
        </m:sSub>
        <m:r>
          <m:t xml:space="preserve">,</m:t>
        </m:r>
        <m:r>
          <m:t xml:space="preserve">…</m:t>
        </m:r>
        <m:r>
          <m:t xml:space="preserve">,</m:t>
        </m:r>
        <m:sSub>
          <m:e>
            <m:r>
              <m:t xml:space="preserve">c</m:t>
            </m:r>
          </m:e>
          <m:sub>
            <m:r>
              <m:t xml:space="preserve">m</m:t>
            </m:r>
          </m:sub>
        </m:sSub>
        <m:r>
          <m:rPr>
            <m:sty m:val="p"/>
          </m:rPr>
          <m:t xml:space="preserve">}</m:t>
        </m:r>
      </m:oMath>
      <w:r>
        <w:rPr>
          <w:rFonts w:ascii="Times New Roman" w:hAnsi="Times New Roman" w:eastAsia="Songti SC"/>
          <w:color w:val="000000"/>
        </w:rPr>
        <w:t>。关系定义为</w:t>
      </w:r>
      <m:oMath>
        <m:r>
          <m:t xml:space="preserve">(</m:t>
        </m:r>
        <m:r>
          <m:t xml:space="preserve">i</m:t>
        </m:r>
        <m:r>
          <m:t xml:space="preserve">,</m:t>
        </m:r>
        <m:r>
          <m:t xml:space="preserve">j</m:t>
        </m:r>
        <m:r>
          <m:t xml:space="preserve">,</m:t>
        </m:r>
        <m:r>
          <m:t xml:space="preserve">r</m:t>
        </m:r>
        <m:r>
          <m:t xml:space="preserve">)</m:t>
        </m:r>
      </m:oMath>
      <w:r>
        <w:rPr>
          <w:rFonts w:ascii="Times New Roman" w:hAnsi="Times New Roman" w:eastAsia="Songti SC"/>
          <w:color w:val="000000"/>
        </w:rPr>
        <w:t>，其中</w:t>
      </w:r>
      <m:oMath>
        <m:r>
          <m:t xml:space="preserve">i</m:t>
        </m:r>
      </m:oMath>
      <w:r>
        <w:rPr>
          <w:rFonts w:ascii="Times New Roman" w:hAnsi="Times New Roman" w:eastAsia="Songti SC"/>
          <w:color w:val="000000"/>
        </w:rPr>
        <w:t>和</w:t>
      </w:r>
      <m:oMath>
        <m:r>
          <m:t xml:space="preserve">j</m:t>
        </m:r>
      </m:oMath>
      <w:r>
        <w:rPr>
          <w:rFonts w:ascii="Times New Roman" w:hAnsi="Times New Roman" w:eastAsia="Songti SC"/>
          <w:color w:val="000000"/>
        </w:rPr>
        <w:t>引用组件编号，方向约定为论据或攻击来源指向被支持或被攻击的目标。预测图为</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，节点对应组件，边对应关系。本文的“端到端”指评价从原始文本出发、不提供金标准组件；系统内部可以包含组件生成、关系构建与验证等阶段，并不特指一次模型调用。</w:t>
      </w:r>
    </w:p>
    <w:p>
      <w:pPr>
        <w:keepNext/>
        <w:ind w:firstLine="0"/>
        <w:jc w:val="center"/>
      </w:pPr>
      <w:r>
        <w:rPr>
          <w:rFonts w:ascii="Times New Roman" w:hAnsi="Times New Roman" w:eastAsia="Songti SC"/>
          <w:color w:val="000000"/>
          <w:sz w:val="22"/>
        </w:rPr>
        <w:t>表2-1 域内任务的标签与评价边界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948"/>
        <w:gridCol w:w="1701"/>
        <w:gridCol w:w="3231"/>
      </w:tblGrid>
      <w:tr>
        <w:trPr>
          <w:cantSplit/>
          <w:tblHeader/>
        </w:trPr>
        <w:tc>
          <w:tcPr>
            <w:tcW w:type="dxa" w:w="102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本文域内关系标签</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需要区分的属性或结构</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Support、Attack</w:t>
            </w:r>
          </w:p>
        </w:tc>
        <w:tc>
          <w:tcPr>
            <w:tcW w:type="dxa" w:w="32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Claim对MajorClaim的stance不混入本文关系F1</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允许非树状连接；需核验多片段前提的预处理</w:t>
            </w:r>
          </w:p>
        </w:tc>
      </w:tr>
    </w:tbl>
    <w:p>
      <w:pPr>
        <w:spacing w:after="0" w:line="240" w:lineRule="auto"/>
      </w:pPr>
    </w:p>
    <w:p>
      <w:r>
        <w:rPr>
          <w:rFonts w:ascii="Times New Roman" w:hAnsi="Times New Roman" w:eastAsia="Songti SC"/>
          <w:color w:val="000000"/>
        </w:rPr>
        <w:t>表2-1依据相应语料与文本到文本基线的任务说明整理[2][3][7]。AAEC中Claim与MajorClaim的立场属性不能在缺少说明的情况下转换为Support或Attack边；因此MajorClaim的重要性不能直接用本文关系集合中的高连接度来论证。CDCP的功能类型也不与Claim/Premise天然等价，第五章的映射是额外评测选择。</w:t>
      </w:r>
    </w:p>
    <w:p>
      <w:pPr>
        <w:pStyle w:val="Heading2"/>
      </w:pPr>
      <w:r>
        <w:t>2.2 合法图与序列化约定</w:t>
      </w:r>
    </w:p>
    <w:p>
      <w:r>
        <w:rPr>
          <w:rFonts w:ascii="Times New Roman" w:hAnsi="Times New Roman" w:eastAsia="Songti SC"/>
          <w:color w:val="000000"/>
        </w:rPr>
        <w:t>对实验标注规范</w:t>
      </w:r>
      <m:oMath>
        <m:r>
          <m:t xml:space="preserve">𝒜</m:t>
        </m:r>
      </m:oMath>
      <w:r>
        <w:rPr>
          <w:rFonts w:ascii="Times New Roman" w:hAnsi="Times New Roman" w:eastAsia="Songti SC"/>
          <w:color w:val="000000"/>
        </w:rPr>
        <w:t>，记满足跨度、类型、引用和指定拓扑条件的图集合为</w:t>
      </w:r>
      <m:oMath>
        <m:sSub>
          <m:e>
            <m:r>
              <m:t xml:space="preserve">𝒢</m:t>
            </m:r>
          </m:e>
          <m:sub>
            <m:r>
              <m:t xml:space="preserve">𝒜</m:t>
            </m:r>
          </m:sub>
        </m:sSub>
      </m:oMath>
      <w:r>
        <w:rPr>
          <w:rFonts w:ascii="Times New Roman" w:hAnsi="Times New Roman" w:eastAsia="Songti SC"/>
          <w:color w:val="000000"/>
        </w:rPr>
        <w:t>。本文的无环性属于所采用实验表示的约束，不是对所有论辩语料或抽象论辩理论的定义。若预处理删除环、合并组件或简化边，应报告受影响样本及其比例，以免通过预处理改变测试任务。</w:t>
      </w:r>
    </w:p>
    <w:p>
      <w:r>
        <w:rPr>
          <w:rFonts w:ascii="Times New Roman" w:hAnsi="Times New Roman" w:eastAsia="Songti SC"/>
          <w:color w:val="000000"/>
        </w:rPr>
        <w:t>在“论据指向结论”的边方向下，局部根节点的出度为0，叶节点的入度为0。若需要定义深度，应沿实际边方向计算叶到根路径，或明确在反向图上计算根到叶距离，不能在原图中同时采用根出度为0和根沿出边到达叶的定义。一个文档可能包含多个不连通子图，因此不要求每篇文档恰好一个根。</w:t>
      </w:r>
    </w:p>
    <w:p>
      <w:r>
        <w:rPr>
          <w:rFonts w:ascii="Times New Roman" w:hAnsi="Times New Roman" w:eastAsia="Songti SC"/>
          <w:color w:val="000000"/>
        </w:rPr>
        <w:t>序列化规范包括唯一组件ID、整数跨度、合法类型及关系端点。以下为人工构造的格式示例，不是实验样本。评价token序列为“Libraries / should / stay / open / longer / . / Students / need / study / space / .”，其中Claim跨度为1至5，Premise跨度为7至10，后者支持前者。</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 2, "target": 1, "type": "Support"}</w:t>
        <w:br/>
        <w:t xml:space="preserve">  ]</w:t>
        <w:br/>
        <w:t>}</w:t>
      </w:r>
    </w:p>
    <w:p>
      <w:r>
        <w:rPr>
          <w:rFonts w:ascii="Times New Roman" w:hAnsi="Times New Roman" w:eastAsia="Songti SC"/>
          <w:color w:val="000000"/>
        </w:rPr>
        <w:t>该例只说明坐标和引用约定。它不声称所有实现均采用相同字段顺序；第三章的门控依赖字段顺序，必须另行核对实际解码配置。去重、重叠跨度消解和编号重排均应同时更新关系端点，并保留原始输出与规范化输出，以便区分生成错误和解析器造成的变化。</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，自回归模型定义为：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通过自注意力聚合上下文信息，为序列建模提供基础[27]。本文使用的骨干为原稿所述Qwen2.5-7B-Instruct；Qwen2.5技术报告可用于说明模型系列，但不能代替本文具体权重版本、训练配置和硬件记录[28]。序列概率受输出长度和字段顺序影响，用于候选排序时需明确是否长度归一化；高概率并不意味着候选图中的每条关系均正确。</w:t>
      </w:r>
    </w:p>
    <w:p>
      <w:r>
        <w:rPr>
          <w:rFonts w:ascii="Times New Roman" w:hAnsi="Times New Roman" w:eastAsia="Songti SC"/>
          <w:color w:val="000000"/>
        </w:rPr>
        <w:t>LoRA在冻结基础权重的条件下引入低秩增量[29]。对于一般线性投影，采用统一表示：</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为秩，</w:t>
      </w:r>
      <m:oMath>
        <m:r>
          <m:t xml:space="preserve">α</m:t>
        </m:r>
      </m:oMath>
      <w:r>
        <w:rPr>
          <w:rFonts w:ascii="Times New Roman" w:hAnsi="Times New Roman" w:eastAsia="Songti SC"/>
          <w:color w:val="000000"/>
        </w:rPr>
        <w:t>为缩放系数。第三章的类型条件门控是附加于这一低秩分支的任务设计，不应把LoRA本身描述为新提出的结构。连续提示则使用可学习向量为冻结或部分微调的模型提供任务条件，其相关基础来自参数高效提示调优研究[30]。是否启用提示、提示插入位置及其与LoRA共同训练的方式，均属于具体实现而非方法名称自带的性质。</w:t>
      </w:r>
    </w:p>
    <w:p>
      <w:pPr>
        <w:pStyle w:val="Heading2"/>
      </w:pPr>
      <w:r>
        <w:t>2.4 候选选择与代理评分</w:t>
      </w:r>
    </w:p>
    <w:p>
      <w:r>
        <w:rPr>
          <w:rFonts w:ascii="Times New Roman" w:hAnsi="Times New Roman" w:eastAsia="Songti SC"/>
          <w:color w:val="000000"/>
        </w:rPr>
        <w:t>给定候选集合</w:t>
      </w:r>
      <m:oMath>
        <m:r>
          <m:t xml:space="preserve">𝒮</m:t>
        </m:r>
        <m:r>
          <m:t xml:space="preserve">=</m:t>
        </m:r>
        <m:r>
          <m:rPr>
            <m:sty m:val="p"/>
          </m:rPr>
          <m:t xml:space="preserve">{</m:t>
        </m:r>
        <m:sSub>
          <m:e>
            <m:r>
              <m:t xml:space="preserve">S</m:t>
            </m:r>
          </m:e>
          <m:sub>
            <m:r>
              <m:t xml:space="preserve">1</m:t>
            </m:r>
          </m:sub>
        </m:sSub>
        <m:r>
          <m:t xml:space="preserve">,</m:t>
        </m:r>
        <m:r>
          <m:t xml:space="preserve">…</m:t>
        </m:r>
        <m:r>
          <m:t xml:space="preserve">,</m:t>
        </m:r>
        <m:sSub>
          <m:e>
            <m:r>
              <m:t xml:space="preserve">S</m:t>
            </m:r>
          </m:e>
          <m:sub>
            <m:r>
              <m:t xml:space="preserve">K</m:t>
            </m:r>
          </m:sub>
        </m:sSub>
        <m:r>
          <m:rPr>
            <m:sty m:val="p"/>
          </m:rPr>
          <m:t xml:space="preserve">}</m:t>
        </m:r>
      </m:oMath>
      <w:r>
        <w:rPr>
          <w:rFonts w:ascii="Times New Roman" w:hAnsi="Times New Roman" w:eastAsia="Songti SC"/>
          <w:color w:val="000000"/>
        </w:rPr>
        <w:t>，重排序选择代理评分最高的候选：</w:t>
      </w:r>
    </w:p>
    <w:p>
      <w:pPr>
        <w:keepLines/>
        <w:spacing w:line="288" w:lineRule="auto" w:before="100" w:after="180"/>
        <w:ind w:firstLine="0"/>
        <w:jc w:val="center"/>
      </w:pPr>
      <m:oMath>
        <m:sSup>
          <m:e>
            <m:r>
              <m:t xml:space="preserve">S</m:t>
            </m:r>
          </m:e>
          <m:sup>
            <m:r>
              <m:t xml:space="preserve">*</m:t>
            </m:r>
          </m:sup>
        </m:sSup>
        <m:r>
          <m:t xml:space="preserve">=</m:t>
        </m:r>
        <m:r>
          <m:rPr>
            <m:sty m:val="p"/>
          </m:rPr>
          <m:t xml:space="preserve">arg</m:t>
        </m:r>
        <m:sSub>
          <m:e>
            <m:r>
              <m:rPr>
                <m:sty m:val="p"/>
              </m:rPr>
              <m:t xml:space="preserve">max</m:t>
            </m:r>
          </m:e>
          <m:sub>
            <m:r>
              <m:t xml:space="preserve">S</m:t>
            </m:r>
            <m:r>
              <m:t xml:space="preserve">∈</m:t>
            </m:r>
            <m:r>
              <m:t xml:space="preserve">𝒮</m:t>
            </m:r>
          </m:sub>
        </m:sSub>
        <m:r>
          <m:t xml:space="preserve">E</m:t>
        </m:r>
        <m:r>
          <m:t xml:space="preserve">(</m:t>
        </m:r>
        <m:r>
          <m:t xml:space="preserve">S</m:t>
        </m:r>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这一过程包含两个不同问题：候选池中是否存在较好的结构，以及评分器是否能选到该结构。增加候选数可能改善前者，却不保证后者；重复候选还会增加成本而不扩大结构覆盖。Candidate Oracle可以在预先规定的金标准指标下估计当前候选池的可利用空间，但只能作为离线诊断，不能参与测试时的实际选择。</w:t>
      </w:r>
    </w:p>
    <w:p>
      <w:r>
        <w:rPr>
          <w:rFonts w:ascii="Times New Roman" w:hAnsi="Times New Roman" w:eastAsia="Songti SC"/>
          <w:color w:val="000000"/>
        </w:rPr>
        <w:t>本研究采用语义与结构混合评分。确定性检查能判断跨度越界、引用缺失等形式条件，语义验证器则判断上下文是否支持某条论辩关系。二者性质不同：前者相对于明确定义的检查规则可重复计算，后者仍受模型误判、提示和采样影响。生成器与验证器分开调用并不等于模型或知识来源独立，相关误差也不能通过调用次数自然消除。</w:t>
      </w:r>
    </w:p>
    <w:p>
      <w:pPr>
        <w:pStyle w:val="Heading2"/>
      </w:pPr>
      <w:r>
        <w:t>2.5 评价指标与可比性条件</w:t>
      </w:r>
    </w:p>
    <w:p>
      <w:r>
        <w:rPr>
          <w:rFonts w:ascii="Times New Roman" w:hAnsi="Times New Roman" w:eastAsia="Songti SC"/>
          <w:color w:val="000000"/>
        </w:rPr>
        <w:t>对于组件或关系集合，以</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分别表示正确预测、错误预测和遗漏对象的数量。总体精确率、召回率和F1为：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组件评价采用跨度和类型精确匹配；关系评价要求源组件、目标组件、方向及关系类型符合预先约定的匹配规则。为避免端点类型处理差异，复现实验必须明确端点匹配是否包含类型，并对所有方法使用同一脚本。总体micro-F1应先汇总对象计数再计算，不能用分类别F1的算术平均替代。每文档macro-F1、跨类别macro-F1和多次运行的均值属于不同统计量，需分别命名。</w:t>
      </w:r>
    </w:p>
    <w:p>
      <w:r>
        <w:rPr>
          <w:rFonts w:ascii="Times New Roman" w:hAnsi="Times New Roman" w:eastAsia="Songti SC"/>
          <w:color w:val="000000"/>
        </w:rPr>
        <w:t>本稿公式和新增分析使用集合级精确匹配解释；原稿表格尚缺评价脚本与重复运行记录，故不据此补填其micro/macro配置，也不把“±”擅自解释为标准差或置信区间。F1数值按百分制报告，两个值相减称为“F1点”，不称相对提升百分比。相对增幅若使用，必须另列分母。</w:t>
      </w:r>
    </w:p>
    <w:p>
      <w:commentRangeStart w:id="12"/>
      <w:r>
        <w:rPr>
          <w:rFonts w:ascii="Times New Roman" w:hAnsi="Times New Roman" w:eastAsia="Songti SC"/>
          <w:color w:val="000000"/>
        </w:rPr>
        <w:t>0914-v2新评价脚本默认将端点跨度和类型共同纳入关系匹配，不依赖组件ID与金标准编号相同；重复预测按多重计数保留，多余项计入FP。解析或验证失败的文档保留，其金标准对象进入FN，不删除失败样本；漏交或重复文档ID则直接报错。分母为零时返回0并保留计数。跨种子汇总另报告均值和样本标准差，不把该新口径追认成原表“±”的含义。</w:t>
      </w:r>
      <w:commentRangeEnd w:id="12"/>
      <w:r>
        <w:commentReference w:id="12"/>
      </w:r>
    </w:p>
    <w:p>
      <w:r>
        <w:rPr>
          <w:rFonts w:ascii="Times New Roman" w:hAnsi="Times New Roman" w:eastAsia="Songti SC"/>
          <w:color w:val="000000"/>
        </w:rPr>
        <w:t>跨域Link-F1主动忽略关系类型，不能与域内细粒度Relation-F1直接比较来估计领域性能下降。结构合法率也不能代替任务F1：删除所有关系可能消除引用错误，却同时丢失真实边。完整评价应同时关注组件和关系质量、输出合法性、错误修改风险以及推理成本。</w:t>
      </w:r>
    </w:p>
    <w:p>
      <w:commentRangeStart w:id="3"/>
      <w:pPr>
        <w:pStyle w:val="Heading2"/>
      </w:pPr>
      <w:r>
        <w:t>2.6 训练增强与推理修正的接口</w:t>
      </w:r>
      <w:commentRangeEnd w:id="3"/>
      <w:r>
        <w:commentReference w:id="3"/>
      </w:r>
    </w:p>
    <w:p>
      <w:r>
        <w:rPr>
          <w:rFonts w:ascii="Times New Roman" w:hAnsi="Times New Roman" w:eastAsia="Songti SC"/>
          <w:color w:val="000000"/>
        </w:rPr>
        <w:t>第三章在训练集上构造结论中心增强样本，并将其与原始样本用于组件及结构化生成学习；第四章在测试输入上调用训练后的生成器，形成多个组件假设和对应候选图，再执行选择与局部修改。两个阶段共享第二章定义的组件坐标、类型和关系引用规范，但推理阶段的验证评分不回传为训练损失，本文未定义联合优化验证器和生成器的闭环训练算法。</w:t>
      </w:r>
    </w:p>
    <w:p>
      <w:r>
        <w:rPr>
          <w:rFonts w:ascii="Times New Roman" w:hAnsi="Times New Roman" w:eastAsia="Songti SC"/>
          <w:color w:val="000000"/>
        </w:rPr>
        <w:t>因此，训练增强的作用应在推理策略固定时比较，图级选择与修正的作用应在生成器检查点及候选池固定时比较。完整框架可以报告组合后的表现，但不能用同一Full分数分别证明两个阶段的全部独立贡献。这一接口约定也是第三、四章同名配置核对的依据。</w:t>
      </w:r>
    </w:p>
    <w:p>
      <w:pPr>
        <w:pStyle w:val="Heading2"/>
      </w:pPr>
      <w:r>
        <w:t>2.7 本章小结</w:t>
      </w:r>
    </w:p>
    <w:p>
      <w:r>
        <w:rPr>
          <w:rFonts w:ascii="Times New Roman" w:hAnsi="Times New Roman" w:eastAsia="Songti SC"/>
          <w:color w:val="000000"/>
        </w:rPr>
        <w:t>本章统一了组件坐标、关系方向、数据集特定约束和评价口径，并区分语法合法性、图结构一致性与语义正确性。上述定义为第三章的结论组件增强和第四章的图级修正提供共同接口，也限定了实验结果能够支持的结论范围。</w:t>
      </w:r>
    </w:p>
    <w:p>
      <w:pPr>
        <w:pStyle w:val="Heading1"/>
      </w:pPr>
      <w:r>
        <w:t>第三章 面向结论类组件的局部论辩结构保持增强</w:t>
      </w:r>
    </w:p>
    <w:p>
      <w:commentRangeStart w:id="4"/>
      <w:r>
        <w:rPr>
          <w:rFonts w:ascii="Times New Roman" w:hAnsi="Times New Roman" w:eastAsia="Songti SC"/>
          <w:color w:val="000000"/>
        </w:rPr>
        <w:t>端到端论辩挖掘中的组件集合限定了后续关系搜索空间；在固定组件集的关系预测设定下，遗漏Claim会使其关联金标准边不可达。本章据此设计面向结论类组件的局部论辩结构保持增强方法，以结论及其支撑或攻击邻域组织生成条件，在表达变化中保留类型与关系监督。Claim-specific Adapter、Cue-aware Soft Prompting和句子级辅助目标作为配套表示模块，与增强数据共同服务于结论组件学习，不分别列为独立创新。MajorClaim与局部Claim在当前关系表示中的作用不同，下文分别说明其增强条件和证据范围。</w:t>
      </w:r>
      <w:commentRangeEnd w:id="4"/>
      <w:r>
        <w:commentReference w:id="4"/>
      </w:r>
    </w:p>
    <w:p>
      <w:pPr>
        <w:pStyle w:val="Heading2"/>
      </w:pPr>
      <w:r>
        <w:t>3.1 组件不平衡与结构影响</w:t>
      </w:r>
    </w:p>
    <w:p>
      <w:pPr>
        <w:pStyle w:val="Heading3"/>
      </w:pPr>
      <w:r>
        <w:t>3.1.1 统计口径</w:t>
      </w:r>
    </w:p>
    <w:p>
      <w:r>
        <w:rPr>
          <w:rFonts w:ascii="Times New Roman" w:hAnsi="Times New Roman" w:eastAsia="Songti SC"/>
          <w:color w:val="000000"/>
        </w:rPr>
        <w:t>设训练集组件类型集合为</w:t>
      </w:r>
      <m:oMath>
        <m:r>
          <m:t xml:space="preserve">𝒯</m:t>
        </m:r>
      </m:oMath>
      <w:r>
        <w:rPr>
          <w:rFonts w:ascii="Times New Roman" w:hAnsi="Times New Roman" w:eastAsia="Songti SC"/>
          <w:color w:val="000000"/>
        </w:rPr>
        <w:t>，类型</w:t>
      </w:r>
      <m:oMath>
        <m:r>
          <m:t xml:space="preserve">τ</m:t>
        </m:r>
      </m:oMath>
      <w:r>
        <w:rPr>
          <w:rFonts w:ascii="Times New Roman" w:hAnsi="Times New Roman" w:eastAsia="Songti SC"/>
          <w:color w:val="000000"/>
        </w:rPr>
        <w:t>的组件实例数为</w:t>
      </w:r>
      <m:oMath>
        <m:sSub>
          <m:e>
            <m:r>
              <m:t xml:space="preserve">N</m:t>
            </m:r>
          </m:e>
          <m:sub>
            <m:r>
              <m:t xml:space="preserve">τ</m:t>
            </m:r>
          </m:sub>
        </m:sSub>
      </m:oMath>
      <w:r>
        <w:rPr>
          <w:rFonts w:ascii="Times New Roman" w:hAnsi="Times New Roman" w:eastAsia="Songti SC"/>
          <w:color w:val="000000"/>
        </w:rPr>
        <w:t>，则实例级类别不平衡比定义为：</w:t>
      </w:r>
    </w:p>
    <w:p>
      <w:pPr>
        <w:keepLines/>
        <w:spacing w:line="288" w:lineRule="auto" w:before="100" w:after="180"/>
        <w:ind w:firstLine="0"/>
        <w:jc w:val="center"/>
      </w:pPr>
      <m:oMath>
        <m:r>
          <m:rPr>
            <m:sty m:val="p"/>
          </m:rPr>
          <m:t xml:space="preserve">IR</m:t>
        </m:r>
        <m:r>
          <m:t xml:space="preserve">=</m:t>
        </m:r>
        <m:f>
          <m:num>
            <m:sSub>
              <m:e>
                <m:r>
                  <m:rPr>
                    <m:sty m:val="p"/>
                  </m:rPr>
                  <m:t xml:space="preserve">max</m:t>
                </m:r>
              </m:e>
              <m:sub>
                <m:r>
                  <m:t xml:space="preserve">τ</m:t>
                </m:r>
                <m:r>
                  <m:t xml:space="preserve">∈</m:t>
                </m:r>
                <m:r>
                  <m:t xml:space="preserve">𝒯</m:t>
                </m:r>
              </m:sub>
            </m:sSub>
            <m:sSub>
              <m:e>
                <m:r>
                  <m:t xml:space="preserve">N</m:t>
                </m:r>
              </m:e>
              <m:sub>
                <m:r>
                  <m:t xml:space="preserve">τ</m:t>
                </m:r>
              </m:sub>
            </m:sSub>
          </m:num>
          <m:den>
            <m:sSub>
              <m:e>
                <m:r>
                  <m:rPr>
                    <m:sty m:val="p"/>
                  </m:rPr>
                  <m:t xml:space="preserve">min</m:t>
                </m:r>
              </m:e>
              <m:sub>
                <m:r>
                  <m:t xml:space="preserve">τ</m:t>
                </m:r>
                <m:r>
                  <m:t xml:space="preserve">∈</m:t>
                </m:r>
                <m:r>
                  <m:t xml:space="preserve">𝒯</m:t>
                </m:r>
              </m:sub>
            </m:sSub>
            <m:sSub>
              <m:e>
                <m:r>
                  <m:t xml:space="preserve">N</m:t>
                </m:r>
              </m:e>
              <m:sub>
                <m:r>
                  <m:t xml:space="preserve">τ</m:t>
                </m:r>
              </m:sub>
            </m:sSub>
          </m:den>
        </m:f>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本文以完成数据划分之后的训练集组件实例作为类别统计单位。该口径不同于token级BIO标签数和句子级标签数，不能相互替代。实例数也不能直接决定生成损失的贡献，因为不同类型组件对应的输出长度和损失归一化方式可能不同。</w:t>
      </w:r>
    </w:p>
    <w:p>
      <w:pPr>
        <w:ind w:firstLine="0"/>
      </w:pPr>
      <w:r>
        <w:rPr>
          <w:rFonts w:ascii="Times New Roman" w:hAnsi="Times New Roman" w:eastAsia="Songti SC"/>
          <w:color w:val="000000"/>
          <w:sz w:val="22"/>
        </w:rPr>
        <w:t>待核验R01：原稿没有提供实际训练划分下各类型的实例数、增强后的数量及IR值。本稿保留结论类增强的研究动机，但不把未经统计的“长尾程度”或“梯度覆盖”当作已证实事实。应分别报告MajorClaim、Claim和Premise的实例数、平均跨度长度及含该类型的文档数。</w:t>
      </w:r>
    </w:p>
    <w:p>
      <w:r>
        <w:rPr>
          <w:rFonts w:ascii="Times New Roman" w:hAnsi="Times New Roman" w:eastAsia="Songti SC"/>
          <w:color w:val="000000"/>
        </w:rPr>
        <w:t>在本文AAEC关系评价中，Claim到MajorClaim的stance不计为关系边。因此，局部Claim的遗漏可直接影响其关联边召回，MajorClaim的优化主要对应文档级类型与语境表示；二者不能共享“高连接度节点”的统一论证。</w:t>
      </w:r>
    </w:p>
    <w:p>
      <w:pPr>
        <w:pStyle w:val="Heading3"/>
      </w:pPr>
      <w:r>
        <w:t>3.1.2 错误传播路径</w:t>
      </w:r>
    </w:p>
    <w:p>
      <w:r>
        <w:rPr>
          <w:rFonts w:ascii="Times New Roman" w:hAnsi="Times New Roman" w:eastAsia="Songti SC"/>
          <w:color w:val="000000"/>
        </w:rPr>
        <w:t>给定金标准组件集合</w:t>
      </w:r>
      <m:oMath>
        <m:r>
          <m:t xml:space="preserve">C</m:t>
        </m:r>
      </m:oMath>
      <w:r>
        <w:rPr>
          <w:rFonts w:ascii="Times New Roman" w:hAnsi="Times New Roman" w:eastAsia="Songti SC"/>
          <w:color w:val="000000"/>
        </w:rPr>
        <w:t>和预测组件集合</w:t>
      </w:r>
      <m:oMath>
        <m:acc>
          <m:accPr>
            <m:chr m:val="̂"/>
          </m:accPr>
          <m:e>
            <m:r>
              <m:t xml:space="preserve">C</m:t>
            </m:r>
          </m:e>
        </m:acc>
      </m:oMath>
      <w:r>
        <w:rPr>
          <w:rFonts w:ascii="Times New Roman" w:hAnsi="Times New Roman" w:eastAsia="Songti SC"/>
          <w:color w:val="000000"/>
        </w:rPr>
        <w:t>，关系模块若不改变组件集合，只能在</w:t>
      </w:r>
      <m:oMath>
        <m:acc>
          <m:accPr>
            <m:chr m:val="̂"/>
          </m:accPr>
          <m:e>
            <m:r>
              <m:t xml:space="preserve">C</m:t>
            </m:r>
          </m:e>
        </m:acc>
        <m:r>
          <m:t xml:space="preserve">×</m:t>
        </m:r>
        <m:acc>
          <m:accPr>
            <m:chr m:val="̂"/>
          </m:accPr>
          <m:e>
            <m:r>
              <m:t xml:space="preserve">C</m:t>
            </m:r>
          </m:e>
        </m:acc>
      </m:oMath>
      <w:r>
        <w:rPr>
          <w:rFonts w:ascii="Times New Roman" w:hAnsi="Times New Roman" w:eastAsia="Songti SC"/>
          <w:color w:val="000000"/>
        </w:rPr>
        <w:t>上预测。令</w:t>
      </w:r>
      <m:oMath>
        <m:sSub>
          <m:e>
            <m:r>
              <m:t xml:space="preserve">V</m:t>
            </m:r>
          </m:e>
          <m:sub>
            <m:r>
              <m:t xml:space="preserve">h</m:t>
            </m:r>
            <m:r>
              <m:t xml:space="preserve">i</m:t>
            </m:r>
            <m:r>
              <m:t xml:space="preserve">t</m:t>
            </m:r>
          </m:sub>
        </m:sSub>
      </m:oMath>
      <w:r>
        <w:rPr>
          <w:rFonts w:ascii="Times New Roman" w:hAnsi="Times New Roman" w:eastAsia="Songti SC"/>
          <w:color w:val="000000"/>
        </w:rPr>
        <w:t>为按既定端点匹配规则被召回的金标准节点集合，定义可达金标准边集合：</w:t>
      </w:r>
    </w:p>
    <w:p>
      <w:pPr>
        <w:keepLines/>
        <w:spacing w:line="288" w:lineRule="auto" w:before="100" w:after="180"/>
        <w:ind w:firstLine="0"/>
        <w:jc w:val="center"/>
      </w:pPr>
      <m:oMath>
        <m:sSub>
          <m:e>
            <m:r>
              <m:t xml:space="preserve">E</m:t>
            </m:r>
          </m:e>
          <m:sub>
            <m:r>
              <m:t xml:space="preserve">r</m:t>
            </m:r>
            <m:r>
              <m:t xml:space="preserve">e</m:t>
            </m:r>
            <m:r>
              <m:t xml:space="preserve">a</m:t>
            </m:r>
            <m:r>
              <m:t xml:space="preserve">c</m:t>
            </m:r>
            <m:r>
              <m:t xml:space="preserve">h</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h</m:t>
            </m:r>
            <m:r>
              <m:t xml:space="preserve">i</m:t>
            </m:r>
            <m:r>
              <m:t xml:space="preserve">t</m:t>
            </m:r>
          </m:sub>
        </m:sSub>
        <m:r>
          <m:t xml:space="preserve">,</m:t>
        </m:r>
        <m:r>
          <m:t xml:space="preserve">j</m:t>
        </m:r>
        <m:r>
          <m:t xml:space="preserve">∈</m:t>
        </m:r>
        <m:sSub>
          <m:e>
            <m:r>
              <m:t xml:space="preserve">V</m:t>
            </m:r>
          </m:e>
          <m:sub>
            <m:r>
              <m:t xml:space="preserve">h</m:t>
            </m:r>
            <m:r>
              <m:t xml:space="preserve">i</m:t>
            </m:r>
            <m:r>
              <m:t xml:space="preserve">t</m:t>
            </m:r>
          </m:sub>
        </m:sSub>
        <m:r>
          <m:rPr>
            <m:sty m:val="p"/>
          </m:rP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当</w:t>
      </w:r>
      <m:oMath>
        <m:r>
          <m:t xml:space="preserve">|</m:t>
        </m:r>
        <m:r>
          <m:t xml:space="preserve">E</m:t>
        </m:r>
        <m:r>
          <m:t xml:space="preserve">|</m:t>
        </m:r>
        <m:r>
          <m:t xml:space="preserve">&gt;</m:t>
        </m:r>
        <m:r>
          <m:t xml:space="preserve">0</m:t>
        </m:r>
      </m:oMath>
      <w:r>
        <w:rPr>
          <w:rFonts w:ascii="Times New Roman" w:hAnsi="Times New Roman" w:eastAsia="Songti SC"/>
          <w:color w:val="000000"/>
        </w:rPr>
        <w:t>且评价要求两端点精确匹配时，关系召回率满足：</w:t>
      </w:r>
    </w:p>
    <w:p>
      <w:pPr>
        <w:keepLines/>
        <w:spacing w:line="288" w:lineRule="auto" w:before="100" w:after="180"/>
        <w:ind w:firstLine="0"/>
        <w:jc w:val="center"/>
      </w:pPr>
      <m:oMath>
        <m:sSub>
          <m:e>
            <m:r>
              <m:t xml:space="preserve">R</m:t>
            </m:r>
          </m:e>
          <m:sub>
            <m:r>
              <m:t xml:space="preserve">r</m:t>
            </m:r>
            <m:r>
              <m:t xml:space="preserve">e</m:t>
            </m:r>
            <m:r>
              <m:t xml:space="preserve">l</m:t>
            </m:r>
          </m:sub>
        </m:sSub>
        <m:r>
          <m:t xml:space="preserve">≤</m:t>
        </m:r>
        <m:f>
          <m:num>
            <m:r>
              <m:t xml:space="preserve">|</m:t>
            </m:r>
            <m:sSub>
              <m:e>
                <m:r>
                  <m:t xml:space="preserve">E</m:t>
                </m:r>
              </m:e>
              <m:sub>
                <m:r>
                  <m:t xml:space="preserve">r</m:t>
                </m:r>
                <m:r>
                  <m:t xml:space="preserve">e</m:t>
                </m:r>
                <m:r>
                  <m:t xml:space="preserve">a</m:t>
                </m:r>
                <m:r>
                  <m:t xml:space="preserve">c</m:t>
                </m:r>
                <m:r>
                  <m:t xml:space="preserve">h</m:t>
                </m:r>
              </m:sub>
            </m:sSub>
            <m:r>
              <m:t xml:space="preserve">|</m:t>
            </m:r>
          </m:num>
          <m:den>
            <m:r>
              <m:t xml:space="preserve">|</m:t>
            </m:r>
            <m:r>
              <m:t xml:space="preserve">E</m:t>
            </m:r>
            <m:r>
              <m:t xml:space="preserve">|</m:t>
            </m:r>
          </m:den>
        </m:f>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证明：任何计为正确的预测关系，其两个端点都必须存在于当前可匹配组件集合中，因此正确关系集合是</w:t>
      </w:r>
      <m:oMath>
        <m:sSub>
          <m:e>
            <m:r>
              <m:t xml:space="preserve">E</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的子集。该上界只描述候选空间，不保证这些边能被关系模块预测正确。对多个遗漏节点，应按关联边的并集计数，避免一条边因两个端点均遗漏而重复计入损失；对于在当前关系表示中没有关联边的MajorClaim，不能由该式推出直接的关系召回损失。</w:t>
      </w:r>
    </w:p>
    <w:p>
      <w:r>
        <w:rPr>
          <w:rFonts w:ascii="Times New Roman" w:hAnsi="Times New Roman" w:eastAsia="Songti SC"/>
          <w:color w:val="000000"/>
        </w:rPr>
        <w:t>本文据此将优化目标从一般类别平衡进一步收敛为两点：一是提高结论类组件的边界与类型识别能力；二是在不过度牺牲Premise性能的前提下，提高包含高连接度结论节点的候选图召回率。</w:t>
      </w:r>
    </w:p>
    <w:p>
      <w:pPr>
        <w:pStyle w:val="Heading2"/>
      </w:pPr>
      <w:r>
        <w:t>3.2 结论中心的局部结构保持增强</w:t>
      </w:r>
    </w:p>
    <w:p>
      <w:pPr>
        <w:pStyle w:val="Heading3"/>
      </w:pPr>
      <w:r>
        <w:t>3.2.1 局部子图作为增强单位</w:t>
      </w:r>
    </w:p>
    <w:p>
      <w:r>
        <w:rPr>
          <w:rFonts w:ascii="Times New Roman" w:hAnsi="Times New Roman" w:eastAsia="Songti SC"/>
          <w:color w:val="000000"/>
        </w:rPr>
        <w:t>若文本改写仅约束句子语义而未同步维护标注，组件边界和关系方向可能失配。本文以局部论辩子图而非孤立句子作为增强单位。对训练文档图</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中的结论类节点</w:t>
      </w:r>
      <m:oMath>
        <m:sSub>
          <m:e>
            <m:r>
              <m:t xml:space="preserve">v</m:t>
            </m:r>
          </m:e>
          <m:sub>
            <m:r>
              <m:t xml:space="preserve">c</m:t>
            </m:r>
          </m:sub>
        </m:sSub>
      </m:oMath>
      <w:r>
        <w:rPr>
          <w:rFonts w:ascii="Times New Roman" w:hAnsi="Times New Roman" w:eastAsia="Songti SC"/>
          <w:color w:val="000000"/>
        </w:rPr>
        <w:t>，提取其一跳支撑或攻击邻域：</w:t>
      </w:r>
    </w:p>
    <w:p>
      <w:pPr>
        <w:keepLines/>
        <w:spacing w:line="288" w:lineRule="auto" w:before="100" w:after="180"/>
        <w:ind w:firstLine="0"/>
        <w:jc w:val="center"/>
      </w:pPr>
      <m:oMath>
        <m:sSub>
          <m:e>
            <m:r>
              <m:t xml:space="preserve">G</m:t>
            </m:r>
          </m:e>
          <m:sub>
            <m:r>
              <m:t xml:space="preserve">c</m:t>
            </m:r>
          </m:sub>
        </m:sSub>
        <m:r>
          <m:t xml:space="preserve">=</m:t>
        </m:r>
        <m:r>
          <m:t xml:space="preserve">(</m:t>
        </m:r>
        <m:sSub>
          <m:e>
            <m:r>
              <m:t xml:space="preserve">V</m:t>
            </m:r>
          </m:e>
          <m:sub>
            <m:r>
              <m:t xml:space="preserve">c</m:t>
            </m:r>
          </m:sub>
        </m:sSub>
        <m:r>
          <m:t xml:space="preserve">,</m:t>
        </m:r>
        <m:sSub>
          <m:e>
            <m:r>
              <m:t xml:space="preserve">E</m:t>
            </m:r>
          </m:e>
          <m:sub>
            <m:r>
              <m:t xml:space="preserve">c</m:t>
            </m:r>
          </m:sub>
        </m:sSub>
        <m:r>
          <m:t xml:space="preserve">)</m:t>
        </m:r>
        <m:r>
          <m:t xml:space="preserve">,</m:t>
        </m:r>
        <m:r>
          <m:rPr>
            <m:sty m:val="p"/>
          </m:rPr>
          <m:t xml:space="preserve"> </m:t>
        </m:r>
        <m:sSub>
          <m:e>
            <m:r>
              <m:t xml:space="preserve">V</m:t>
            </m:r>
          </m:e>
          <m:sub>
            <m:r>
              <m:t xml:space="preserve">c</m:t>
            </m:r>
          </m:sub>
        </m:sSub>
        <m:r>
          <m:t xml:space="preserve">=</m:t>
        </m:r>
        <m:r>
          <m:rPr>
            <m:sty m:val="p"/>
          </m:rPr>
          <m:t xml:space="preserve">{</m:t>
        </m:r>
        <m:sSub>
          <m:e>
            <m:r>
              <m:t xml:space="preserve">v</m:t>
            </m:r>
          </m:e>
          <m:sub>
            <m:r>
              <m:t xml:space="preserve">c</m:t>
            </m:r>
          </m:sub>
        </m:sSub>
        <m:r>
          <m:rPr>
            <m:sty m:val="p"/>
          </m:rPr>
          <m:t xml:space="preserve">}</m:t>
        </m:r>
        <m:r>
          <m:t xml:space="preserve">∪</m:t>
        </m:r>
        <m:r>
          <m:rPr>
            <m:sty m:val="p"/>
          </m:rPr>
          <m:t xml:space="preserve">{</m:t>
        </m:r>
        <m:sSub>
          <m:e>
            <m:r>
              <m:t xml:space="preserve">v</m:t>
            </m:r>
          </m:e>
          <m:sub>
            <m:r>
              <m:t xml:space="preserve">i</m:t>
            </m:r>
          </m:sub>
        </m:sSub>
        <m:r>
          <m:t xml:space="preserve">∣</m:t>
        </m:r>
        <m:r>
          <m:t xml:space="preserve">(</m:t>
        </m:r>
        <m:sSub>
          <m:e>
            <m:r>
              <m:t xml:space="preserve">v</m:t>
            </m:r>
          </m:e>
          <m:sub>
            <m:r>
              <m:t xml:space="preserve">i</m:t>
            </m:r>
          </m:sub>
        </m:sSub>
        <m:r>
          <m:t xml:space="preserve">,</m:t>
        </m:r>
        <m:sSub>
          <m:e>
            <m:r>
              <m:t xml:space="preserve">v</m:t>
            </m:r>
          </m:e>
          <m:sub>
            <m:r>
              <m:t xml:space="preserve">c</m:t>
            </m:r>
          </m:sub>
        </m:sSub>
        <m:r>
          <m:t xml:space="preserve">,</m:t>
        </m:r>
        <m:r>
          <m:t xml:space="preserve">r</m:t>
        </m:r>
        <m:r>
          <m:t xml:space="preserve">)</m:t>
        </m:r>
        <m:r>
          <m:t xml:space="preserve">∈</m:t>
        </m:r>
        <m:r>
          <m:t xml:space="preserve">E</m:t>
        </m:r>
        <m:r>
          <m:rPr>
            <m:sty m:val="p"/>
          </m:rPr>
          <m:t xml:space="preserve">}</m:t>
        </m:r>
        <m:r>
          <m:t xml:space="preserve">.</m:t>
        </m:r>
      </m:oMath>
      <w:r>
        <w:rPr>
          <w:rFonts w:ascii="Times New Roman" w:hAnsi="Times New Roman" w:eastAsia="Songti SC"/>
          <w:color w:val="000000"/>
          <w:sz w:val="20"/>
        </w:rPr>
        <w:t xml:space="preserve">　（3-4）</w:t>
      </w:r>
    </w:p>
    <w:p>
      <w:r>
        <w:rPr>
          <w:rFonts w:ascii="Times New Roman" w:hAnsi="Times New Roman" w:eastAsia="Songti SC"/>
          <w:color w:val="000000"/>
        </w:rPr>
        <w:t>在AAEC中，局部子图按段落关系标注构造，不将未标注的Claim—MajorClaim立场直接转化为关系边。增强模型接收组件文本、组件类型、关系方向和目标结构等条件，生成保持图拓扑不变但表述不同的文本变体。这样既增加结论表达的词汇与句法多样性，也保留关系训练所需的结构监督。</w:t>
      </w:r>
    </w:p>
    <w:p>
      <w:pPr>
        <w:pStyle w:val="Heading3"/>
      </w:pPr>
      <w:r>
        <w:t>3.2.2 条件生成约束</w:t>
      </w:r>
    </w:p>
    <w:p>
      <w:r>
        <w:rPr>
          <w:rFonts w:ascii="Times New Roman" w:hAnsi="Times New Roman" w:eastAsia="Songti SC"/>
          <w:color w:val="000000"/>
        </w:rPr>
        <w:t>对局部子图</w:t>
      </w:r>
      <m:oMath>
        <m:sSub>
          <m:e>
            <m:r>
              <m:t xml:space="preserve">G</m:t>
            </m:r>
          </m:e>
          <m:sub>
            <m:r>
              <m:t xml:space="preserve">c</m:t>
            </m:r>
          </m:sub>
        </m:sSub>
      </m:oMath>
      <w:r>
        <w:rPr>
          <w:rFonts w:ascii="Times New Roman" w:hAnsi="Times New Roman" w:eastAsia="Songti SC"/>
          <w:color w:val="000000"/>
        </w:rPr>
        <w:t>，生成过程表示为：</w:t>
      </w:r>
    </w:p>
    <w:p>
      <w:pPr>
        <w:keepLines/>
        <w:spacing w:line="288" w:lineRule="auto" w:before="100" w:after="180"/>
        <w:ind w:firstLine="0"/>
        <w:jc w:val="center"/>
      </w:pPr>
      <m:oMath>
        <m:sSub>
          <m:e>
            <m:r>
              <m:t xml:space="preserve">D</m:t>
            </m:r>
          </m:e>
          <m:sub>
            <m:r>
              <m:t xml:space="preserve">c</m:t>
            </m:r>
          </m:sub>
        </m:sSub>
        <m:r>
          <m:t xml:space="preserve">'</m:t>
        </m:r>
        <m:r>
          <m:t xml:space="preserve">=</m:t>
        </m:r>
        <m:sSub>
          <m:e>
            <m:r>
              <m:rPr>
                <m:sty m:val="p"/>
              </m:rPr>
              <m:t xml:space="preserve">LLM</m:t>
            </m:r>
          </m:e>
          <m:sub>
            <m:r>
              <m:t xml:space="preserve">a</m:t>
            </m:r>
            <m:r>
              <m:t xml:space="preserve">u</m:t>
            </m:r>
            <m:r>
              <m:t xml:space="preserve">g</m:t>
            </m:r>
          </m:sub>
        </m:sSub>
        <m:r>
          <m:t xml:space="preserve">(</m:t>
        </m:r>
        <m:sSub>
          <m:e>
            <m:r>
              <m:t xml:space="preserve">D</m:t>
            </m:r>
          </m:e>
          <m:sub>
            <m:r>
              <m:t xml:space="preserve">c</m:t>
            </m:r>
          </m:sub>
        </m:sSub>
        <m:r>
          <m:t xml:space="preserve">∣</m:t>
        </m:r>
        <m:sSub>
          <m:e>
            <m:r>
              <m:t xml:space="preserve">𝒯</m:t>
            </m:r>
          </m:e>
          <m:sub>
            <m:r>
              <m:t xml:space="preserve">c</m:t>
            </m:r>
          </m:sub>
        </m:sSub>
        <m:r>
          <m:t xml:space="preserve">,</m:t>
        </m:r>
        <m:sSub>
          <m:e>
            <m:r>
              <m:t xml:space="preserve">E</m:t>
            </m:r>
          </m:e>
          <m:sub>
            <m:r>
              <m:t xml:space="preserve">c</m:t>
            </m:r>
          </m:sub>
        </m:sSub>
        <m:r>
          <m:t xml:space="preserve">,</m:t>
        </m:r>
        <m:r>
          <m:t xml:space="preserve">Π</m:t>
        </m:r>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其中</w:t>
      </w:r>
      <m:oMath>
        <m:sSub>
          <m:e>
            <m:r>
              <m:t xml:space="preserve">D</m:t>
            </m:r>
          </m:e>
          <m:sub>
            <m:r>
              <m:t xml:space="preserve">c</m:t>
            </m:r>
          </m:sub>
        </m:sSub>
      </m:oMath>
      <w:r>
        <w:rPr>
          <w:rFonts w:ascii="Times New Roman" w:hAnsi="Times New Roman" w:eastAsia="Songti SC"/>
          <w:color w:val="000000"/>
        </w:rPr>
        <w:t>为原始局部文本，</w:t>
      </w:r>
      <m:oMath>
        <m:sSub>
          <m:e>
            <m:r>
              <m:t xml:space="preserve">𝒯</m:t>
            </m:r>
          </m:e>
          <m:sub>
            <m:r>
              <m:t xml:space="preserve">c</m:t>
            </m:r>
          </m:sub>
        </m:sSub>
      </m:oMath>
      <w:r>
        <w:rPr>
          <w:rFonts w:ascii="Times New Roman" w:hAnsi="Times New Roman" w:eastAsia="Songti SC"/>
          <w:color w:val="000000"/>
        </w:rPr>
        <w:t>为目标组件类型，</w:t>
      </w:r>
      <m:oMath>
        <m:sSub>
          <m:e>
            <m:r>
              <m:t xml:space="preserve">E</m:t>
            </m:r>
          </m:e>
          <m:sub>
            <m:r>
              <m:t xml:space="preserve">c</m:t>
            </m:r>
          </m:sub>
        </m:sSub>
      </m:oMath>
      <w:r>
        <w:rPr>
          <w:rFonts w:ascii="Times New Roman" w:hAnsi="Times New Roman" w:eastAsia="Songti SC"/>
          <w:color w:val="000000"/>
        </w:rPr>
        <w:t>为需要保持的关系集合，</w:t>
      </w:r>
      <m:oMath>
        <m:r>
          <m:t xml:space="preserve">Π</m:t>
        </m:r>
      </m:oMath>
      <w:r>
        <w:rPr>
          <w:rFonts w:ascii="Times New Roman" w:hAnsi="Times New Roman" w:eastAsia="Songti SC"/>
          <w:color w:val="000000"/>
        </w:rPr>
        <w:t>为生成约束。约束包括：组件数量和类型保持一致；关系端点必须能够在生成文本中对齐；不得新增原结构之外的支持或攻击关系；不得复制验证集或测试集文本。</w:t>
      </w:r>
    </w:p>
    <w:p>
      <w:r>
        <w:rPr>
          <w:rFonts w:ascii="Times New Roman" w:hAnsi="Times New Roman" w:eastAsia="Songti SC"/>
          <w:color w:val="000000"/>
        </w:rPr>
        <w:t>为降低模板化生成造成的分布偏差，增强提示同时允许词汇替换、句法重组和论据表述变化，但不允许改变原有立场。生成仅基于训练集进行；原始文档的全部增强版本与原文保持在同一数据划分中，防止同源样本跨集合泄漏。</w:t>
      </w:r>
    </w:p>
    <w:p>
      <w:pPr>
        <w:pStyle w:val="Heading3"/>
      </w:pPr>
      <w:r>
        <w:t>3.2.3 三层质量筛选</w:t>
      </w:r>
    </w:p>
    <w:p>
      <w:r>
        <w:rPr>
          <w:rFonts w:ascii="Times New Roman" w:hAnsi="Times New Roman" w:eastAsia="Songti SC"/>
          <w:color w:val="000000"/>
        </w:rPr>
        <w:t>对生成样本</w:t>
      </w:r>
      <m:oMath>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oMath>
      <w:r>
        <w:rPr>
          <w:rFonts w:ascii="Times New Roman" w:hAnsi="Times New Roman" w:eastAsia="Songti SC"/>
          <w:color w:val="000000"/>
        </w:rPr>
        <w:t>依次执行三层筛选：</w:t>
      </w:r>
    </w:p>
    <w:p>
      <w:pPr>
        <w:ind w:firstLine="0"/>
      </w:pPr>
      <w:r>
        <w:rPr>
          <w:rFonts w:ascii="Times New Roman" w:hAnsi="Times New Roman" w:eastAsia="Songti SC"/>
          <w:color w:val="000000"/>
        </w:rPr>
        <w:t xml:space="preserve">1. </w:t>
      </w:r>
      <w:r>
        <w:rPr>
          <w:rFonts w:ascii="Times New Roman" w:hAnsi="Times New Roman" w:eastAsia="Songti SC"/>
          <w:b/>
          <w:color w:val="000000"/>
        </w:rPr>
        <w:t>格式合法性</w:t>
      </w:r>
      <w:r>
        <w:rPr>
          <w:rFonts w:ascii="Times New Roman" w:hAnsi="Times New Roman" w:eastAsia="Songti SC"/>
          <w:color w:val="000000"/>
        </w:rPr>
        <w:t>：JSON可解析、必需字段存在、组件编号唯一且跨度位于文本范围内；</w:t>
      </w:r>
    </w:p>
    <w:p>
      <w:pPr>
        <w:ind w:firstLine="0"/>
      </w:pPr>
      <w:r>
        <w:rPr>
          <w:rFonts w:ascii="Times New Roman" w:hAnsi="Times New Roman" w:eastAsia="Songti SC"/>
          <w:color w:val="000000"/>
        </w:rPr>
        <w:t xml:space="preserve">2. </w:t>
      </w:r>
      <w:r>
        <w:rPr>
          <w:rFonts w:ascii="Times New Roman" w:hAnsi="Times New Roman" w:eastAsia="Songti SC"/>
          <w:b/>
          <w:color w:val="000000"/>
        </w:rPr>
        <w:t>结构一致性</w:t>
      </w:r>
      <w:r>
        <w:rPr>
          <w:rFonts w:ascii="Times New Roman" w:hAnsi="Times New Roman" w:eastAsia="Songti SC"/>
          <w:color w:val="000000"/>
        </w:rPr>
        <w:t>：组件数量、类型集合和关系方向满足给定模板，且不存在悬空引用和循环边；</w:t>
      </w:r>
    </w:p>
    <w:p>
      <w:pPr>
        <w:ind w:firstLine="0"/>
      </w:pPr>
      <w:r>
        <w:rPr>
          <w:rFonts w:ascii="Times New Roman" w:hAnsi="Times New Roman" w:eastAsia="Songti SC"/>
          <w:color w:val="000000"/>
        </w:rPr>
        <w:t xml:space="preserve">3. </w:t>
      </w:r>
      <w:r>
        <w:rPr>
          <w:rFonts w:ascii="Times New Roman" w:hAnsi="Times New Roman" w:eastAsia="Songti SC"/>
          <w:b/>
          <w:color w:val="000000"/>
        </w:rPr>
        <w:t>语义一致性</w:t>
      </w:r>
      <w:r>
        <w:rPr>
          <w:rFonts w:ascii="Times New Roman" w:hAnsi="Times New Roman" w:eastAsia="Songti SC"/>
          <w:color w:val="000000"/>
        </w:rPr>
        <w:t>：独立验证器判断生成组件是否承担目标论辩角色，并检查每条关系是否获得上下文支持。</w:t>
      </w:r>
    </w:p>
    <w:p>
      <w:r>
        <w:rPr>
          <w:rFonts w:ascii="Times New Roman" w:hAnsi="Times New Roman" w:eastAsia="Songti SC"/>
          <w:color w:val="000000"/>
        </w:rPr>
        <w:t>定义三个二值检查函数</w:t>
      </w:r>
      <m:oMath>
        <m:sSub>
          <m:e>
            <m:r>
              <m:t xml:space="preserve">q</m:t>
            </m:r>
          </m:e>
          <m:sub>
            <m:r>
              <m:t xml:space="preserve">f</m:t>
            </m:r>
            <m:r>
              <m:t xml:space="preserve">m</m:t>
            </m:r>
            <m:r>
              <m:t xml:space="preserve">t</m:t>
            </m:r>
          </m:sub>
        </m:sSub>
      </m:oMath>
      <w:r>
        <w:rPr>
          <w:rFonts w:ascii="Times New Roman" w:hAnsi="Times New Roman" w:eastAsia="Songti SC"/>
          <w:color w:val="000000"/>
        </w:rPr>
        <w:t>、</w:t>
      </w:r>
      <m:oMath>
        <m:sSub>
          <m:e>
            <m:r>
              <m:t xml:space="preserve">q</m:t>
            </m:r>
          </m:e>
          <m:sub>
            <m:r>
              <m:t xml:space="preserve">s</m:t>
            </m:r>
            <m:r>
              <m:t xml:space="preserve">t</m:t>
            </m:r>
            <m:r>
              <m:t xml:space="preserve">r</m:t>
            </m:r>
          </m:sub>
        </m:sSub>
      </m:oMath>
      <w:r>
        <w:rPr>
          <w:rFonts w:ascii="Times New Roman" w:hAnsi="Times New Roman" w:eastAsia="Songti SC"/>
          <w:color w:val="000000"/>
        </w:rPr>
        <w:t>和</w:t>
      </w:r>
      <m:oMath>
        <m:sSub>
          <m:e>
            <m:r>
              <m:t xml:space="preserve">q</m:t>
            </m:r>
          </m:e>
          <m:sub>
            <m:r>
              <m:t xml:space="preserve">s</m:t>
            </m:r>
            <m:r>
              <m:t xml:space="preserve">e</m:t>
            </m:r>
            <m:r>
              <m:t xml:space="preserve">m</m:t>
            </m:r>
          </m:sub>
        </m:sSub>
      </m:oMath>
      <w:r>
        <w:rPr>
          <w:rFonts w:ascii="Times New Roman" w:hAnsi="Times New Roman" w:eastAsia="Songti SC"/>
          <w:color w:val="000000"/>
        </w:rPr>
        <w:t>，样本接受条件为：</w:t>
      </w:r>
    </w:p>
    <w:p>
      <w:pPr>
        <w:keepLines/>
        <w:spacing w:line="288" w:lineRule="auto" w:before="100" w:after="180"/>
        <w:ind w:firstLine="0"/>
        <w:jc w:val="center"/>
      </w:pPr>
      <m:oMath>
        <m:r>
          <m:t xml:space="preserve">q</m:t>
        </m:r>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r>
          <m:t xml:space="preserve">=</m:t>
        </m:r>
        <m:sSub>
          <m:e>
            <m:r>
              <m:t xml:space="preserve">q</m:t>
            </m:r>
          </m:e>
          <m:sub>
            <m:r>
              <m:t xml:space="preserve">f</m:t>
            </m:r>
            <m:r>
              <m:t xml:space="preserve">m</m:t>
            </m:r>
            <m:r>
              <m:t xml:space="preserve">t</m:t>
            </m:r>
          </m:sub>
        </m:sSub>
        <m:r>
          <m:t xml:space="preserve">·</m:t>
        </m:r>
        <m:sSub>
          <m:e>
            <m:r>
              <m:t xml:space="preserve">q</m:t>
            </m:r>
          </m:e>
          <m:sub>
            <m:r>
              <m:t xml:space="preserve">s</m:t>
            </m:r>
            <m:r>
              <m:t xml:space="preserve">t</m:t>
            </m:r>
            <m:r>
              <m:t xml:space="preserve">r</m:t>
            </m:r>
          </m:sub>
        </m:sSub>
        <m:r>
          <m:t xml:space="preserve">·</m:t>
        </m:r>
        <m:sSub>
          <m:e>
            <m:r>
              <m:t xml:space="preserve">q</m:t>
            </m:r>
          </m:e>
          <m:sub>
            <m:r>
              <m:t xml:space="preserve">s</m:t>
            </m:r>
            <m:r>
              <m:t xml:space="preserve">e</m:t>
            </m:r>
            <m:r>
              <m:t xml:space="preserve">m</m:t>
            </m:r>
          </m:sub>
        </m:sSub>
        <m:r>
          <m:t xml:space="preserve">=</m:t>
        </m:r>
        <m:r>
          <m:t xml:space="preserve">1</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三层筛选区分可解析性、拓扑一致性和语义合理性。前两层不能证明标签语义正确，第三层也只是验证器判断，仍需人工抽检估计其误判。这里的“独立验证器”指单独验证调用，是否与增强模型使用不同权重、提示或训练数据须由实际配置说明。</w:t>
      </w:r>
    </w:p>
    <w:p>
      <w:pPr>
        <w:pStyle w:val="Heading3"/>
      </w:pPr>
      <w:r>
        <w:t>3.2.4 增强效果的可识别性与数据追踪</w:t>
      </w:r>
    </w:p>
    <w:p>
      <w:r>
        <w:rPr>
          <w:rFonts w:ascii="Times New Roman" w:hAnsi="Times New Roman" w:eastAsia="Songti SC"/>
          <w:color w:val="000000"/>
        </w:rPr>
        <w:t>若一个以Claim为中心的增强单位包含一个Claim和</w:t>
      </w:r>
      <m:oMath>
        <m:r>
          <m:t xml:space="preserve">k</m:t>
        </m:r>
      </m:oMath>
      <w:r>
        <w:rPr>
          <w:rFonts w:ascii="Times New Roman" w:hAnsi="Times New Roman" w:eastAsia="Songti SC"/>
          <w:color w:val="000000"/>
        </w:rPr>
        <w:t>个Premise，接受</w:t>
      </w:r>
      <m:oMath>
        <m:r>
          <m:t xml:space="preserve">u</m:t>
        </m:r>
      </m:oMath>
      <w:r>
        <w:rPr>
          <w:rFonts w:ascii="Times New Roman" w:hAnsi="Times New Roman" w:eastAsia="Songti SC"/>
          <w:color w:val="000000"/>
        </w:rPr>
        <w:t>个同类变体后，两类实例数分别变为</w:t>
      </w:r>
      <m:oMath>
        <m:sSub>
          <m:e>
            <m:r>
              <m:t xml:space="preserve">N</m:t>
            </m:r>
          </m:e>
          <m:sub>
            <m:r>
              <m:t xml:space="preserve">C</m:t>
            </m:r>
          </m:sub>
        </m:sSub>
        <m:r>
          <m:t xml:space="preserve">+</m:t>
        </m:r>
        <m:r>
          <m:t xml:space="preserve">u</m:t>
        </m:r>
      </m:oMath>
      <w:r>
        <w:rPr>
          <w:rFonts w:ascii="Times New Roman" w:hAnsi="Times New Roman" w:eastAsia="Songti SC"/>
          <w:color w:val="000000"/>
        </w:rPr>
        <w:t>和</w:t>
      </w:r>
      <m:oMath>
        <m:sSub>
          <m:e>
            <m:r>
              <m:t xml:space="preserve">N</m:t>
            </m:r>
          </m:e>
          <m:sub>
            <m:r>
              <m:t xml:space="preserve">P</m:t>
            </m:r>
          </m:sub>
        </m:sSub>
        <m:r>
          <m:t xml:space="preserve">+</m:t>
        </m:r>
        <m:r>
          <m:t xml:space="preserve">k</m:t>
        </m:r>
        <m:r>
          <m:t xml:space="preserve">u</m:t>
        </m:r>
      </m:oMath>
      <w:r>
        <w:rPr>
          <w:rFonts w:ascii="Times New Roman" w:hAnsi="Times New Roman" w:eastAsia="Songti SC"/>
          <w:color w:val="000000"/>
        </w:rPr>
        <w:t>。当</w:t>
      </w:r>
      <m:oMath>
        <m:r>
          <m:t xml:space="preserve">u</m:t>
        </m:r>
        <m:r>
          <m:t xml:space="preserve">&gt;</m:t>
        </m:r>
        <m:r>
          <m:t xml:space="preserve">0</m:t>
        </m:r>
      </m:oMath>
      <w:r>
        <w:rPr>
          <w:rFonts w:ascii="Times New Roman" w:hAnsi="Times New Roman" w:eastAsia="Songti SC"/>
          <w:color w:val="000000"/>
        </w:rPr>
        <w:t>时，Claim相对Premise的数量比提高，当且仅当</w:t>
      </w:r>
      <m:oMath>
        <m:sSub>
          <m:e>
            <m:r>
              <m:t xml:space="preserve">N</m:t>
            </m:r>
          </m:e>
          <m:sub>
            <m:r>
              <m:t xml:space="preserve">P</m:t>
            </m:r>
          </m:sub>
        </m:sSub>
        <m:r>
          <m:t xml:space="preserve">&gt;</m:t>
        </m:r>
        <m:r>
          <m:t xml:space="preserve">k</m:t>
        </m:r>
        <m:sSub>
          <m:e>
            <m:r>
              <m:t xml:space="preserve">N</m:t>
            </m:r>
          </m:e>
          <m:sub>
            <m:r>
              <m:t xml:space="preserve">C</m:t>
            </m:r>
          </m:sub>
        </m:sSub>
      </m:oMath>
      <w:r>
        <w:rPr>
          <w:rFonts w:ascii="Times New Roman" w:hAnsi="Times New Roman" w:eastAsia="Songti SC"/>
          <w:color w:val="000000"/>
        </w:rPr>
        <w:t>。因此，保留局部拓扑并不自动改善类别平衡，应分别验证实例比例变化和表达多样性变化。该推导是对增强机制的分析，不是本稿新增的实验结果。</w:t>
      </w:r>
    </w:p>
    <w:p>
      <w:r>
        <w:rPr>
          <w:rFonts w:ascii="Times New Roman" w:hAnsi="Times New Roman" w:eastAsia="Songti SC"/>
          <w:color w:val="000000"/>
        </w:rPr>
        <w:t>MajorClaim在不包含stance边的AAEC表示中可能形成单节点增强单位。这时只能声称增强了结论表达，不能声称保留了原本不存在的关系监督。局部子图文本若单独作为训练实例，需要说明输入上下文与测试时整篇输入的差异；若回填原文，则必须重新分词、更新所有受影响跨度及引用。两种路径不能在方法与实验之间混用。</w:t>
      </w:r>
    </w:p>
    <w:p>
      <w:pPr>
        <w:ind w:firstLine="0"/>
      </w:pPr>
      <w:r>
        <w:rPr>
          <w:rFonts w:ascii="Times New Roman" w:hAnsi="Times New Roman" w:eastAsia="Songti SC"/>
          <w:color w:val="000000"/>
          <w:sz w:val="22"/>
        </w:rPr>
        <w:t>待核验R02：需补充增强模型名称与版本、完整提示、每个种子子图的尝试数、三层筛选各自通过数、去重规则、原始与增强样本混合比例，以及局部文本回填方式。不得使用测试集标签调节筛选阈值。建议为每个增强样本保留源文档ID、源组件ID、生成配置、拒绝原因和坐标映射，以支持训练集去重与错误追踪。</w:t>
      </w:r>
    </w:p>
    <w:p>
      <w:r>
        <w:rPr>
          <w:rFonts w:ascii="Times New Roman" w:hAnsi="Times New Roman" w:eastAsia="Songti SC"/>
          <w:color w:val="000000"/>
        </w:rPr>
        <w:t>新参考实现将上述要求落实为训练集专用接口：按结论及入邻居构造局部单位，使用固定组件槽位改写并回填全文，随后重算所有受位移影响的跨度，保持类型、ID和关系拓扑。默认每文档最多4个单位、每单位2次尝试、最多保留1个变体；通过格式、结构与模型语义筛选后再执行全局文本去重，实际混合比由输出统计。plain对照只隐藏生成提示中的局部边，保持槽位及后续筛选相同，用于隔离结构条件的作用；它不等同于任一外部增强方法的复现。这些是新计划，尚无真实筛选计数和人工审计结果。</w:t>
      </w:r>
    </w:p>
    <w:p>
      <w:commentRangeStart w:id="5"/>
      <w:pPr>
        <w:pStyle w:val="Heading2"/>
      </w:pPr>
      <w:r>
        <w:t>3.3 面向结论组件的配套表示增强</w:t>
      </w:r>
      <w:commentRangeEnd w:id="5"/>
      <w:r>
        <w:commentReference w:id="5"/>
      </w:r>
    </w:p>
    <w:p>
      <w:r>
        <w:rPr>
          <w:rFonts w:ascii="Times New Roman" w:hAnsi="Times New Roman" w:eastAsia="Songti SC"/>
          <w:color w:val="000000"/>
        </w:rPr>
        <w:t>本节的适配器、连续提示和辅助目标用于利用前节的训练监督，属于结论组件增强方案的配套实现。与DENIM的篇章结构前缀[12]和关联关键短语方法[13]相比，本文关注结论类型条件和显式线索触发，而不将结构或线索的使用本身视为原创。三项模块的作用需分别通过受控消融解释。</w:t>
      </w:r>
    </w:p>
    <w:p>
      <w:pPr>
        <w:pStyle w:val="Heading3"/>
      </w:pPr>
      <w:r>
        <w:t>3.3.1 Claim-specific Adapter</w:t>
      </w:r>
    </w:p>
    <w:p>
      <w:r>
        <w:rPr>
          <w:rFonts w:ascii="Times New Roman" w:hAnsi="Times New Roman" w:eastAsia="Songti SC"/>
          <w:color w:val="000000"/>
        </w:rPr>
        <w:t>原稿提出在注意力投影层注入类型条件低秩分支。为明确0914-v2新参考实现，本节将全局分支与结论分支分别记为下标g和c，对基础权重</w:t>
      </w:r>
      <m:oMath>
        <m:sSub>
          <m:e>
            <m:r>
              <m:t xml:space="preserve">W</m:t>
            </m:r>
          </m:e>
          <m:sub>
            <m:r>
              <m:t xml:space="preserve">0</m:t>
            </m:r>
          </m:sub>
        </m:sSub>
      </m:oMath>
      <w:r>
        <w:rPr>
          <w:rFonts w:ascii="Times New Roman" w:hAnsi="Times New Roman" w:eastAsia="Songti SC"/>
          <w:color w:val="000000"/>
        </w:rPr>
        <w:t>和隐藏状态</w:t>
      </w:r>
      <m:oMath>
        <m:sSub>
          <m:e>
            <m:r>
              <m:t xml:space="preserve">h</m:t>
            </m:r>
          </m:e>
          <m:sub>
            <m:r>
              <m:t xml:space="preserve">t</m:t>
            </m:r>
          </m:sub>
        </m:sSub>
      </m:oMath>
      <w:r>
        <w:rPr>
          <w:rFonts w:ascii="Times New Roman" w:hAnsi="Times New Roman" w:eastAsia="Songti SC"/>
          <w:color w:val="000000"/>
        </w:rPr>
        <w:t>写为：</w:t>
      </w:r>
    </w:p>
    <w:p>
      <w:pPr>
        <w:keepLines/>
        <w:spacing w:line="288" w:lineRule="auto" w:before="100" w:after="180"/>
        <w:ind w:firstLine="0"/>
        <w:jc w:val="center"/>
      </w:pPr>
      <m:oMath>
        <m:sSub>
          <m:e>
            <m:r>
              <m:t xml:space="preserve">h</m:t>
            </m:r>
          </m:e>
          <m:sub>
            <m:r>
              <m:t xml:space="preserve">t</m:t>
            </m:r>
          </m:sub>
        </m:sSub>
        <m:r>
          <m:t xml:space="preserve">'</m:t>
        </m:r>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式中为说明方便写作等输入输出维度</w:t>
      </w:r>
      <m:oMath>
        <m:r>
          <m:t xml:space="preserve">d</m:t>
        </m:r>
      </m:oMath>
      <w:r>
        <w:rPr>
          <w:rFonts w:ascii="Times New Roman" w:hAnsi="Times New Roman" w:eastAsia="Songti SC"/>
          <w:color w:val="000000"/>
        </w:rPr>
        <w:t>；一般投影的矩阵维度按第二章定义。原稿给出的参数为</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表示生成状态门控。原稿将门控描述为依赖JSON状态和已经生成的标签前缀，不读取测试金标准标签。</w:t>
      </w:r>
    </w:p>
    <w:p>
      <w:pPr>
        <w:ind w:firstLine="0"/>
      </w:pPr>
      <w:r>
        <w:rPr>
          <w:rFonts w:ascii="Times New Roman" w:hAnsi="Times New Roman" w:eastAsia="Songti SC"/>
          <w:color w:val="000000"/>
          <w:sz w:val="22"/>
        </w:rPr>
        <w:t>待核验R03：这一描述尚不能确定可执行门控。如果类型值的首个token尚未生成，不能提前依据该类型是否为Claim决定门控；如果span字段先于type字段生成，后续类型分支也不能回溯改变已生成跨度。教师强制训练时也应避免把当前位置尚不可见的金标准类型作为推理时不可获得的门控信号。</w:t>
      </w:r>
    </w:p>
    <w:p>
      <w:commentRangeStart w:id="13"/>
      <w:r>
        <w:rPr>
          <w:rFonts w:ascii="Times New Roman" w:hAnsi="Times New Roman" w:eastAsia="Songti SC"/>
          <w:color w:val="000000"/>
        </w:rPr>
        <w:t>新实现固定id、type、span的字段顺序。门控仅在已生成前缀包含完整闭合的结论类型后开启，在当前组件对象结束时关闭；类型首token与关系区域均不开启条件分支。AAEC触发类型为Claim/MajorClaim，CDCP为Policy/Value。教师强制同样只使用当前位置可见前缀，不读取未来类型。基础全局LoRA与专项LoRA共同存在，并提供单一全局rank32对照以匹配两条rank16分支的LoRA参数量；参数相近不等于计算量相同。该定义通过因果前缀测试，但不能证明其改善边界或减少梯度覆盖，也不能将旧分数沿用为这一新实现的结果。</w:t>
      </w:r>
      <w:commentRangeEnd w:id="13"/>
      <w:r>
        <w:commentReference w:id="13"/>
      </w:r>
    </w:p>
    <w:p>
      <w:pPr>
        <w:pStyle w:val="Heading3"/>
      </w:pPr>
      <w:r>
        <w:t>3.3.2 Cue-aware Soft Prompting</w:t>
      </w:r>
    </w:p>
    <w:p>
      <w:r>
        <w:rPr>
          <w:rFonts w:ascii="Times New Roman" w:hAnsi="Times New Roman" w:eastAsia="Songti SC"/>
          <w:color w:val="000000"/>
        </w:rPr>
        <w:t>显式篇章线索可作为结论识别的候选信号，但线索词与组件类型并非一一对应，其实际收益需由消融验证。本文首先在输入中检测预定义线索，如“therefore”“thus”“in conclusion”等，再向输入表示附加</w:t>
      </w:r>
      <m:oMath>
        <m:r>
          <m:t xml:space="preserve">m</m:t>
        </m:r>
        <m:r>
          <m:t xml:space="preserve">=</m:t>
        </m:r>
        <m:r>
          <m:t xml:space="preserve">4</m:t>
        </m:r>
      </m:oMath>
      <w:r>
        <w:rPr>
          <w:rFonts w:ascii="Times New Roman" w:hAnsi="Times New Roman" w:eastAsia="Songti SC"/>
          <w:color w:val="000000"/>
        </w:rPr>
        <w:t>个可学习连续提示向量：</w:t>
      </w:r>
    </w:p>
    <w:p>
      <w:pPr>
        <w:keepLines/>
        <w:spacing w:line="288" w:lineRule="auto" w:before="100" w:after="180"/>
        <w:ind w:firstLine="0"/>
        <w:jc w:val="center"/>
      </w:pPr>
      <m:oMath>
        <m:r>
          <m:t xml:space="preserve">X</m:t>
        </m:r>
        <m:r>
          <m:t xml:space="preserve">'</m:t>
        </m:r>
        <m:r>
          <m:t xml:space="preserve">=</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m</m:t>
            </m:r>
          </m:sub>
        </m:sSub>
        <m:r>
          <m:t xml:space="preserve">;</m:t>
        </m:r>
        <m:r>
          <m:t xml:space="preserve">X</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其中</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为可训练提示向量。线索检测仅控制提示分支是否启用，最终组件边界与类型仍由上下文模型联合判断，从而避免把词典匹配直接等同于结论标签。对于未出现显式线索的隐式结论，模型仍可依赖正文语义和辅助目标进行预测。</w:t>
      </w:r>
    </w:p>
    <w:p>
      <w:r>
        <w:rPr>
          <w:rFonts w:ascii="Times New Roman" w:hAnsi="Times New Roman" w:eastAsia="Songti SC"/>
          <w:color w:val="000000"/>
        </w:rPr>
        <w:t>新实现的完整词典为therefore、thus、in conclusion、consequently、hence、to conclude，采用不区分大小写的词边界匹配；触发时在聊天模板输入嵌入之前插入4个可训练向量，无触发时不插入占位向量。该词典及插入位置为本次新增定义，原实验是否相同仍待核验。</w:t>
      </w:r>
    </w:p>
    <w:p>
      <w:pPr>
        <w:pStyle w:val="Heading3"/>
      </w:pPr>
      <w:r>
        <w:t>3.3.3 多目标训练</w:t>
      </w:r>
    </w:p>
    <w:p>
      <w:commentRangeStart w:id="14"/>
      <w:r>
        <w:rPr>
          <w:rFonts w:ascii="Times New Roman" w:hAnsi="Times New Roman" w:eastAsia="Songti SC"/>
          <w:color w:val="000000"/>
        </w:rPr>
        <w:t>以下公式明确新参考实现的归一化方式：生成项对单个任务样本的有效回答token（含EOS）求均值，提示token不参与生成损失。设有效输出长度为</w:t>
      </w:r>
      <m:oMath>
        <m:sSub>
          <m:e>
            <m:r>
              <m:t xml:space="preserve">T</m:t>
            </m:r>
          </m:e>
          <m:sub>
            <m:r>
              <m:t xml:space="preserve">y</m:t>
            </m:r>
          </m:sub>
        </m:sSub>
      </m:oMath>
      <w:r>
        <w:rPr>
          <w:rFonts w:ascii="Times New Roman" w:hAnsi="Times New Roman" w:eastAsia="Songti SC"/>
          <w:color w:val="000000"/>
        </w:rPr>
        <w:t>，则：</w:t>
      </w:r>
      <w:commentRangeEnd w:id="14"/>
      <w:r>
        <w:commentReference w:id="14"/>
      </w:r>
    </w:p>
    <w:p>
      <w:pPr>
        <w:keepLines/>
        <w:spacing w:line="288" w:lineRule="auto" w:before="100" w:after="180"/>
        <w:ind w:firstLine="0"/>
        <w:jc w:val="center"/>
      </w:pPr>
      <m:oMath>
        <m:sSub>
          <m:e>
            <m:r>
              <m:t xml:space="preserve">ℒ</m:t>
            </m:r>
          </m:e>
          <m:sub>
            <m:r>
              <m:t xml:space="preserve">g</m:t>
            </m:r>
            <m:r>
              <m:t xml:space="preserve">e</m:t>
            </m:r>
            <m:r>
              <m:t xml:space="preserve">n</m:t>
            </m:r>
          </m:sub>
        </m:sSub>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r>
          <m:t xml:space="preserve">P</m:t>
        </m:r>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新实现按句末标点及文本结尾确定性切分输入，使用最后一层输入原文token的句内均值表示和线性二分类头，不池化输出标签。设输入句子数为</w:t>
      </w:r>
      <m:oMath>
        <m:sSub>
          <m:e>
            <m:r>
              <m:t xml:space="preserve">N</m:t>
            </m:r>
          </m:e>
          <m:sub>
            <m:r>
              <m:t xml:space="preserve">s</m:t>
            </m:r>
          </m:sub>
        </m:sSub>
      </m:oMath>
      <w:r>
        <w:rPr>
          <w:rFonts w:ascii="Times New Roman" w:hAnsi="Times New Roman" w:eastAsia="Songti SC"/>
          <w:color w:val="000000"/>
        </w:rPr>
        <w:t>，与结论类金标准跨度有重叠的句子标签</w:t>
      </w:r>
      <m:oMath>
        <m:sSub>
          <m:e>
            <m:r>
              <m:t xml:space="preserve">z</m:t>
            </m:r>
          </m:e>
          <m:sub>
            <m:r>
              <m:t xml:space="preserve">i</m:t>
            </m:r>
          </m:sub>
        </m:sSub>
        <m:r>
          <m:t xml:space="preserve">=</m:t>
        </m:r>
        <m:r>
          <m:t xml:space="preserve">1</m:t>
        </m:r>
      </m:oMath>
      <w:r>
        <w:rPr>
          <w:rFonts w:ascii="Times New Roman" w:hAnsi="Times New Roman" w:eastAsia="Songti SC"/>
          <w:color w:val="000000"/>
        </w:rPr>
        <w:t>，否则为0；跨句组件可标记多个句子。AAEC结论类为MajorClaim/Claim，CDCP为Policy/Value。辅助项为：</w:t>
      </w:r>
    </w:p>
    <w:p>
      <w:pPr>
        <w:keepLines/>
        <w:spacing w:line="288" w:lineRule="auto" w:before="100" w:after="180"/>
        <w:ind w:firstLine="0"/>
        <w:jc w:val="center"/>
      </w:pPr>
      <m:oMath>
        <m:sSub>
          <m:e>
            <m:r>
              <m:t xml:space="preserve">ℒ</m:t>
            </m:r>
          </m:e>
          <m:sub>
            <m:r>
              <m:t xml:space="preserve">s</m:t>
            </m:r>
            <m:r>
              <m:t xml:space="preserve">a</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r>
          <m:t xml:space="preserve">[</m:t>
        </m:r>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r>
          <m:t xml:space="preserve">]</m:t>
        </m:r>
        <m:r>
          <m:t xml:space="preserve">.</m:t>
        </m:r>
      </m:oMath>
      <w:r>
        <w:rPr>
          <w:rFonts w:ascii="Times New Roman" w:hAnsi="Times New Roman" w:eastAsia="Songti SC"/>
          <w:color w:val="000000"/>
          <w:sz w:val="20"/>
        </w:rPr>
        <w:t xml:space="preserve">　（3-10）</w:t>
      </w:r>
    </w:p>
    <w:p>
      <w:pPr>
        <w:keepNext/>
      </w:pPr>
      <w:r>
        <w:rPr>
          <w:rFonts w:ascii="Times New Roman" w:hAnsi="Times New Roman" w:eastAsia="Songti SC"/>
          <w:color w:val="000000"/>
        </w:rPr>
        <w:t>联合目标为：</w:t>
      </w:r>
    </w:p>
    <w:p>
      <w:pPr>
        <w:keepLines/>
        <w:spacing w:line="288" w:lineRule="auto" w:before="100" w:after="180"/>
        <w:ind w:firstLine="0"/>
        <w:jc w:val="center"/>
      </w:pPr>
      <m:oMath>
        <m:sSub>
          <m:e>
            <m:r>
              <m:t xml:space="preserve">ℒ</m:t>
            </m:r>
          </m:e>
          <m:sub>
            <m:r>
              <m:t xml:space="preserve">c</m:t>
            </m:r>
            <m:r>
              <m:t xml:space="preserve">o</m:t>
            </m:r>
            <m:r>
              <m:t xml:space="preserve">m</m:t>
            </m:r>
            <m:r>
              <m:t xml:space="preserve">p</m:t>
            </m:r>
          </m:sub>
        </m:sSub>
        <m:r>
          <m:t xml:space="preserve">=</m:t>
        </m:r>
        <m:sSub>
          <m:e>
            <m:r>
              <m:t xml:space="preserve">ℒ</m:t>
            </m:r>
          </m:e>
          <m:sub>
            <m:r>
              <m:t xml:space="preserve">g</m:t>
            </m:r>
            <m:r>
              <m:t xml:space="preserve">e</m:t>
            </m:r>
            <m:r>
              <m:t xml:space="preserve">n</m:t>
            </m:r>
          </m:sub>
        </m:sSub>
        <m:r>
          <m:t xml:space="preserve">+</m:t>
        </m:r>
        <m:r>
          <m:t xml:space="preserve">λ</m:t>
        </m:r>
        <m:sSub>
          <m:e>
            <m:r>
              <m:t xml:space="preserve">ℒ</m:t>
            </m:r>
          </m:e>
          <m:sub>
            <m:r>
              <m:t xml:space="preserve">s</m:t>
            </m:r>
            <m:r>
              <m:t xml:space="preserve">a</m:t>
            </m:r>
            <m:r>
              <m:t xml:space="preserve">t</m:t>
            </m:r>
          </m:sub>
        </m:sSub>
        <m:r>
          <m:t xml:space="preserve">,</m:t>
        </m:r>
        <m:r>
          <m:rPr>
            <m:sty m:val="p"/>
          </m:rPr>
          <m:t xml:space="preserve"> </m:t>
        </m:r>
        <m:r>
          <m:t xml:space="preserve">λ</m:t>
        </m:r>
        <m:r>
          <m:t xml:space="preserve">=</m:t>
        </m:r>
        <m:r>
          <m:t xml:space="preserve">0</m:t>
        </m:r>
        <m:r>
          <m:t xml:space="preserve">.</m:t>
        </m:r>
        <m:r>
          <m:t xml:space="preserve">5</m:t>
        </m:r>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辅助目标只参与训练，推理时不增加JSON字段。此处</w:t>
      </w:r>
      <m:oMath>
        <m:r>
          <m:t xml:space="preserve">λ</m:t>
        </m:r>
        <m:r>
          <m:t xml:space="preserve">=</m:t>
        </m:r>
        <m:r>
          <m:t xml:space="preserve">0</m:t>
        </m:r>
        <m:r>
          <m:t xml:space="preserve">.</m:t>
        </m:r>
        <m:r>
          <m:t xml:space="preserve">5</m:t>
        </m:r>
      </m:oMath>
      <w:r>
        <w:rPr>
          <w:rFonts w:ascii="Times New Roman" w:hAnsi="Times New Roman" w:eastAsia="Songti SC"/>
          <w:color w:val="000000"/>
        </w:rPr>
        <w:t>是两项样本内均值的权重，不是两个未归一化总和的固定比例。原稿公式为求和且没有代码佐证，本次改为均值是新实验协议选择，不构成原损失实现已经核实的结论。梯度累积按任务样本求均值，最后不足一个累积批次时按实际样本数归一化。</w:t>
      </w:r>
    </w:p>
    <w:p>
      <w:pPr>
        <w:ind w:firstLine="0"/>
      </w:pPr>
      <w:r>
        <w:rPr>
          <w:rFonts w:ascii="Times New Roman" w:hAnsi="Times New Roman" w:eastAsia="Songti SC"/>
          <w:color w:val="000000"/>
          <w:sz w:val="22"/>
        </w:rPr>
        <w:t>待核验R04：上述新定义已写入参考代码并进行小模型测试，但原始实验采用的句子切分、池化、loss mask、归一化、词典和提示位置仍不可追溯；无显式线索样本的真实效果也尚未测量。重新训练后应报告这些选择及其消融，不能仅删除待核验标记。</w:t>
      </w:r>
    </w:p>
    <w:p>
      <w:pPr>
        <w:pStyle w:val="Heading2"/>
      </w:pPr>
      <w:r>
        <w:t>3.4 实验设置与结果分析</w:t>
      </w:r>
    </w:p>
    <w:p>
      <w:pPr>
        <w:pStyle w:val="Heading3"/>
      </w:pPr>
      <w:r>
        <w:t>3.4.1 设置与评价指标</w:t>
      </w:r>
    </w:p>
    <w:p>
      <w:r>
        <w:rPr>
          <w:rFonts w:ascii="Times New Roman" w:hAnsi="Times New Roman" w:eastAsia="Songti SC"/>
          <w:color w:val="000000"/>
        </w:rPr>
        <w:t>实验采用Qwen2.5-7B-Instruct作为骨干模型，并使用LoRA进行参数高效微调。组件评价采用边界和类型同时精确匹配的F1；除整体Component-F1外，分别报告MajorClaim-F1和Claim-F1，以避免总体指标被高频类别主导。所有增强样本均由训练集产生，验证集用于模型选择和超参数确定，测试集仅用于最终评价。</w:t>
      </w:r>
    </w:p>
    <w:p>
      <w:r>
        <w:rPr>
          <w:rFonts w:ascii="Times New Roman" w:hAnsi="Times New Roman" w:eastAsia="Songti SC"/>
          <w:color w:val="000000"/>
        </w:rPr>
        <w:t>表3-1暂作为原稿分类别结果记录保留，不能独立确认训练增强的净贡献：本表Single-Pass的Comp-F1为81.67，而第四章同名记录为77.82；本表Full的83.71又与第四章包含推理修正的Full相同。需根据run ID确认是否使用相同训练数据、检查点、推理预算和评价脚本，再决定拆表或更正名称。本稿不从两个冲突值中任选其一。</w:t>
      </w:r>
    </w:p>
    <w:p>
      <w:pPr>
        <w:ind w:firstLine="0"/>
      </w:pPr>
      <w:r>
        <w:rPr>
          <w:rFonts w:ascii="Times New Roman" w:hAnsi="Times New Roman" w:eastAsia="Songti SC"/>
          <w:color w:val="000000"/>
          <w:sz w:val="22"/>
        </w:rPr>
        <w:t>待核验R05：本表配置对应关系以及外部基线分类别分数来源未确定。</w:t>
      </w:r>
    </w:p>
    <w:p>
      <w:pPr>
        <w:pStyle w:val="Heading3"/>
      </w:pPr>
      <w:r>
        <w:t>3.4.2 主要结果</w:t>
      </w:r>
    </w:p>
    <w:p>
      <w:pPr>
        <w:keepNext/>
        <w:ind w:firstLine="0"/>
        <w:jc w:val="center"/>
      </w:pPr>
      <w:r>
        <w:rPr>
          <w:rFonts w:ascii="Times New Roman" w:hAnsi="Times New Roman" w:eastAsia="Songti SC"/>
          <w:color w:val="000000"/>
          <w:sz w:val="22"/>
        </w:rPr>
        <w:t>表3-1 AAEC组件分类别结果原稿记录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MajorClaim-F1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FLAN-T5 (XXL)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71.23</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78.21</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81.67</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r>
        <w:rPr>
          <w:rFonts w:ascii="Times New Roman" w:hAnsi="Times New Roman" w:eastAsia="Songti SC"/>
          <w:color w:val="000000"/>
        </w:rPr>
        <w:t>按表内数值相减，Full相对本表Single-Pass的MajorClaim-F1、Claim-F1和Component-F1差值分别为3.89、3.56和2.04个F1点；相对FLAN-T5 (XXL)的整体差值为3.56个点。这些是算术差值，不是已完成配置控制的因果归因。当前没有Premise分类结果、组件Precision与Recall或错误混淆矩阵，不能据此排除对高频类别的损害，也不能把各类别F1与总体F1的差值直接解释为贡献比例。</w:t>
      </w:r>
    </w:p>
    <w:p>
      <w:pPr>
        <w:pStyle w:val="Heading3"/>
      </w:pPr>
      <w:r>
        <w:t>3.4.3 模块作用与解释边界</w:t>
      </w:r>
    </w:p>
    <w:p>
      <w:r>
        <w:rPr>
          <w:rFonts w:ascii="Times New Roman" w:hAnsi="Times New Roman" w:eastAsia="Songti SC"/>
          <w:color w:val="000000"/>
        </w:rPr>
        <w:t>第四章的完整消融结果显示，移除Claim-specific Adapter后Component-F1下降1.75个点，移除Cue-aware Soft Prompting后下降1.37个点，移除辅助目标后下降0.82个点。由于各模块共享训练数据和生成器参数，消融差值反映的是“在其他模块保留条件下”的边际影响，不应将多个差值简单相加解释为总增益。</w:t>
      </w:r>
    </w:p>
    <w:p>
      <w:r>
        <w:rPr>
          <w:rFonts w:ascii="Times New Roman" w:hAnsi="Times New Roman" w:eastAsia="Songti SC"/>
          <w:color w:val="000000"/>
        </w:rPr>
        <w:t>结构感知数据增强的独立效果还应同时结合合成样本通过率、人工抽检一致性和真实测试集性能判断。本文不以生成样本数量本身作为有效性证据，而以未参与增强的测试集表现作为主要依据。</w:t>
      </w:r>
    </w:p>
    <w:p>
      <w:pPr>
        <w:pStyle w:val="Heading2"/>
      </w:pPr>
      <w:r>
        <w:t>3.5 误差类型与讨论</w:t>
      </w:r>
    </w:p>
    <w:p>
      <w:r>
        <w:rPr>
          <w:rFonts w:ascii="Times New Roman" w:hAnsi="Times New Roman" w:eastAsia="Songti SC"/>
          <w:color w:val="000000"/>
        </w:rPr>
        <w:t>结论组件学习需要重点检验以下三类潜在错误；当前缺少逐例输出，尚不将其视为已完成标注的错误分布。第一，隐式结论没有显式线索词，Cue-aware分支难以提供额外信息；第二，一个长句同时包含论据和结论时，模型容易扩大组件边界；第三，MajorClaim与Claim语义相近，模型可能在类型之间混淆。前两类错误需要更细粒度的边界建模，第三类错误则说明仅依赖局部语义不足，还需要结合文档级位置和段落结构。</w:t>
      </w:r>
    </w:p>
    <w:p>
      <w:r>
        <w:rPr>
          <w:rFonts w:ascii="Times New Roman" w:hAnsi="Times New Roman" w:eastAsia="Songti SC"/>
          <w:color w:val="000000"/>
        </w:rPr>
        <w:t>本章方法以改善候选组件质量为目标；其净效果仍需消除表格配置冲突后验证。下一章进一步保留多个组件假设，并利用完整关系结构对候选进行重排序和局部修复，以分析仅改变训练阶段之外的恢复空间。</w:t>
      </w:r>
    </w:p>
    <w:p>
      <w:pPr>
        <w:pStyle w:val="Heading2"/>
      </w:pPr>
      <w:r>
        <w:t>3.6 本章小结</w:t>
      </w:r>
    </w:p>
    <w:p>
      <w:r>
        <w:rPr>
          <w:rFonts w:ascii="Times New Roman" w:hAnsi="Times New Roman" w:eastAsia="Songti SC"/>
          <w:color w:val="000000"/>
        </w:rPr>
        <w:t>本章以结论中心局部子图保持组件类型及关系监督，并以条件适配、线索提示和辅助目标配合学习。与孤立改写相比，差异在于显式保留局部关系；独立收益仍需等预算对照。新代码已明确门控规则，但原稿分类别结果的配置、Premise表现与有效性证据仍待核验。</w:t>
      </w:r>
    </w:p>
    <w:p>
      <w:pPr>
        <w:pStyle w:val="Heading1"/>
      </w:pPr>
      <w:r>
        <w:t>第四章 基于候选图评估与异常驱动局部修正的论辩图生成</w:t>
      </w:r>
    </w:p>
    <w:p>
      <w:commentRangeStart w:id="6"/>
      <w:r>
        <w:rPr>
          <w:rFonts w:ascii="Times New Roman" w:hAnsi="Times New Roman" w:eastAsia="Songti SC"/>
          <w:color w:val="000000"/>
        </w:rPr>
        <w:t>本章提出基于完整候选图评估与异常驱动局部修正的MCR-BR方法。其评估对象包含组件和关系，先为多个组件假设构建完整图，再以结构检查和单独调用的语义验证信号选择初始状态；检测到的异常触发局部动作，并通过接受检查、回退、轮数和接受动作数限制控制修改。完整流程包括候选组件生成、候选图构建、一致性评分、初始解选择、异常检测和有界局部修正六个阶段。这里的“有界”特指所定义的修正步数约束，不代表已给出全部生成与验证调用的严格上界。</w:t>
      </w:r>
      <w:commentRangeEnd w:id="6"/>
      <w:r>
        <w:commentReference w:id="6"/>
      </w:r>
    </w:p>
    <w:p>
      <w:pPr>
        <w:pStyle w:val="Heading2"/>
      </w:pPr>
      <w:r>
        <w:t>4.1 单次生成的错误传播与恢复目标</w:t>
      </w:r>
    </w:p>
    <w:p>
      <w:r>
        <w:rPr>
          <w:rFonts w:ascii="Times New Roman" w:hAnsi="Times New Roman" w:eastAsia="Songti SC"/>
          <w:color w:val="000000"/>
        </w:rPr>
        <w:t>单次生成系统直接输出一个组件列表和关系列表。一旦组件被遗漏、边界偏移或编号错误，后续关系便可能出现悬空引用、孤立节点和错误连接。仅删除非法边的后处理不能补回缺失组件；自由生成式修订则可能同时改变正确结构。MCR-BR据此限定修改对象和接受条件，但其当前动作集合同样不提供一般性的缺失节点插入能力。</w:t>
      </w:r>
    </w:p>
    <w:p>
      <w:r>
        <w:rPr>
          <w:rFonts w:ascii="Times New Roman" w:hAnsi="Times New Roman" w:eastAsia="Songti SC"/>
          <w:color w:val="000000"/>
        </w:rPr>
        <w:t>原稿记录的AAEC修正触发率为42.5%，修正前无效组件引用比例为18.5%，JSON格式错误比例为6.2%，验证器判定的不连贯边比例为22.4%。这些指标的分母可能分别是文档、引用或关系边，不能相加为总体错误率。触发率还依赖异常阈值，不等于经人工确认的错误文档比例。</w:t>
      </w:r>
    </w:p>
    <w:p>
      <w:r>
        <w:rPr>
          <w:rFonts w:ascii="Times New Roman" w:hAnsi="Times New Roman" w:eastAsia="Songti SC"/>
          <w:color w:val="000000"/>
        </w:rPr>
        <w:t>相应恢复目标是改善可解析性与引用有效性、边级语义一致性和预设的连接覆盖偏好。覆盖不足并不必然是标注错误，未带显式理由的合法Claim也可能触发这一软偏好。</w:t>
      </w:r>
    </w:p>
    <w:p>
      <w:pPr>
        <w:pStyle w:val="Heading2"/>
      </w:pPr>
      <w:r>
        <w:t>4.2 多候选组件生成与完整图构建</w:t>
      </w:r>
    </w:p>
    <w:p>
      <w:pPr>
        <w:pStyle w:val="Heading3"/>
      </w:pPr>
      <w:r>
        <w:t>4.2.1 候选组件集合</w:t>
      </w:r>
    </w:p>
    <w:p>
      <w:r>
        <w:rPr>
          <w:rFonts w:ascii="Times New Roman" w:hAnsi="Times New Roman" w:eastAsia="Songti SC"/>
          <w:color w:val="000000"/>
        </w:rPr>
        <w:t>给定文档</w:t>
      </w:r>
      <m:oMath>
        <m:r>
          <m:t xml:space="preserve">D</m:t>
        </m:r>
      </m:oMath>
      <w:r>
        <w:rPr>
          <w:rFonts w:ascii="Times New Roman" w:hAnsi="Times New Roman" w:eastAsia="Songti SC"/>
          <w:color w:val="000000"/>
        </w:rPr>
        <w:t>，模型不立即提交单一结果，而是通过温度采样和提示改写生成</w:t>
      </w:r>
      <m:oMath>
        <m:r>
          <m:t xml:space="preserve">K</m:t>
        </m:r>
      </m:oMath>
      <w:r>
        <w:rPr>
          <w:rFonts w:ascii="Times New Roman" w:hAnsi="Times New Roman" w:eastAsia="Songti SC"/>
          <w:color w:val="000000"/>
        </w:rPr>
        <w:t>个组件候选集：</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sSup>
          <m:e>
            <m:r>
              <m:t xml:space="preserve">C</m:t>
            </m:r>
          </m:e>
          <m:sup>
            <m:r>
              <m:t xml:space="preserve">(</m:t>
            </m:r>
            <m:r>
              <m:t xml:space="preserve">2</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每个</w:t>
      </w:r>
      <m:oMath>
        <m:sSup>
          <m:e>
            <m:r>
              <m:t xml:space="preserve">C</m:t>
            </m:r>
          </m:e>
          <m:sup>
            <m:r>
              <m:t xml:space="preserve">(</m:t>
            </m:r>
            <m:r>
              <m:t xml:space="preserve">k</m:t>
            </m:r>
            <m:r>
              <m:t xml:space="preserve">)</m:t>
            </m:r>
          </m:sup>
        </m:sSup>
      </m:oMath>
      <w:r>
        <w:rPr>
          <w:rFonts w:ascii="Times New Roman" w:hAnsi="Times New Roman" w:eastAsia="Songti SC"/>
          <w:color w:val="000000"/>
        </w:rPr>
        <w:t>包含组件跨度和类型。生成结果使用统一JSON Schema解析。原稿提出按模型置信度、跨度长度和文本位置消解重叠，但未给出排序优先级、置信度定义和并列处理规则，故目前尚不是可复现的确定性算法；待核验R06要求同时保存消解前后结果及端点重映射。候选的目的不是重复采样相同输出，而是保留在组件边界、类型或遗漏节点上存在差异的竞争假设。</w:t>
      </w:r>
    </w:p>
    <w:p>
      <w:r>
        <w:rPr>
          <w:rFonts w:ascii="Times New Roman" w:hAnsi="Times New Roman" w:eastAsia="Songti SC"/>
          <w:color w:val="000000"/>
        </w:rPr>
        <w:t>新实现不臆测置信度消解顺序：保留原始输出，严格解析后不自动改写重叠跨度或重排ID，形式违规进入合法性检查；无法解析的候选明确记为失败。关系阶段要求原样复制固定组件，若模型改变组件则拒绝该候选。该处理不同于尚未明确的旧规范化算法，后续与外部方法比较必须使用相同协议。</w:t>
      </w:r>
    </w:p>
    <w:p>
      <w:pPr>
        <w:pStyle w:val="Heading3"/>
      </w:pPr>
      <w:r>
        <w:t>4.2.2 候选论辩图构建</w:t>
      </w:r>
    </w:p>
    <w:p>
      <w:r>
        <w:rPr>
          <w:rFonts w:ascii="Times New Roman" w:hAnsi="Times New Roman" w:eastAsia="Songti SC"/>
          <w:color w:val="000000"/>
        </w:rPr>
        <w:t>对每个组件候选集</w:t>
      </w:r>
      <m:oMath>
        <m:sSup>
          <m:e>
            <m:r>
              <m:t xml:space="preserve">C</m:t>
            </m:r>
          </m:e>
          <m:sup>
            <m:r>
              <m:t xml:space="preserve">(</m:t>
            </m:r>
            <m:r>
              <m:t xml:space="preserve">k</m:t>
            </m:r>
            <m:r>
              <m:t xml:space="preserve">)</m:t>
            </m:r>
          </m:sup>
        </m:sSup>
      </m:oMath>
      <w:r>
        <w:rPr>
          <w:rFonts w:ascii="Times New Roman" w:hAnsi="Times New Roman" w:eastAsia="Songti SC"/>
          <w:color w:val="000000"/>
        </w:rPr>
        <w:t>，关系模块在有效组件编号之间预测关系集合</w:t>
      </w:r>
      <m:oMath>
        <m:sSup>
          <m:e>
            <m:r>
              <m:t xml:space="preserve">R</m:t>
            </m:r>
          </m:e>
          <m:sup>
            <m:r>
              <m:t xml:space="preserve">(</m:t>
            </m:r>
            <m:r>
              <m:t xml:space="preserve">k</m:t>
            </m:r>
            <m:r>
              <m:t xml:space="preserve">)</m:t>
            </m:r>
          </m:sup>
        </m:sSup>
      </m:oMath>
      <w:r>
        <w:rPr>
          <w:rFonts w:ascii="Times New Roman" w:hAnsi="Times New Roman" w:eastAsia="Songti SC"/>
          <w:color w:val="000000"/>
        </w:rPr>
        <w:t>，得到完整候选结构：</w:t>
      </w:r>
    </w:p>
    <w:p>
      <w:pPr>
        <w:keepLines/>
        <w:spacing w:line="288" w:lineRule="auto" w:before="100" w:after="180"/>
        <w:ind w:firstLine="0"/>
        <w:jc w:val="center"/>
      </w:pPr>
      <m:oMath>
        <m:sSub>
          <m:e>
            <m:r>
              <m:t xml:space="preserve">S</m:t>
            </m:r>
          </m:e>
          <m:sub>
            <m:r>
              <m:t xml:space="preserve">k</m:t>
            </m:r>
          </m:sub>
        </m:sSub>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sSup>
          <m:e>
            <m:r>
              <m:t xml:space="preserve">G</m:t>
            </m:r>
          </m:e>
          <m:sup>
            <m:r>
              <m:t xml:space="preserve">(</m:t>
            </m:r>
            <m:r>
              <m:t xml:space="preserve">k</m:t>
            </m:r>
            <m:r>
              <m:t xml:space="preserve">)</m:t>
            </m:r>
          </m:sup>
        </m:sSup>
        <m:r>
          <m:t xml:space="preserve">)</m:t>
        </m:r>
        <m:r>
          <m:t xml:space="preserve">,</m:t>
        </m:r>
        <m:r>
          <m:rPr>
            <m:sty m:val="p"/>
          </m:rPr>
          <m:t xml:space="preserve"> </m:t>
        </m:r>
        <m:sSup>
          <m:e>
            <m:r>
              <m:t xml:space="preserve">G</m:t>
            </m:r>
          </m:e>
          <m:sup>
            <m:r>
              <m:t xml:space="preserve">(</m:t>
            </m:r>
            <m:r>
              <m:t xml:space="preserve">k</m:t>
            </m:r>
            <m:r>
              <m:t xml:space="preserve">)</m:t>
            </m:r>
          </m:sup>
        </m:sSup>
        <m:r>
          <m:t xml:space="preserve">=</m:t>
        </m:r>
        <m:r>
          <m:t xml:space="preserve">(</m:t>
        </m:r>
        <m:sSup>
          <m:e>
            <m:r>
              <m:t xml:space="preserve">V</m:t>
            </m:r>
          </m:e>
          <m:sup>
            <m:r>
              <m:t xml:space="preserve">(</m:t>
            </m:r>
            <m:r>
              <m:t xml:space="preserve">k</m:t>
            </m:r>
            <m:r>
              <m:t xml:space="preserve">)</m:t>
            </m:r>
          </m:sup>
        </m:sSup>
        <m:r>
          <m:t xml:space="preserve">,</m:t>
        </m:r>
        <m:sSup>
          <m:e>
            <m:r>
              <m:t xml:space="preserve">E</m:t>
            </m:r>
          </m:e>
          <m:sup>
            <m:r>
              <m:t xml:space="preserve">(</m:t>
            </m:r>
            <m:r>
              <m:t xml:space="preserve">k</m:t>
            </m:r>
            <m:r>
              <m:t xml:space="preserve">)</m:t>
            </m:r>
          </m:sup>
        </m:sSup>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关系预测的目标是只引用</w:t>
      </w:r>
      <m:oMath>
        <m:sSup>
          <m:e>
            <m:r>
              <m:t xml:space="preserve">C</m:t>
            </m:r>
          </m:e>
          <m:sup>
            <m:r>
              <m:t xml:space="preserve">(</m:t>
            </m:r>
            <m:r>
              <m:t xml:space="preserve">k</m:t>
            </m:r>
            <m:r>
              <m:t xml:space="preserve">)</m:t>
            </m:r>
          </m:sup>
        </m:sSup>
      </m:oMath>
      <w:r>
        <w:rPr>
          <w:rFonts w:ascii="Times New Roman" w:hAnsi="Times New Roman" w:eastAsia="Songti SC"/>
          <w:color w:val="000000"/>
        </w:rPr>
        <w:t>中存在的组件。若这一限制通过每一步解码的硬约束实施，且后处理不破坏映射，则该阶段不应再产生悬空ID；仅在提示中列出ID不构成同样的保证。原稿残余无效ID记录与约束阶段的关系须在日志中核对。AAEC关系标签为Support/Attack；CDCP域内实验保留Reason/Evidence；跨领域实验映射为有向Link。</w:t>
      </w:r>
    </w:p>
    <w:p>
      <w:r>
        <w:rPr>
          <w:rFonts w:ascii="Times New Roman" w:hAnsi="Times New Roman" w:eastAsia="Songti SC"/>
          <w:color w:val="000000"/>
        </w:rPr>
        <w:t>以下流程整理原稿的模块关系，不代表新增实验或新增修复动作。</w:t>
      </w:r>
    </w:p>
    <w:p>
      <w:pPr>
        <w:keepNext/>
        <w:ind w:firstLine="0"/>
        <w:jc w:val="center"/>
      </w:pPr>
      <w:r>
        <w:rPr>
          <w:rFonts w:ascii="Times New Roman" w:hAnsi="Times New Roman" w:eastAsia="Songti SC"/>
          <w:color w:val="000000"/>
          <w:sz w:val="22"/>
        </w:rPr>
        <w:t>图4-1 MCR-BR候选选择与局部修正流程</w:t>
      </w:r>
    </w:p>
    <w:p>
      <w:pPr>
        <w:keepLines/>
        <w:spacing w:line="264" w:lineRule="auto" w:before="100" w:after="180"/>
        <w:ind w:firstLine="0" w:left="170"/>
        <w:jc w:val="center"/>
      </w:pPr>
      <w:r>
        <w:rPr>
          <w:rFonts w:ascii="Times New Roman" w:hAnsi="Times New Roman" w:eastAsia="Songti SC"/>
          <w:color w:val="000000"/>
          <w:sz w:val="22"/>
        </w:rPr>
        <w:t>原始文档</w:t>
        <w:br/>
        <w:t xml:space="preserve">  ↓ 组件生成与规范化</w:t>
        <w:br/>
        <w:t>K个组件候选</w:t>
        <w:br/>
        <w:t xml:space="preserve">  ↓ 对每个候选预测关系</w:t>
        <w:br/>
        <w:t>K个完整候选图</w:t>
        <w:br/>
        <w:t xml:space="preserve">  ↓ 合法性检查与语义验证</w:t>
        <w:br/>
        <w:t>候选评分与初始图选择</w:t>
        <w:br/>
        <w:t xml:space="preserve">  ↓ 检测异常并尝试局部动作</w:t>
        <w:br/>
        <w:t>接受或回退 → 终止判断 → 输出图</w:t>
      </w:r>
    </w:p>
    <w:p>
      <w:r>
        <w:rPr>
          <w:rFonts w:ascii="Times New Roman" w:hAnsi="Times New Roman" w:eastAsia="Songti SC"/>
          <w:color w:val="000000"/>
        </w:rPr>
        <w:t>如果候选不能解析，则其节点、关系和语义分量无法直接定义。应记录为解析失败并执行实现明确规定的处置，不能把解析失败偷偷当作空图加入正常语义统计。</w:t>
      </w:r>
    </w:p>
    <w:p>
      <w:pPr>
        <w:pStyle w:val="Heading2"/>
      </w:pPr>
      <w:r>
        <w:t>4.3 一致性引导的候选评分</w:t>
      </w:r>
    </w:p>
    <w:p>
      <w:r>
        <w:rPr>
          <w:rFonts w:ascii="Times New Roman" w:hAnsi="Times New Roman" w:eastAsia="Songti SC"/>
          <w:color w:val="000000"/>
        </w:rPr>
        <w:t>综合评分函数定义为：</w:t>
      </w:r>
    </w:p>
    <w:p>
      <w:pPr>
        <w:keepLines/>
        <w:spacing w:line="288" w:lineRule="auto" w:before="100" w:after="180"/>
        <w:ind w:firstLine="0"/>
        <w:jc w:val="center"/>
      </w:pPr>
      <m:oMath>
        <m:r>
          <m:t xml:space="preserve">E</m:t>
        </m:r>
        <m:r>
          <m:t xml:space="preserve">(</m:t>
        </m:r>
        <m:sSub>
          <m:e>
            <m:r>
              <m:t xml:space="preserve">S</m:t>
            </m:r>
          </m:e>
          <m:sub>
            <m:r>
              <m:t xml:space="preserve">k</m:t>
            </m:r>
          </m:sub>
        </m:sSub>
        <m:r>
          <m:t xml:space="preserve">)</m:t>
        </m:r>
        <m:r>
          <m:t xml:space="preserve">=</m:t>
        </m:r>
        <m:r>
          <m:t xml:space="preserve">α</m:t>
        </m:r>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r>
          <m:t xml:space="preserve">β</m:t>
        </m:r>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r>
          <m:t xml:space="preserve">γ</m:t>
        </m:r>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其中</w:t>
      </w:r>
      <m:oMath>
        <m:r>
          <m:t xml:space="preserve">α</m:t>
        </m:r>
        <m:r>
          <m:t xml:space="preserve">=</m:t>
        </m:r>
        <m:r>
          <m:t xml:space="preserve">0</m:t>
        </m:r>
        <m:r>
          <m:t xml:space="preserve">.</m:t>
        </m:r>
        <m:r>
          <m:t xml:space="preserve">4</m:t>
        </m:r>
      </m:oMath>
      <w:r>
        <w:rPr>
          <w:rFonts w:ascii="Times New Roman" w:hAnsi="Times New Roman" w:eastAsia="Songti SC"/>
          <w:color w:val="000000"/>
        </w:rPr>
        <w:t>、</w:t>
      </w:r>
      <m:oMath>
        <m:r>
          <m:t xml:space="preserve">β</m:t>
        </m:r>
        <m:r>
          <m:t xml:space="preserve">=</m:t>
        </m:r>
        <m:r>
          <m:t xml:space="preserve">0</m:t>
        </m:r>
        <m:r>
          <m:t xml:space="preserve">.</m:t>
        </m:r>
        <m:r>
          <m:t xml:space="preserve">4</m:t>
        </m:r>
      </m:oMath>
      <w:r>
        <w:rPr>
          <w:rFonts w:ascii="Times New Roman" w:hAnsi="Times New Roman" w:eastAsia="Songti SC"/>
          <w:color w:val="000000"/>
        </w:rPr>
        <w:t>、</w:t>
      </w:r>
      <m:oMath>
        <m:r>
          <m:t xml:space="preserve">γ</m:t>
        </m:r>
        <m:r>
          <m:t xml:space="preserve">=</m:t>
        </m:r>
        <m:r>
          <m:t xml:space="preserve">0</m:t>
        </m:r>
        <m:r>
          <m:t xml:space="preserve">.</m:t>
        </m:r>
        <m:r>
          <m:t xml:space="preserve">2</m:t>
        </m:r>
      </m:oMath>
      <w:r>
        <w:rPr>
          <w:rFonts w:ascii="Times New Roman" w:hAnsi="Times New Roman" w:eastAsia="Songti SC"/>
          <w:color w:val="000000"/>
        </w:rPr>
        <w:t>。三个分量均归一化到</w:t>
      </w:r>
      <m:oMath>
        <m:r>
          <m:t xml:space="preserve">[</m:t>
        </m:r>
        <m:r>
          <m:t xml:space="preserve">0</m:t>
        </m:r>
        <m:r>
          <m:t xml:space="preserve">,</m:t>
        </m:r>
        <m:r>
          <m:t xml:space="preserve">1</m:t>
        </m:r>
        <m:r>
          <m:t xml:space="preserve">]</m:t>
        </m:r>
      </m:oMath>
      <w:r>
        <w:rPr>
          <w:rFonts w:ascii="Times New Roman" w:hAnsi="Times New Roman" w:eastAsia="Songti SC"/>
          <w:color w:val="000000"/>
        </w:rPr>
        <w:t>，分别评价论证连接覆盖、边语义连贯性和输出合法性。其中覆盖分数只是对预测图的启发式偏好，不是相对于金标准的完整性度量。</w:t>
      </w:r>
    </w:p>
    <w:p>
      <w:pPr>
        <w:pStyle w:val="Heading3"/>
      </w:pPr>
      <w:r>
        <w:t>4.3.1 论证连接覆盖</w:t>
      </w:r>
    </w:p>
    <w:p>
      <w:r>
        <w:rPr>
          <w:rFonts w:ascii="Times New Roman" w:hAnsi="Times New Roman" w:eastAsia="Songti SC"/>
          <w:color w:val="000000"/>
        </w:rPr>
        <w:t>令</w:t>
      </w:r>
      <m:oMath>
        <m:r>
          <m:t xml:space="preserve">𝒬</m:t>
        </m:r>
        <m:r>
          <m:t xml:space="preserve">(</m:t>
        </m:r>
        <m:sSub>
          <m:e>
            <m:r>
              <m:t xml:space="preserve">S</m:t>
            </m:r>
          </m:e>
          <m:sub>
            <m:r>
              <m:t xml:space="preserve">k</m:t>
            </m:r>
          </m:sub>
        </m:sSub>
        <m:r>
          <m:t xml:space="preserve">)</m:t>
        </m:r>
      </m:oMath>
      <w:r>
        <w:rPr>
          <w:rFonts w:ascii="Times New Roman" w:hAnsi="Times New Roman" w:eastAsia="Songti SC"/>
          <w:color w:val="000000"/>
        </w:rPr>
        <w:t>为根据预设规则从预测组件中选出的覆盖评价节点集合，不使用测试金标准确定该集合。在AAEC中不要求文档级MajorClaim具有关系入边。集合成员的具体选择规则需与实现一起公开；若按已有入边选择，就可能漏掉本应诊断的孤立节点。验证器对边</w:t>
      </w:r>
      <m:oMath>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oMath>
      <w:r>
        <w:rPr>
          <w:rFonts w:ascii="Times New Roman" w:hAnsi="Times New Roman" w:eastAsia="Songti SC"/>
          <w:color w:val="000000"/>
        </w:rPr>
        <w:t>返回</w:t>
      </w:r>
      <m:oMath>
        <m:sSub>
          <m:e>
            <m:r>
              <m:t xml:space="preserve">p</m:t>
            </m:r>
          </m:e>
          <m:sub>
            <m:r>
              <m:t xml:space="preserve">i</m:t>
            </m:r>
            <m:r>
              <m:t xml:space="preserve">j</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，结论节点</w:t>
      </w:r>
      <m:oMath>
        <m:sSub>
          <m:e>
            <m:r>
              <m:t xml:space="preserve">v</m:t>
            </m:r>
          </m:e>
          <m:sub>
            <m:r>
              <m:t xml:space="preserve">j</m:t>
            </m:r>
          </m:sub>
        </m:sSub>
      </m:oMath>
      <w:r>
        <w:rPr>
          <w:rFonts w:ascii="Times New Roman" w:hAnsi="Times New Roman" w:eastAsia="Songti SC"/>
          <w:color w:val="000000"/>
        </w:rPr>
        <w:t>的通过验证的入边数为：</w:t>
      </w:r>
    </w:p>
    <w:p>
      <w:pPr>
        <w:keepLines/>
        <w:spacing w:line="288" w:lineRule="auto" w:before="100" w:after="180"/>
        <w:ind w:firstLine="0"/>
        <w:jc w:val="center"/>
      </w:pPr>
      <m:oMath>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r>
          <m:t xml:space="preserve">=</m:t>
        </m:r>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oMath>
      <w:r>
        <w:rPr>
          <w:rFonts w:ascii="Times New Roman" w:hAnsi="Times New Roman" w:eastAsia="Songti SC"/>
          <w:color w:val="000000"/>
          <w:sz w:val="20"/>
        </w:rPr>
        <w:t xml:space="preserve">　（4-4）</w:t>
      </w:r>
    </w:p>
    <w:p>
      <w:r>
        <w:rPr>
          <w:rFonts w:ascii="Times New Roman" w:hAnsi="Times New Roman" w:eastAsia="Songti SC"/>
          <w:color w:val="000000"/>
        </w:rPr>
        <w:t>论证连接覆盖得分为：</w:t>
      </w:r>
    </w:p>
    <w:p>
      <w:pPr>
        <w:keepLines/>
        <w:spacing w:line="288" w:lineRule="auto" w:before="100" w:after="180"/>
        <w:ind w:firstLine="0"/>
        <w:jc w:val="center"/>
      </w:pPr>
      <m:oMath>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r>
                        <m:t xml:space="preserve">𝒬</m:t>
                      </m:r>
                      <m:r>
                        <m:t xml:space="preserve">(</m:t>
                      </m:r>
                      <m:sSub>
                        <m:e>
                          <m:r>
                            <m:t xml:space="preserve">S</m:t>
                          </m:r>
                        </m:e>
                        <m:sub>
                          <m:r>
                            <m:t xml:space="preserve">k</m:t>
                          </m:r>
                        </m:sub>
                      </m:sSub>
                      <m:r>
                        <m:t xml:space="preserve">)</m:t>
                      </m:r>
                      <m:r>
                        <m:t xml:space="preserve">|</m:t>
                      </m:r>
                    </m:den>
                  </m:f>
                  <m:sSub>
                    <m:e>
                      <m:r>
                        <m:t xml:space="preserve">∑</m:t>
                      </m:r>
                    </m:e>
                    <m:sub>
                      <m:sSub>
                        <m:e>
                          <m:r>
                            <m:t xml:space="preserve">v</m:t>
                          </m:r>
                        </m:e>
                        <m:sub>
                          <m:r>
                            <m:t xml:space="preserve">j</m:t>
                          </m:r>
                        </m:sub>
                      </m:sSub>
                      <m:r>
                        <m:t xml:space="preserve">∈</m:t>
                      </m:r>
                      <m:r>
                        <m:t xml:space="preserve">𝒬</m:t>
                      </m:r>
                      <m:r>
                        <m:t xml:space="preserve">(</m:t>
                      </m:r>
                      <m:sSub>
                        <m:e>
                          <m:r>
                            <m:t xml:space="preserve">S</m:t>
                          </m:r>
                        </m:e>
                        <m:sub>
                          <m:r>
                            <m:t xml:space="preserve">k</m:t>
                          </m:r>
                        </m:sub>
                      </m:sSub>
                      <m:r>
                        <m:t xml:space="preserve">)</m:t>
                      </m:r>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&gt;</m:t>
                  </m:r>
                  <m:r>
                    <m:t xml:space="preserve">0</m:t>
                  </m:r>
                  <m:r>
                    <m:t xml:space="preserve">,</m:t>
                  </m:r>
                </m:e>
              </m:mr>
              <m:mr>
                <m:e>
                  <m:r>
                    <m:t xml:space="preserve">0</m:t>
                  </m:r>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m:t>
                  </m:r>
                  <m:r>
                    <m:t xml:space="preserve">0</m:t>
                  </m:r>
                  <m:r>
                    <m:t xml:space="preserve">.</m:t>
                  </m:r>
                </m:e>
              </m:mr>
            </m:m>
          </m:e>
        </m:d>
      </m:oMath>
      <w:r>
        <w:rPr>
          <w:rFonts w:ascii="Times New Roman" w:hAnsi="Times New Roman" w:eastAsia="Songti SC"/>
          <w:color w:val="000000"/>
          <w:sz w:val="20"/>
        </w:rPr>
        <w:t xml:space="preserve">　（4-5）</w:t>
      </w:r>
    </w:p>
    <w:p>
      <w:r>
        <w:rPr>
          <w:rFonts w:ascii="Times New Roman" w:hAnsi="Times New Roman" w:eastAsia="Songti SC"/>
          <w:color w:val="000000"/>
        </w:rPr>
        <w:t>其中</w:t>
      </w:r>
      <m:oMath>
        <m:r>
          <m:t xml:space="preserve">τ</m:t>
        </m:r>
        <m:r>
          <m:t xml:space="preserve">(</m:t>
        </m:r>
        <m:sSub>
          <m:e>
            <m:r>
              <m:t xml:space="preserve">t</m:t>
            </m:r>
          </m:e>
          <m:sub>
            <m:r>
              <m:t xml:space="preserve">j</m:t>
            </m:r>
          </m:sub>
        </m:sSub>
        <m:r>
          <m:t xml:space="preserve">)</m:t>
        </m:r>
      </m:oMath>
      <w:r>
        <w:rPr>
          <w:rFonts w:ascii="Times New Roman" w:hAnsi="Times New Roman" w:eastAsia="Songti SC"/>
          <w:color w:val="000000"/>
        </w:rPr>
        <w:t>是原稿设置的期望连接数；此处</w:t>
      </w:r>
      <m:oMath>
        <m:sSub>
          <m:e>
            <m:r>
              <m:t xml:space="preserve">t</m:t>
            </m:r>
          </m:e>
          <m:sub>
            <m:r>
              <m:t xml:space="preserve">j</m:t>
            </m:r>
          </m:sub>
        </m:sSub>
      </m:oMath>
      <w:r>
        <w:rPr>
          <w:rFonts w:ascii="Times New Roman" w:hAnsi="Times New Roman" w:eastAsia="Songti SC"/>
          <w:color w:val="000000"/>
        </w:rPr>
        <w:t>应理解为节点结构角色，而非只含组件类别的</w:t>
      </w:r>
      <m:oMath>
        <m:sSub>
          <m:e>
            <m:r>
              <m:t xml:space="preserve">τ</m:t>
            </m:r>
          </m:e>
          <m:sub>
            <m:r>
              <m:t xml:space="preserve">j</m:t>
            </m:r>
          </m:sub>
        </m:sSub>
      </m:oMath>
      <w:r>
        <w:rPr>
          <w:rFonts w:ascii="Times New Roman" w:hAnsi="Times New Roman" w:eastAsia="Songti SC"/>
          <w:color w:val="000000"/>
        </w:rPr>
        <w:t>。原稿给出顶层关系结论节点取2、其他评价节点取1，但未给出角色识别和阈值选择记录，均需核验。此计数包含通过验证的Attack边，故称“论证连接”而非“支持证据数量”。它不测量前提的事实真实性，也不要求所有合法Claim必须至少有两条理由。</w:t>
      </w:r>
    </w:p>
    <w:p>
      <w:r>
        <w:rPr>
          <w:rFonts w:ascii="Times New Roman" w:hAnsi="Times New Roman" w:eastAsia="Songti SC"/>
          <w:color w:val="000000"/>
        </w:rPr>
        <w:t>该分量是软偏好，不直接删除低入度节点。但它依赖预测的</w:t>
      </w:r>
      <m:oMath>
        <m:r>
          <m:t xml:space="preserve">𝒬</m:t>
        </m:r>
      </m:oMath>
      <w:r>
        <w:rPr>
          <w:rFonts w:ascii="Times New Roman" w:hAnsi="Times New Roman" w:eastAsia="Songti SC"/>
          <w:color w:val="000000"/>
        </w:rPr>
        <w:t>，遗漏难以满足阈值的结论节点反而可能抬高平均分；因此高覆盖得分也可能与低组件召回并存。需用固定候选池比较移除该项后的F1、预测边数和孤立节点分布，检查其是否诱导过连边或过删节点。</w:t>
      </w:r>
    </w:p>
    <w:p>
      <w:r>
        <w:rPr>
          <w:rFonts w:ascii="Times New Roman" w:hAnsi="Times New Roman" w:eastAsia="Songti SC"/>
          <w:color w:val="000000"/>
        </w:rPr>
        <w:t>新参考实现将评价节点固定为AAEC的Claim及CDCP的Policy/Value；节点在预测图中无出边时按顶层角色取阈值2，否则取1，空评价集合得分为0。这一确定规则使新代码可执行，但是否对应原稿角色判定并无证据。新实现默认生成器与验证器共享同一检查点，仅使用不同提示；判断缓存绑定文本、关系上下文和模型身份，不把两次调用称为独立验证。</w:t>
      </w:r>
    </w:p>
    <w:p>
      <w:pPr>
        <w:pStyle w:val="Heading3"/>
      </w:pPr>
      <w:r>
        <w:t>4.3.2 语义连贯性</w:t>
      </w:r>
    </w:p>
    <w:p>
      <w:r>
        <w:rPr>
          <w:rFonts w:ascii="Times New Roman" w:hAnsi="Times New Roman" w:eastAsia="Songti SC"/>
          <w:color w:val="000000"/>
        </w:rPr>
        <w:t>对每条预测边，验证器结合源组件、目标组件、关系类型和上下文判断关系是否成立。语义连贯性得分为：</w:t>
      </w:r>
    </w:p>
    <w:p>
      <w:pPr>
        <w:keepLines/>
        <w:spacing w:line="288" w:lineRule="auto" w:before="100" w:after="180"/>
        <w:ind w:firstLine="0"/>
        <w:jc w:val="center"/>
      </w:pPr>
      <m:oMath>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sSup>
                        <m:e>
                          <m:r>
                            <m:t xml:space="preserve">R</m:t>
                          </m:r>
                        </m:e>
                        <m:sup>
                          <m:r>
                            <m:t xml:space="preserve">(</m:t>
                          </m:r>
                          <m:r>
                            <m:t xml:space="preserve">k</m:t>
                          </m:r>
                          <m:r>
                            <m:t xml:space="preserve">)</m:t>
                          </m:r>
                        </m:sup>
                      </m:sSup>
                      <m:r>
                        <m:t xml:space="preserve">|</m:t>
                      </m:r>
                    </m:den>
                  </m:f>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e>
                <m:e>
                  <m:r>
                    <m:t xml:space="preserve">|</m:t>
                  </m:r>
                  <m:sSup>
                    <m:e>
                      <m:r>
                        <m:t xml:space="preserve">R</m:t>
                      </m:r>
                    </m:e>
                    <m:sup>
                      <m:r>
                        <m:t xml:space="preserve">(</m:t>
                      </m:r>
                      <m:r>
                        <m:t xml:space="preserve">k</m:t>
                      </m:r>
                      <m:r>
                        <m:t xml:space="preserve">)</m:t>
                      </m:r>
                    </m:sup>
                  </m:sSup>
                  <m:r>
                    <m:t xml:space="preserve">|</m:t>
                  </m:r>
                  <m:r>
                    <m:t xml:space="preserve">&gt;</m:t>
                  </m:r>
                  <m:r>
                    <m:t xml:space="preserve">0</m:t>
                  </m:r>
                  <m:r>
                    <m:t xml:space="preserve">,</m:t>
                  </m:r>
                </m:e>
              </m:mr>
              <m:mr>
                <m:e>
                  <m:r>
                    <m:t xml:space="preserve">0</m:t>
                  </m:r>
                  <m:r>
                    <m:t xml:space="preserve">,</m:t>
                  </m:r>
                </m:e>
                <m:e>
                  <m:r>
                    <m:t xml:space="preserve">|</m:t>
                  </m:r>
                  <m:sSup>
                    <m:e>
                      <m:r>
                        <m:t xml:space="preserve">R</m:t>
                      </m:r>
                    </m:e>
                    <m:sup>
                      <m:r>
                        <m:t xml:space="preserve">(</m:t>
                      </m:r>
                      <m:r>
                        <m:t xml:space="preserve">k</m:t>
                      </m:r>
                      <m:r>
                        <m:t xml:space="preserve">)</m:t>
                      </m:r>
                    </m:sup>
                  </m:sSup>
                  <m:r>
                    <m:t xml:space="preserve">|</m:t>
                  </m:r>
                  <m:r>
                    <m:t xml:space="preserve">=</m:t>
                  </m:r>
                  <m:r>
                    <m:t xml:space="preserve">0</m:t>
                  </m:r>
                  <m:r>
                    <m:t xml:space="preserve">.</m:t>
                  </m:r>
                </m:e>
              </m:mr>
            </m:m>
          </m:e>
        </m:d>
      </m:oMath>
      <w:r>
        <w:rPr>
          <w:rFonts w:ascii="Times New Roman" w:hAnsi="Times New Roman" w:eastAsia="Songti SC"/>
          <w:color w:val="000000"/>
          <w:sz w:val="20"/>
        </w:rPr>
        <w:t xml:space="preserve">　（4-6）</w:t>
      </w:r>
    </w:p>
    <w:p>
      <w:r>
        <w:rPr>
          <w:rFonts w:ascii="Times New Roman" w:hAnsi="Times New Roman" w:eastAsia="Songti SC"/>
          <w:color w:val="000000"/>
        </w:rPr>
        <w:t>该得分与生成模型的序列概率不同：序列概率衡量输出在生成模型下是否常见，而</w:t>
      </w:r>
      <m:oMath>
        <m:sSub>
          <m:e>
            <m:r>
              <m:t xml:space="preserve">E</m:t>
            </m:r>
          </m:e>
          <m:sub>
            <m:r>
              <m:t xml:space="preserve">c</m:t>
            </m:r>
            <m:r>
              <m:t xml:space="preserve">o</m:t>
            </m:r>
            <m:r>
              <m:t xml:space="preserve">h</m:t>
            </m:r>
          </m:sub>
        </m:sSub>
      </m:oMath>
      <w:r>
        <w:rPr>
          <w:rFonts w:ascii="Times New Roman" w:hAnsi="Times New Roman" w:eastAsia="Songti SC"/>
          <w:color w:val="000000"/>
        </w:rPr>
        <w:t>专门判断边是否得到当前上下文支持。</w:t>
      </w:r>
    </w:p>
    <w:p>
      <w:pPr>
        <w:pStyle w:val="Heading3"/>
      </w:pPr>
      <w:r>
        <w:t>4.3.3 输出合法性</w:t>
      </w:r>
    </w:p>
    <w:p>
      <w:r>
        <w:rPr>
          <w:rFonts w:ascii="Times New Roman" w:hAnsi="Times New Roman" w:eastAsia="Songti SC"/>
          <w:color w:val="000000"/>
        </w:rPr>
        <w:t>若候选通过全部确定性检查，则</w:t>
      </w:r>
      <m:oMath>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r>
          <m:t xml:space="preserve">1</m:t>
        </m:r>
      </m:oMath>
      <w:r>
        <w:rPr>
          <w:rFonts w:ascii="Times New Roman" w:hAnsi="Times New Roman" w:eastAsia="Songti SC"/>
          <w:color w:val="000000"/>
        </w:rPr>
        <w:t>，否则为0。检查项目包括JSON可解析性、必需字段完整性、token跨度合法性、组件编号引用完整性、自环与结构环检测，以及数据集Schema允许的组件和关系类型。约束解码只能保证部分语法条件，无法替代跨度、引用和拓扑检查。</w:t>
      </w:r>
    </w:p>
    <w:p>
      <w:r>
        <w:rPr>
          <w:rFonts w:ascii="Times New Roman" w:hAnsi="Times New Roman" w:eastAsia="Songti SC"/>
          <w:color w:val="000000"/>
        </w:rPr>
        <w:t>最终选择：</w:t>
      </w:r>
    </w:p>
    <w:p>
      <w:pPr>
        <w:keepLines/>
        <w:spacing w:line="288" w:lineRule="auto" w:before="100" w:after="180"/>
        <w:ind w:firstLine="0"/>
        <w:jc w:val="center"/>
      </w:pPr>
      <m:oMath>
        <m:sSup>
          <m:e>
            <m:r>
              <m:t xml:space="preserve">k</m:t>
            </m:r>
          </m:e>
          <m:sup>
            <m:r>
              <m:t xml:space="preserve">*</m:t>
            </m:r>
          </m:sup>
        </m:sSup>
        <m:r>
          <m:t xml:space="preserve">=</m:t>
        </m:r>
        <m:r>
          <m:rPr>
            <m:sty m:val="p"/>
          </m:rPr>
          <m:t xml:space="preserve">arg</m:t>
        </m:r>
        <m:sSub>
          <m:e>
            <m:r>
              <m:rPr>
                <m:sty m:val="p"/>
              </m:rPr>
              <m:t xml:space="preserve">max</m:t>
            </m:r>
          </m:e>
          <m:sub>
            <m:r>
              <m:t xml:space="preserve">1</m:t>
            </m:r>
            <m:r>
              <m:t xml:space="preserve">≤</m:t>
            </m:r>
            <m:r>
              <m:t xml:space="preserve">k</m:t>
            </m:r>
            <m:r>
              <m:t xml:space="preserve">≤</m:t>
            </m:r>
            <m:r>
              <m:t xml:space="preserve">K</m:t>
            </m:r>
          </m:sub>
        </m:sSub>
        <m:r>
          <m:t xml:space="preserve">E</m:t>
        </m:r>
        <m:r>
          <m:t xml:space="preserve">(</m:t>
        </m:r>
        <m:sSub>
          <m:e>
            <m:r>
              <m:t xml:space="preserve">S</m:t>
            </m:r>
          </m:e>
          <m:sub>
            <m:r>
              <m:t xml:space="preserve">k</m:t>
            </m:r>
          </m:sub>
        </m:sSub>
        <m:r>
          <m:t xml:space="preserve">)</m:t>
        </m:r>
        <m:r>
          <m:t xml:space="preserve">,</m:t>
        </m:r>
        <m:r>
          <m:rPr>
            <m:sty m:val="p"/>
          </m:rPr>
          <m:t xml:space="preserve"> </m:t>
        </m:r>
        <m:sSup>
          <m:e>
            <m:r>
              <m:t xml:space="preserve">S</m:t>
            </m:r>
          </m:e>
          <m:sup>
            <m:r>
              <m:t xml:space="preserve">(</m:t>
            </m:r>
            <m:r>
              <m:t xml:space="preserve">0</m:t>
            </m:r>
            <m:r>
              <m:t xml:space="preserve">)</m:t>
            </m:r>
          </m:sup>
        </m:sSup>
        <m:r>
          <m:t xml:space="preserve">=</m:t>
        </m:r>
        <m:sSub>
          <m:e>
            <m:r>
              <m:t xml:space="preserve">S</m:t>
            </m:r>
          </m:e>
          <m:sub>
            <m:sSup>
              <m:e>
                <m:r>
                  <m:t xml:space="preserve">k</m:t>
                </m:r>
              </m:e>
              <m:sup>
                <m:r>
                  <m:t xml:space="preserve">*</m:t>
                </m:r>
              </m:sup>
            </m:sSup>
          </m:sub>
        </m:sSub>
        <m:r>
          <m:t xml:space="preserve">.</m:t>
        </m:r>
      </m:oMath>
      <w:r>
        <w:rPr>
          <w:rFonts w:ascii="Times New Roman" w:hAnsi="Times New Roman" w:eastAsia="Songti SC"/>
          <w:color w:val="000000"/>
          <w:sz w:val="20"/>
        </w:rPr>
        <w:t xml:space="preserve">　（4-7）</w:t>
      </w:r>
    </w:p>
    <w:p>
      <w:pPr>
        <w:pStyle w:val="Heading2"/>
      </w:pPr>
      <w:r>
        <w:t>4.4 图约束下的有界局部修正</w:t>
      </w:r>
    </w:p>
    <w:p>
      <w:pPr>
        <w:pStyle w:val="Heading3"/>
      </w:pPr>
      <w:r>
        <w:t>4.4.1 异常表示与优先级</w:t>
      </w:r>
    </w:p>
    <w:p>
      <w:r>
        <w:rPr>
          <w:rFonts w:ascii="Times New Roman" w:hAnsi="Times New Roman" w:eastAsia="Songti SC"/>
          <w:color w:val="000000"/>
        </w:rPr>
        <w:t>对当前图</w:t>
      </w:r>
      <m:oMath>
        <m:r>
          <m:t xml:space="preserve">S</m:t>
        </m:r>
      </m:oMath>
      <w:r>
        <w:rPr>
          <w:rFonts w:ascii="Times New Roman" w:hAnsi="Times New Roman" w:eastAsia="Songti SC"/>
          <w:color w:val="000000"/>
        </w:rPr>
        <w:t>，错误检测器返回异常集合：</w:t>
      </w:r>
    </w:p>
    <w:p>
      <w:pPr>
        <w:keepLines/>
        <w:spacing w:line="288" w:lineRule="auto" w:before="100" w:after="180"/>
        <w:ind w:firstLine="0"/>
        <w:jc w:val="center"/>
      </w:pPr>
      <m:oMath>
        <m:r>
          <m:t xml:space="preserve">ℰ</m:t>
        </m:r>
        <m:r>
          <m:t xml:space="preserve">(</m:t>
        </m:r>
        <m:r>
          <m:t xml:space="preserve">S</m:t>
        </m:r>
        <m:r>
          <m:t xml:space="preserve">)</m:t>
        </m:r>
        <m:r>
          <m:t xml:space="preserve">=</m:t>
        </m:r>
        <m:r>
          <m:rPr>
            <m:sty m:val="p"/>
          </m:rPr>
          <m:t xml:space="preserve">{</m:t>
        </m:r>
        <m:r>
          <m:t xml:space="preserve">e</m:t>
        </m:r>
        <m:r>
          <m:t xml:space="preserve">=</m:t>
        </m:r>
        <m:r>
          <m:t xml:space="preserve">(</m:t>
        </m:r>
        <m:r>
          <m:t xml:space="preserve">ν</m:t>
        </m:r>
        <m:r>
          <m:t xml:space="preserve">,</m:t>
        </m:r>
        <m:r>
          <m:t xml:space="preserve">η</m:t>
        </m:r>
        <m:r>
          <m:t xml:space="preserve">,</m:t>
        </m:r>
        <m:r>
          <m:t xml:space="preserve">σ</m:t>
        </m:r>
        <m:r>
          <m:t xml:space="preserve">)</m:t>
        </m:r>
        <m:r>
          <m:rPr>
            <m:sty m:val="p"/>
          </m:rP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其中</w:t>
      </w:r>
      <m:oMath>
        <m:r>
          <m:t xml:space="preserve">ν</m:t>
        </m:r>
        <m:r>
          <m:t xml:space="preserve">∈</m:t>
        </m:r>
        <m:r>
          <m:rPr>
            <m:sty m:val="p"/>
          </m:rPr>
          <m:t xml:space="preserve">{</m:t>
        </m:r>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r>
          <m:rPr>
            <m:sty m:val="p"/>
          </m:rPr>
          <m:t xml:space="preserve">}</m:t>
        </m:r>
      </m:oMath>
      <w:r>
        <w:rPr>
          <w:rFonts w:ascii="Times New Roman" w:hAnsi="Times New Roman" w:eastAsia="Songti SC"/>
          <w:color w:val="000000"/>
        </w:rPr>
        <w:t>表示有效性、连贯性或完整性异常，</w:t>
      </w:r>
      <m:oMath>
        <m:r>
          <m:t xml:space="preserve">η</m:t>
        </m:r>
      </m:oMath>
      <w:r>
        <w:rPr>
          <w:rFonts w:ascii="Times New Roman" w:hAnsi="Times New Roman" w:eastAsia="Songti SC"/>
          <w:color w:val="000000"/>
        </w:rPr>
        <w:t>表示受影响的节点或边，</w:t>
      </w:r>
      <m:oMath>
        <m:r>
          <m:t xml:space="preserve">σ</m:t>
        </m:r>
        <m: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表示严重度。严重度定义为：</w:t>
      </w:r>
    </w:p>
    <w:p>
      <w:pPr>
        <w:keepLines/>
        <w:spacing w:line="288" w:lineRule="auto" w:before="100" w:after="180"/>
        <w:ind w:firstLine="0"/>
        <w:jc w:val="center"/>
      </w:pPr>
      <m:oMath>
        <m:r>
          <m:t xml:space="preserve">σ</m:t>
        </m:r>
        <m:r>
          <m:t xml:space="preserve">(</m:t>
        </m:r>
        <m:r>
          <m:t xml:space="preserve">e</m:t>
        </m:r>
        <m:r>
          <m:t xml:space="preserve">)</m:t>
        </m:r>
        <m:r>
          <m:t xml:space="preserve">=</m:t>
        </m:r>
        <m:d>
          <m:dPr>
            <m:begChr m:val="{"/>
            <m:endChr m:val=""/>
          </m:dPr>
          <m:e>
            <m:m>
              <m:mPr>
                <m:mcs>
                  <m:mc>
                    <m:mcPr>
                      <m:count m:val="2"/>
                      <m:mcJc m:val="left"/>
                    </m:mcPr>
                  </m:mc>
                </m:mcs>
              </m:mPr>
              <m:mr>
                <m:e>
                  <m:r>
                    <m:t xml:space="preserve">1</m:t>
                  </m:r>
                  <m:r>
                    <m:t xml:space="preserve">,</m:t>
                  </m:r>
                </m:e>
                <m:e>
                  <m:r>
                    <m:t xml:space="preserve">ν</m:t>
                  </m:r>
                  <m:r>
                    <m:t xml:space="preserve">=</m:t>
                  </m:r>
                  <m:r>
                    <m:t xml:space="preserve">V</m:t>
                  </m:r>
                  <m:r>
                    <m:t xml:space="preserve">A</m:t>
                  </m:r>
                  <m:r>
                    <m:t xml:space="preserve">L</m:t>
                  </m:r>
                  <m:r>
                    <m:t xml:space="preserve">,</m:t>
                  </m:r>
                </m:e>
              </m:mr>
              <m:mr>
                <m:e>
                  <m:r>
                    <m:t xml:space="preserve">1</m:t>
                  </m:r>
                  <m:r>
                    <m:t xml:space="preserve">-</m:t>
                  </m:r>
                  <m:sSub>
                    <m:e>
                      <m:r>
                        <m:t xml:space="preserve">p</m:t>
                      </m:r>
                    </m:e>
                    <m:sub>
                      <m:r>
                        <m:t xml:space="preserve">i</m:t>
                      </m:r>
                      <m:r>
                        <m:t xml:space="preserve">j</m:t>
                      </m:r>
                    </m:sub>
                  </m:sSub>
                  <m:r>
                    <m:t xml:space="preserve">,</m:t>
                  </m:r>
                </m:e>
                <m:e>
                  <m:r>
                    <m:t xml:space="preserve">ν</m:t>
                  </m:r>
                  <m:r>
                    <m:t xml:space="preserve">=</m:t>
                  </m:r>
                  <m:r>
                    <m:t xml:space="preserve">C</m:t>
                  </m:r>
                  <m:r>
                    <m:t xml:space="preserve">O</m:t>
                  </m:r>
                  <m:r>
                    <m:t xml:space="preserve">H</m:t>
                  </m:r>
                  <m:r>
                    <m:t xml:space="preserve">,</m:t>
                  </m:r>
                  <m:r>
                    <m:rPr>
                      <m:sty m:val="p"/>
                    </m:rPr>
                    <m:t xml:space="preserve"> </m:t>
                  </m:r>
                  <m:r>
                    <m:t xml:space="preserve">η</m:t>
                  </m:r>
                  <m:r>
                    <m:t xml:space="preserve">=</m:t>
                  </m:r>
                  <m:r>
                    <m:t xml:space="preserve">(</m:t>
                  </m:r>
                  <m:r>
                    <m:t xml:space="preserve">i</m:t>
                  </m:r>
                  <m:r>
                    <m:t xml:space="preserve">,</m:t>
                  </m:r>
                  <m:r>
                    <m:t xml:space="preserve">j</m:t>
                  </m:r>
                  <m:r>
                    <m:t xml:space="preserve">)</m:t>
                  </m:r>
                  <m:r>
                    <m:t xml:space="preserve">,</m:t>
                  </m:r>
                </m:e>
              </m:mr>
              <m:mr>
                <m:e>
                  <m:r>
                    <m:t xml:space="preserve">1</m:t>
                  </m:r>
                  <m:r>
                    <m:t xml:space="preserve">-</m:t>
                  </m:r>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ν</m:t>
                  </m:r>
                  <m:r>
                    <m:t xml:space="preserve">=</m:t>
                  </m:r>
                  <m:r>
                    <m:t xml:space="preserve">D</m:t>
                  </m:r>
                  <m:r>
                    <m:t xml:space="preserve">E</m:t>
                  </m:r>
                  <m:r>
                    <m:t xml:space="preserve">N</m:t>
                  </m:r>
                  <m:r>
                    <m:t xml:space="preserve">S</m:t>
                  </m:r>
                  <m:r>
                    <m:t xml:space="preserve">,</m:t>
                  </m:r>
                  <m:r>
                    <m:rPr>
                      <m:sty m:val="p"/>
                    </m:rPr>
                    <m:t xml:space="preserve"> </m:t>
                  </m:r>
                  <m:r>
                    <m:t xml:space="preserve">η</m:t>
                  </m:r>
                  <m:r>
                    <m:t xml:space="preserve">=</m:t>
                  </m:r>
                  <m:r>
                    <m:t xml:space="preserve">j</m:t>
                  </m:r>
                  <m:r>
                    <m:t xml:space="preserve">.</m:t>
                  </m:r>
                </m:e>
              </m:mr>
            </m:m>
          </m:e>
        </m:d>
      </m:oMath>
      <w:r>
        <w:rPr>
          <w:rFonts w:ascii="Times New Roman" w:hAnsi="Times New Roman" w:eastAsia="Songti SC"/>
          <w:color w:val="000000"/>
          <w:sz w:val="20"/>
        </w:rPr>
        <w:t xml:space="preserve">　（4-9）</w:t>
      </w:r>
    </w:p>
    <w:p>
      <w:r>
        <w:rPr>
          <w:rFonts w:ascii="Times New Roman" w:hAnsi="Times New Roman" w:eastAsia="Songti SC"/>
          <w:color w:val="000000"/>
        </w:rPr>
        <w:t>异常按严重度降序排列，同分时采用</w:t>
      </w:r>
      <m:oMath>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oMath>
      <w:r>
        <w:rPr>
          <w:rFonts w:ascii="Times New Roman" w:hAnsi="Times New Roman" w:eastAsia="Songti SC"/>
          <w:color w:val="000000"/>
        </w:rPr>
        <w:t>。有效性错误和被验证器拒绝的边直接触发修复。原稿“低于</w:t>
      </w:r>
      <m:oMath>
        <m:sSub>
          <m:e>
            <m:r>
              <m:t xml:space="preserve">δ</m:t>
            </m:r>
          </m:e>
          <m:sub>
            <m:r>
              <m:t xml:space="preserve">d</m:t>
            </m:r>
            <m:r>
              <m:t xml:space="preserve">e</m:t>
            </m:r>
            <m:r>
              <m:t xml:space="preserve">n</m:t>
            </m:r>
            <m:r>
              <m:t xml:space="preserve">s</m:t>
            </m:r>
          </m:sub>
        </m:sSub>
        <m:r>
          <m:t xml:space="preserve">=</m:t>
        </m:r>
        <m:r>
          <m:t xml:space="preserve">1</m:t>
        </m:r>
        <m:r>
          <m:t xml:space="preserve">.</m:t>
        </m:r>
        <m:r>
          <m:t xml:space="preserve">0</m:t>
        </m:r>
      </m:oMath>
      <w:r>
        <w:rPr>
          <w:rFonts w:ascii="Times New Roman" w:hAnsi="Times New Roman" w:eastAsia="Songti SC"/>
          <w:color w:val="000000"/>
        </w:rPr>
        <w:t>”应针对节点覆盖值</w:t>
      </w:r>
      <m:oMath>
        <m:r>
          <m:rPr>
            <m:sty m:val="p"/>
          </m:rPr>
          <m:t xml:space="preserve">min</m:t>
        </m:r>
        <m:r>
          <m:t xml:space="preserve">(</m:t>
        </m:r>
        <m:sSubSup>
          <m:e>
            <m:r>
              <m:t xml:space="preserve">d</m:t>
            </m:r>
          </m:e>
          <m:sub>
            <m:r>
              <m:t xml:space="preserve">c</m:t>
            </m:r>
            <m:r>
              <m:t xml:space="preserve">o</m:t>
            </m:r>
            <m:r>
              <m:t xml:space="preserve">h</m:t>
            </m:r>
          </m:sub>
          <m:sup>
            <m:r>
              <m:t xml:space="preserve">i</m:t>
            </m:r>
            <m:r>
              <m:t xml:space="preserve">n</m:t>
            </m:r>
          </m:sup>
        </m:sSubSup>
        <m:r>
          <m:t xml:space="preserve">/</m:t>
        </m:r>
        <m:r>
          <m:t xml:space="preserve">τ</m:t>
        </m:r>
        <m:r>
          <m:t xml:space="preserve">,</m:t>
        </m:r>
        <m:r>
          <m:t xml:space="preserve">1</m:t>
        </m:r>
        <m:r>
          <m:t xml:space="preserve">)</m:t>
        </m:r>
      </m:oMath>
      <w:r>
        <w:rPr>
          <w:rFonts w:ascii="Times New Roman" w:hAnsi="Times New Roman" w:eastAsia="Songti SC"/>
          <w:color w:val="000000"/>
        </w:rPr>
        <w:t>解释，相应严重度为</w:t>
      </w:r>
      <m:oMath>
        <m:r>
          <m:t xml:space="preserve">1</m:t>
        </m:r>
      </m:oMath>
      <w:r>
        <w:rPr>
          <w:rFonts w:ascii="Times New Roman" w:hAnsi="Times New Roman" w:eastAsia="Songti SC"/>
          <w:color w:val="000000"/>
        </w:rPr>
        <w:t>减覆盖值，不能反过来把低严重度解释为需要修正。待核验R07：阈值比较方向须与实际代码核对，本稿不据此认定旧实验已使用该解释。</w:t>
      </w:r>
    </w:p>
    <w:p>
      <w:pPr>
        <w:pStyle w:val="Heading3"/>
      </w:pPr>
      <w:r>
        <w:t>4.4.2 修复动作</w:t>
      </w:r>
    </w:p>
    <w:p>
      <w:r>
        <w:rPr>
          <w:rFonts w:ascii="Times New Roman" w:hAnsi="Times New Roman" w:eastAsia="Songti SC"/>
          <w:color w:val="000000"/>
        </w:rPr>
        <w:t>BR定义四类局部动作：</w:t>
      </w:r>
    </w:p>
    <w:p>
      <w:pPr>
        <w:ind w:firstLine="0"/>
      </w:pPr>
      <w:r>
        <w:rPr>
          <w:rFonts w:ascii="Times New Roman" w:hAnsi="Times New Roman" w:eastAsia="Songti SC"/>
          <w:color w:val="000000"/>
        </w:rPr>
        <w:t xml:space="preserve">1. </w:t>
      </w:r>
      <w:r>
        <w:rPr>
          <w:rFonts w:ascii="Times New Roman" w:hAnsi="Times New Roman" w:eastAsia="Songti SC"/>
          <w:b/>
          <w:color w:val="000000"/>
        </w:rPr>
        <w:t>Promote/Demote</w:t>
      </w:r>
      <w:r>
        <w:rPr>
          <w:rFonts w:ascii="Times New Roman" w:hAnsi="Times New Roman" w:eastAsia="Songti SC"/>
          <w:color w:val="000000"/>
        </w:rPr>
        <w:t>：在标注规范允许的结论类类型之间转换，例如MajorClaim与Claim；</w:t>
      </w:r>
    </w:p>
    <w:p>
      <w:pPr>
        <w:ind w:firstLine="0"/>
      </w:pPr>
      <w:r>
        <w:rPr>
          <w:rFonts w:ascii="Times New Roman" w:hAnsi="Times New Roman" w:eastAsia="Songti SC"/>
          <w:color w:val="000000"/>
        </w:rPr>
        <w:t xml:space="preserve">2. </w:t>
      </w:r>
      <w:r>
        <w:rPr>
          <w:rFonts w:ascii="Times New Roman" w:hAnsi="Times New Roman" w:eastAsia="Songti SC"/>
          <w:b/>
          <w:color w:val="000000"/>
        </w:rPr>
        <w:t>Replace</w:t>
      </w:r>
      <w:r>
        <w:rPr>
          <w:rFonts w:ascii="Times New Roman" w:hAnsi="Times New Roman" w:eastAsia="Songti SC"/>
          <w:color w:val="000000"/>
        </w:rPr>
        <w:t>：从其他候选集中选择与问题位置对应的替代跨度或组件类型；</w:t>
      </w:r>
    </w:p>
    <w:p>
      <w:pPr>
        <w:ind w:firstLine="0"/>
      </w:pPr>
      <w:r>
        <w:rPr>
          <w:rFonts w:ascii="Times New Roman" w:hAnsi="Times New Roman" w:eastAsia="Songti SC"/>
          <w:color w:val="000000"/>
        </w:rPr>
        <w:t xml:space="preserve">3. </w:t>
      </w:r>
      <w:r>
        <w:rPr>
          <w:rFonts w:ascii="Times New Roman" w:hAnsi="Times New Roman" w:eastAsia="Songti SC"/>
          <w:b/>
          <w:color w:val="000000"/>
        </w:rPr>
        <w:t>RemoveEdge</w:t>
      </w:r>
      <w:r>
        <w:rPr>
          <w:rFonts w:ascii="Times New Roman" w:hAnsi="Times New Roman" w:eastAsia="Songti SC"/>
          <w:color w:val="000000"/>
        </w:rPr>
        <w:t>：删除验证器拒绝且删除后不产生新引用错误的边；</w:t>
      </w:r>
    </w:p>
    <w:p>
      <w:pPr>
        <w:ind w:firstLine="0"/>
      </w:pPr>
      <w:r>
        <w:rPr>
          <w:rFonts w:ascii="Times New Roman" w:hAnsi="Times New Roman" w:eastAsia="Songti SC"/>
          <w:color w:val="000000"/>
        </w:rPr>
        <w:t xml:space="preserve">4. </w:t>
      </w:r>
      <w:r>
        <w:rPr>
          <w:rFonts w:ascii="Times New Roman" w:hAnsi="Times New Roman" w:eastAsia="Songti SC"/>
          <w:b/>
          <w:color w:val="000000"/>
        </w:rPr>
        <w:t>LocalRerun</w:t>
      </w:r>
      <w:r>
        <w:rPr>
          <w:rFonts w:ascii="Times New Roman" w:hAnsi="Times New Roman" w:eastAsia="Songti SC"/>
          <w:color w:val="000000"/>
        </w:rPr>
        <w:t>：固定当前组件集合，仅对受影响源节点的关系进行约束重预测，目标编号限定在有效组件集合内。</w:t>
      </w:r>
    </w:p>
    <w:p>
      <w:r>
        <w:rPr>
          <w:rFonts w:ascii="Times New Roman" w:hAnsi="Times New Roman" w:eastAsia="Songti SC"/>
          <w:color w:val="000000"/>
        </w:rPr>
        <w:t>对候选动作</w:t>
      </w:r>
      <m:oMath>
        <m:r>
          <m:t xml:space="preserve">a</m:t>
        </m:r>
      </m:oMath>
      <w:r>
        <w:rPr>
          <w:rFonts w:ascii="Times New Roman" w:hAnsi="Times New Roman" w:eastAsia="Songti SC"/>
          <w:color w:val="000000"/>
        </w:rPr>
        <w:t>，记执行后的结构为</w:t>
      </w:r>
      <m:oMath>
        <m:r>
          <m:t xml:space="preserve">a</m:t>
        </m:r>
        <m:r>
          <m:t xml:space="preserve">(</m:t>
        </m:r>
        <m:r>
          <m:t xml:space="preserve">S</m:t>
        </m:r>
        <m:r>
          <m:t xml:space="preserve">)</m:t>
        </m:r>
      </m:oMath>
      <w:r>
        <w:rPr>
          <w:rFonts w:ascii="Times New Roman" w:hAnsi="Times New Roman" w:eastAsia="Songti SC"/>
          <w:color w:val="000000"/>
        </w:rPr>
        <w:t>。接受条件为：</w:t>
      </w:r>
    </w:p>
    <w:p>
      <w:pPr>
        <w:keepLines/>
        <w:spacing w:line="288" w:lineRule="auto" w:before="100" w:after="180"/>
        <w:ind w:firstLine="0"/>
        <w:jc w:val="center"/>
      </w:pPr>
      <m:oMath>
        <m:r>
          <m:rPr>
            <m:sty m:val="p"/>
          </m:rPr>
          <m:t xml:space="preserve">Accept</m:t>
        </m:r>
        <m:r>
          <m:t xml:space="preserve">(</m:t>
        </m:r>
        <m:r>
          <m:t xml:space="preserve">a</m:t>
        </m:r>
        <m:r>
          <m:t xml:space="preserve">,</m:t>
        </m:r>
        <m:r>
          <m:t xml:space="preserve">S</m:t>
        </m:r>
        <m:r>
          <m:t xml:space="preserve">)</m:t>
        </m:r>
        <m:r>
          <m:t xml:space="preserve">=</m:t>
        </m:r>
        <m:r>
          <m:t xml:space="preserve">𝕀</m:t>
        </m:r>
        <m:r>
          <m:t xml:space="preserve">[</m:t>
        </m:r>
        <m:r>
          <m:t xml:space="preserve">a</m:t>
        </m:r>
        <m:r>
          <m:t xml:space="preserve">(</m:t>
        </m:r>
        <m:r>
          <m:t xml:space="preserve">S</m:t>
        </m:r>
        <m:r>
          <m:t xml:space="preserve">)</m:t>
        </m:r>
        <m:r>
          <m:t xml:space="preserve">∈</m:t>
        </m:r>
        <m:sSub>
          <m:e>
            <m:r>
              <m:t xml:space="preserve">𝒢</m:t>
            </m:r>
          </m:e>
          <m:sub>
            <m:r>
              <m:t xml:space="preserve">𝒜</m:t>
            </m:r>
          </m:sub>
        </m:sSub>
        <m:r>
          <m:t xml:space="preserve">]</m:t>
        </m:r>
        <m:r>
          <m:t xml:space="preserve">·</m:t>
        </m:r>
        <m:r>
          <m:t xml:space="preserve">𝕀</m:t>
        </m:r>
        <m:r>
          <m:t xml:space="preserve">[</m:t>
        </m:r>
        <m:r>
          <m:t xml:space="preserve">E</m:t>
        </m:r>
        <m:r>
          <m:t xml:space="preserve">(</m:t>
        </m:r>
        <m:r>
          <m:t xml:space="preserve">a</m:t>
        </m:r>
        <m:r>
          <m:t xml:space="preserve">(</m:t>
        </m:r>
        <m:r>
          <m:t xml:space="preserve">S</m:t>
        </m:r>
        <m:r>
          <m:t xml:space="preserve">)</m:t>
        </m:r>
        <m:r>
          <m:t xml:space="preserve">)</m:t>
        </m:r>
        <m:r>
          <m:t xml:space="preserve">≥</m:t>
        </m:r>
        <m:r>
          <m:t xml:space="preserve">E</m:t>
        </m:r>
        <m:r>
          <m:t xml:space="preserve">(</m:t>
        </m:r>
        <m:r>
          <m:t xml:space="preserve">S</m:t>
        </m:r>
        <m:r>
          <m:t xml:space="preserve">)</m:t>
        </m:r>
        <m:r>
          <m:t xml:space="preserve">]</m:t>
        </m:r>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因此，每次被接受的动作产生的图满足规定合法性检查，且在评分可重复的前提下不降低该代理评分；不满足条件的动作回退。这是对被接受后状态的性质，不保证初始图合法，也不保证最终一定合法。</w:t>
      </w:r>
    </w:p>
    <w:p>
      <w:r>
        <w:rPr>
          <w:rFonts w:ascii="Times New Roman" w:hAnsi="Times New Roman" w:eastAsia="Songti SC"/>
          <w:color w:val="000000"/>
        </w:rPr>
        <w:t>Replace在原稿中定义为替换已有位置的跨度或类型，并没有明确定义插入缺失节点。如果其实现不改变节点数量，不能据此声称找回所有遗漏Claim；LocalRerun固定组件集合，也不能补节点。Promote/Demote改变类型后须同步重查允许的边类型和拓扑，尤其不能把AAEC的stance隐式转换为关系边。待核验R08：四类动作需补充前置条件、受影响字段、坐标和ID更新规则及失败返回值。</w:t>
      </w:r>
    </w:p>
    <w:p>
      <w:pPr>
        <w:pStyle w:val="Heading3"/>
      </w:pPr>
      <w:r>
        <w:t>4.4.3 终止条件与计算预算</w:t>
      </w:r>
    </w:p>
    <w:p>
      <w:r>
        <w:rPr>
          <w:rFonts w:ascii="Times New Roman" w:hAnsi="Times New Roman" w:eastAsia="Songti SC"/>
          <w:color w:val="000000"/>
        </w:rPr>
        <w:t>原稿设置最多执行</w:t>
      </w:r>
      <m:oMath>
        <m:r>
          <m:t xml:space="preserve">T</m:t>
        </m:r>
        <m:r>
          <m:t xml:space="preserve">=</m:t>
        </m:r>
        <m:r>
          <m:t xml:space="preserve">3</m:t>
        </m:r>
      </m:oMath>
      <w:r>
        <w:rPr>
          <w:rFonts w:ascii="Times New Roman" w:hAnsi="Times New Roman" w:eastAsia="Songti SC"/>
          <w:color w:val="000000"/>
        </w:rPr>
        <w:t>轮，每轮最多接受</w:t>
      </w:r>
      <m:oMath>
        <m:r>
          <m:t xml:space="preserve">M</m:t>
        </m:r>
        <m:r>
          <m:t xml:space="preserve">=</m:t>
        </m:r>
        <m:r>
          <m:t xml:space="preserve">2</m:t>
        </m:r>
      </m:oMath>
      <w:r>
        <w:rPr>
          <w:rFonts w:ascii="Times New Roman" w:hAnsi="Times New Roman" w:eastAsia="Songti SC"/>
          <w:color w:val="000000"/>
        </w:rPr>
        <w:t>个动作。以下为保留原语义的伪代码；GenerateActions需返回有限序列，模型调用需有超时或解码上限，否则仅靠外层预算不足以保证整个程序终止。</w:t>
      </w:r>
    </w:p>
    <w:p>
      <w:pPr>
        <w:keepNext/>
        <w:ind w:firstLine="0"/>
        <w:jc w:val="center"/>
      </w:pPr>
      <w:r>
        <w:rPr>
          <w:rFonts w:ascii="Times New Roman" w:hAnsi="Times New Roman" w:eastAsia="Songti SC"/>
          <w:color w:val="000000"/>
          <w:sz w:val="22"/>
        </w:rPr>
        <w:t>算法4-1 原稿有界修正流程及其接口要求</w:t>
      </w:r>
    </w:p>
    <w:p>
      <w:pPr>
        <w:keepLines/>
        <w:spacing w:line="264" w:lineRule="auto" w:before="100" w:after="180"/>
        <w:ind w:firstLine="0" w:left="170"/>
      </w:pPr>
      <w:r>
        <w:rPr>
          <w:rFonts w:ascii="Courier New" w:hAnsi="Courier New" w:eastAsia="Songti SC"/>
          <w:color w:val="000000"/>
          <w:sz w:val="19"/>
        </w:rPr>
        <w:t>输入：候选图集合 {S1,...,SK}，最大轮数 T，每轮动作预算 M</w:t>
        <w:br/>
        <w:t>输出：修正后的论辩图 S</w:t>
        <w:br/>
        <w:br/>
        <w:t>S ← argmax E(Sk)</w:t>
        <w:br/>
        <w:t>for t = 1,...,T:</w:t>
        <w:br/>
        <w:t xml:space="preserve">    errors ← DetectErrors(S)</w:t>
        <w:br/>
        <w:t xml:space="preserve">    if errors 中不存在触发项:</w:t>
        <w:br/>
        <w:t xml:space="preserve">        break</w:t>
        <w:br/>
        <w:t xml:space="preserve">    accepted ← 0</w:t>
        <w:br/>
        <w:t xml:space="preserve">    for e in SortBySeverity(errors):</w:t>
        <w:br/>
        <w:t xml:space="preserve">        for a in GenerateActions(e, candidate_pool):</w:t>
        <w:br/>
        <w:t xml:space="preserve">            S' ← a(S)</w:t>
        <w:br/>
        <w:t xml:space="preserve">            if Valid(S') and E(S') ≥ E(S):</w:t>
        <w:br/>
        <w:t xml:space="preserve">                S ← S'</w:t>
        <w:br/>
        <w:t xml:space="preserve">                accepted ← accepted + 1</w:t>
        <w:br/>
        <w:t xml:space="preserve">                break</w:t>
        <w:br/>
        <w:t xml:space="preserve">        if accepted = M:</w:t>
        <w:br/>
        <w:t xml:space="preserve">            break</w:t>
        <w:br/>
        <w:t xml:space="preserve">    if accepted = 0:</w:t>
        <w:br/>
        <w:t xml:space="preserve">        break</w:t>
        <w:br/>
        <w:t>return S</w:t>
      </w:r>
    </w:p>
    <w:p>
      <w:r>
        <w:rPr>
          <w:rFonts w:ascii="Times New Roman" w:hAnsi="Times New Roman" w:eastAsia="Songti SC"/>
          <w:color w:val="000000"/>
        </w:rPr>
        <w:t>算法在三种情况下退出外层迭代：不存在触发异常、当前动作空间中没有可接受修改、轮数预算耗尽。在动作生成有限且每次调用终止的前提下，总接受动作数不超过</w:t>
      </w:r>
      <m:oMath>
        <m:r>
          <m:t xml:space="preserve">T</m:t>
        </m:r>
        <m:r>
          <m:t xml:space="preserve">M</m:t>
        </m:r>
        <m:r>
          <m:t xml:space="preserve">=</m:t>
        </m:r>
        <m:r>
          <m:t xml:space="preserve">6</m:t>
        </m:r>
      </m:oMath>
      <w:r>
        <w:rPr>
          <w:rFonts w:ascii="Times New Roman" w:hAnsi="Times New Roman" w:eastAsia="Songti SC"/>
          <w:color w:val="000000"/>
        </w:rPr>
        <w:t>。这一界限不约束被拒绝的尝试次数，不能据此声称最多发生6次额外模型调用。</w:t>
      </w:r>
    </w:p>
    <w:p>
      <w:commentRangeStart w:id="15"/>
      <w:r>
        <w:rPr>
          <w:rFonts w:ascii="Times New Roman" w:hAnsi="Times New Roman" w:eastAsia="Songti SC"/>
          <w:color w:val="000000"/>
        </w:rPr>
        <w:t>新参考实现补充每文档最多24次动作尝试、每异常最多4个动作候选、全部生成及验证合计最多128次调用、累计最多32768个输出token；普通单次生成上限1024，边级判断上限32。拒绝和失败调用均入账；复用候选池也保留候选生成的逻辑成本，实际新增调用另列。每次接受后更新异常并记录访问状态，避免等分往返。预算耗尽时保留最后已接受图或返回显式失败，不填入未验证输出。以上默认值是新工程配置，尚未由验证集成本曲线确定，也不提供硬墙钟超时保证。</w:t>
      </w:r>
      <w:commentRangeEnd w:id="15"/>
      <w:r>
        <w:commentReference w:id="15"/>
      </w:r>
    </w:p>
    <w:p>
      <w:pPr>
        <w:pStyle w:val="Heading3"/>
      </w:pPr>
      <w:r>
        <w:t>4.4.4 代理目标与可恢复性分析</w:t>
      </w:r>
    </w:p>
    <w:p>
      <w:r>
        <w:rPr>
          <w:rFonts w:ascii="Times New Roman" w:hAnsi="Times New Roman" w:eastAsia="Songti SC"/>
          <w:color w:val="000000"/>
        </w:rPr>
        <w:t>命题一：若验证器结果固定或缓存，评分函数固定，且每次仅接受</w:t>
      </w:r>
      <m:oMath>
        <m:r>
          <m:t xml:space="preserve">E</m:t>
        </m:r>
        <m:r>
          <m:t xml:space="preserve">(</m:t>
        </m:r>
        <m:r>
          <m:t xml:space="preserve">S</m:t>
        </m:r>
        <m:r>
          <m:t xml:space="preserve">'</m:t>
        </m:r>
        <m:r>
          <m:t xml:space="preserve">)</m:t>
        </m:r>
        <m:r>
          <m:t xml:space="preserve">≥</m:t>
        </m:r>
        <m:r>
          <m:t xml:space="preserve">E</m:t>
        </m:r>
        <m:r>
          <m:t xml:space="preserve">(</m:t>
        </m:r>
        <m:r>
          <m:t xml:space="preserve">S</m:t>
        </m:r>
        <m:r>
          <m:t xml:space="preserve">)</m:t>
        </m:r>
      </m:oMath>
      <w:r>
        <w:rPr>
          <w:rFonts w:ascii="Times New Roman" w:hAnsi="Times New Roman" w:eastAsia="Songti SC"/>
          <w:color w:val="000000"/>
        </w:rPr>
        <w:t>的动作，则被接受状态的评分序列单调不降。证明由接受条件逐次应用直接得到。若逐次重新随机调用验证器而不固定结果，同一图的分数也可能变化，因而这一命题的前提不再成立。由于评分范围有界，这一数值性质不意味着在有限时间达到全局最优，也不意味着Relation-F1单调提高；本文的停止依据仍是显式预算与有限动作空间。</w:t>
      </w:r>
    </w:p>
    <w:p>
      <w:r>
        <w:rPr>
          <w:rFonts w:ascii="Times New Roman" w:hAnsi="Times New Roman" w:eastAsia="Songti SC"/>
          <w:color w:val="000000"/>
        </w:rPr>
        <w:t>命题二：软合法性加权不能保证初始选择合法。按原稿权重，一个非法图若覆盖与连贯性都为1，可得0.8；一个合法图若两项都为0.5，则得0.6。最大加权分可能选中非法图。这是由评分式构造的反例，不是实际测试样本。</w:t>
      </w:r>
    </w:p>
    <w:p>
      <w:r>
        <w:rPr>
          <w:rFonts w:ascii="Times New Roman" w:hAnsi="Times New Roman" w:eastAsia="Songti SC"/>
          <w:color w:val="000000"/>
        </w:rPr>
        <w:t>命题三：全图合法后才接受的条件可能阻碍逐步修复。若初始图有两个独立无效引用，一次局部动作只修复其中一个，修改后的图仍不合法，因此被拒绝；即使两步组合能得到合法图，当前一步式接受规则也不一定能走到该状态。原稿同时报告残余无效ID，因此不能宣称BR保证最终输出全部合法。</w:t>
      </w:r>
    </w:p>
    <w:p>
      <w:r>
        <w:rPr>
          <w:rFonts w:ascii="Times New Roman" w:hAnsi="Times New Roman" w:eastAsia="Songti SC"/>
          <w:color w:val="000000"/>
        </w:rPr>
        <w:t>上述分析说明，现有方法的可陈述保证是“有限前提下的步数界”和“固定代理评分下的接受状态非下降”，不是语义正确性或全局最优保证。附录B提出可行候选优先、非法状态处置和总调用预算的修订建议；其中部分已在新项目提供独立选项或预算接口，仍未正式评测，不能回填为本章已有实验的生成过程。</w:t>
      </w:r>
    </w:p>
    <w:p>
      <w:pPr>
        <w:pStyle w:val="Heading2"/>
      </w:pPr>
      <w:r>
        <w:t>4.5 实验设置</w:t>
      </w:r>
    </w:p>
    <w:p>
      <w:pPr>
        <w:pStyle w:val="Heading3"/>
      </w:pPr>
      <w:r>
        <w:t>4.5.1 数据集与指标</w:t>
      </w:r>
    </w:p>
    <w:p>
      <w:r>
        <w:rPr>
          <w:rFonts w:ascii="Times New Roman" w:hAnsi="Times New Roman" w:eastAsia="Songti SC"/>
          <w:color w:val="000000"/>
        </w:rPr>
        <w:t>域内实验使用AAEC和CDCP。对任一预测对象集合，精确率、召回率和F1定义为：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P</m:t>
            </m:r>
            <m:r>
              <m:t xml:space="preserve">R</m:t>
            </m:r>
          </m:num>
          <m:den>
            <m:r>
              <m:t xml:space="preserve">P</m:t>
            </m:r>
            <m:r>
              <m:t xml:space="preserve">+</m:t>
            </m:r>
            <m:r>
              <m:t xml:space="preserve">R</m:t>
            </m:r>
          </m:den>
        </m:f>
        <m:r>
          <m:t xml:space="preserve">.</m:t>
        </m:r>
      </m:oMath>
      <w:r>
        <w:rPr>
          <w:rFonts w:ascii="Times New Roman" w:hAnsi="Times New Roman" w:eastAsia="Songti SC"/>
          <w:color w:val="000000"/>
          <w:sz w:val="20"/>
        </w:rPr>
        <w:t xml:space="preserve">　（4-11）</w:t>
      </w:r>
    </w:p>
    <w:p>
      <w:r>
        <w:rPr>
          <w:rFonts w:ascii="Times New Roman" w:hAnsi="Times New Roman" w:eastAsia="Songti SC"/>
          <w:color w:val="000000"/>
        </w:rPr>
        <w:t>组件只有在起止边界和类型均与金标准一致时计为</w:t>
      </w:r>
      <m:oMath>
        <m:r>
          <m:t xml:space="preserve">T</m:t>
        </m:r>
        <m:r>
          <m:t xml:space="preserve">P</m:t>
        </m:r>
      </m:oMath>
      <w:r>
        <w:rPr>
          <w:rFonts w:ascii="Times New Roman" w:hAnsi="Times New Roman" w:eastAsia="Songti SC"/>
          <w:color w:val="000000"/>
        </w:rPr>
        <w:t>。关系只有在源组件、目标组件、方向和关系标签均正确时计为</w:t>
      </w:r>
      <m:oMath>
        <m:r>
          <m:t xml:space="preserve">T</m:t>
        </m:r>
        <m:r>
          <m:t xml:space="preserve">P</m:t>
        </m:r>
      </m:oMath>
      <w:r>
        <w:rPr>
          <w:rFonts w:ascii="Times New Roman" w:hAnsi="Times New Roman" w:eastAsia="Songti SC"/>
          <w:color w:val="000000"/>
        </w:rPr>
        <w:t>。AAEC报告Component-F1以及Support、Attack和总体Relation-F1；CDCP保留Reason和Evidence两类关系并分别报告F1。关系评价基于模型预测组件而非金标准组件，因此同时反映组件识别与关系预测错误；Oracle实验另行使用金标准组件估计关系模块上限。跨领域实验的粗粒度指标在第五章说明。</w:t>
      </w:r>
    </w:p>
    <w:p>
      <w:pPr>
        <w:pStyle w:val="Heading3"/>
      </w:pPr>
      <w:r>
        <w:t>4.5.2 基线与实现</w:t>
      </w:r>
    </w:p>
    <w:p>
      <w:r>
        <w:rPr>
          <w:rFonts w:ascii="Times New Roman" w:hAnsi="Times New Roman" w:eastAsia="Songti SC"/>
          <w:color w:val="000000"/>
        </w:rPr>
        <w:t>外部基线包括FLAN T5-XXL、GPT-4-turbo 20-shot和RoBERTa-large多任务模型。为比较同骨干配置，原稿内部比较采用Qwen2.5-7B-Instruct及相同LoRA训练设置，包括Single-Pass、Constrained Decoding、DAG Post-process、Multi-Sample (LogProb)、Self-Refine、无修正的</w:t>
      </w:r>
      <m:oMath>
        <m:r>
          <m:t xml:space="preserve">K</m:t>
        </m:r>
        <m:r>
          <m:t xml:space="preserve">=</m:t>
        </m:r>
        <m:r>
          <m:t xml:space="preserve">1</m:t>
        </m:r>
      </m:oMath>
      <w:r>
        <w:rPr>
          <w:rFonts w:ascii="Times New Roman" w:hAnsi="Times New Roman" w:eastAsia="Songti SC"/>
          <w:color w:val="000000"/>
        </w:rPr>
        <w:t>版本和仅验证器重排序的</w:t>
      </w:r>
      <m:oMath>
        <m:r>
          <m:t xml:space="preserve">K</m:t>
        </m:r>
        <m:r>
          <m:t xml:space="preserve">=</m:t>
        </m:r>
        <m:r>
          <m:t xml:space="preserve">3</m:t>
        </m:r>
      </m:oMath>
      <w:r>
        <w:rPr>
          <w:rFonts w:ascii="Times New Roman" w:hAnsi="Times New Roman" w:eastAsia="Songti SC"/>
          <w:color w:val="000000"/>
        </w:rPr>
        <w:t>版本。原稿称优化器采用AdamW并使用早停，数据划分与评价脚本遵循文本到文本生成基线[7]，但当前未提供配置文件与脚本，尚不能认定所有协议已经对齐。</w:t>
      </w:r>
    </w:p>
    <w:p>
      <w:pPr>
        <w:ind w:firstLine="0"/>
      </w:pPr>
      <w:r>
        <w:rPr>
          <w:rFonts w:ascii="Times New Roman" w:hAnsi="Times New Roman" w:eastAsia="Songti SC"/>
          <w:color w:val="000000"/>
          <w:sz w:val="22"/>
        </w:rPr>
        <w:t>待核验R09：需补齐数据版本及文档ID划分、输入按全文还是段落组织、分词及跨度转换、CDCP多片段前提的处理、训练步数和有效batch size、学习率、LoRA目标层、dropout、温度、top-p、提示版本、检查点选择、随机种子、运行次数与硬件。原稿各表的“±”暂按原样保留，其代表标准差、标准误还是置信区间尚不确定，不进行显著性判断。</w:t>
      </w:r>
    </w:p>
    <w:p>
      <w:pPr>
        <w:ind w:firstLine="0"/>
      </w:pPr>
      <w:r>
        <w:rPr>
          <w:rFonts w:ascii="Times New Roman" w:hAnsi="Times New Roman" w:eastAsia="Songti SC"/>
          <w:color w:val="000000"/>
          <w:sz w:val="22"/>
        </w:rPr>
        <w:t>待核验R10：下列外部FLAN T5-XXL的AAEC总体80.15/61.19、CDCP总体72.68/33.96，以及GPT-4-turbo的AAEC总体55.51/28.38可在Kawarada等的结果表找到；本稿未核实这些外部基线的分类别数值来源。RoBERTa及其他内部行也需绑定复现实验记录。相同骨干不等于相同预算，当前材料没有证实Self-Refine、多采样和MCR-BR已做到总token数或调用次数匹配。</w:t>
      </w:r>
    </w:p>
    <w:p>
      <w:commentRangeStart w:id="7"/>
      <w:pPr>
        <w:pStyle w:val="Heading3"/>
      </w:pPr>
      <w:r>
        <w:t>4.5.3 近期相关方法的比较边界</w:t>
      </w:r>
      <w:commentRangeEnd w:id="7"/>
      <w:r>
        <w:commentReference w:id="7"/>
      </w:r>
    </w:p>
    <w:p>
      <w:r>
        <w:rPr>
          <w:rFonts w:ascii="Times New Roman" w:hAnsi="Times New Roman" w:eastAsia="Songti SC"/>
          <w:color w:val="000000"/>
        </w:rPr>
        <w:t>第一章补充的近期研究用于更新方法定位，并不自动成为已复现的实验基线。DENIM[12]和AASP[9]是优先考虑的生成式或结构预测对照，但需先统一数据划分、输入粒度及精确匹配评价。Cabessa等的分类生成方法[8]、关键短语方法和FOL-AM基于给定组件的任务设定，不能直接并入现有端到端分数表。若将其改造为端到端流程，应单列组件分割器和新增计算成本。</w:t>
      </w:r>
    </w:p>
    <w:p>
      <w:r>
        <w:rPr>
          <w:rFonts w:ascii="Times New Roman" w:hAnsi="Times New Roman" w:eastAsia="Songti SC"/>
          <w:color w:val="000000"/>
        </w:rPr>
        <w:t>Tran等的LLM-refine[22]为多候选判断提供相邻对照思路，但其课堂话轮分割候选与本文整图不同。比较其思想时需要重新定义整图选择基线，不能沿用原论文任务分数。ARGUS属于端到端系统演示，组件分割研究只覆盖部分子任务；本稿不为这些方法补造统一实验结果，也不据现有表格宣称超过全部近期方法。</w:t>
      </w:r>
    </w:p>
    <w:p>
      <w:commentRangeStart w:id="16"/>
      <w:pPr>
        <w:pStyle w:val="Heading3"/>
      </w:pPr>
      <w:r>
        <w:t>4.5.4 配置核对与新实验命名</w:t>
      </w:r>
      <w:commentRangeEnd w:id="16"/>
      <w:r>
        <w:commentReference w:id="16"/>
      </w:r>
    </w:p>
    <w:p>
      <w:r>
        <w:rPr>
          <w:rFonts w:ascii="Times New Roman" w:hAnsi="Times New Roman" w:eastAsia="Songti SC"/>
          <w:color w:val="000000"/>
        </w:rPr>
        <w:t>原稿明确列出的骨干、LoRA秩与缩放、提示长度、辅助权重、三项评分权重及K/T/M可以登记为“稿件声称的配置”，但没有日志就不能升级为“已执行并验证”。学习率、划分ID、目标层、dropout、种子、重复数及硬件等缺项不能用常见取值补作历史事实。附录D列出新项目的确定配置，供重新实验，不作为表3-1至表5-2的运行来源。</w:t>
      </w:r>
    </w:p>
    <w:p>
      <w:r>
        <w:rPr>
          <w:rFonts w:ascii="Times New Roman" w:hAnsi="Times New Roman" w:eastAsia="Songti SC"/>
          <w:color w:val="000000"/>
        </w:rPr>
        <w:t>新项目将Single-Pass限定为一次联合整图生成，将staged-K1限定为一次组件生成加一次固定组件的关系生成；K3-LogProb、K3-Rerank、K3-Rerank-BR则使用完整候选图，并可复用同一冻结候选池。训练模块及数据消融必须重新训练，推理消融则固定检查点。这一命名区分不能自行解释81.67与77.82的历史冲突，两个旧值仍保留待核验。</w:t>
      </w:r>
    </w:p>
    <w:p>
      <w:r>
        <w:rPr>
          <w:rFonts w:ascii="Times New Roman" w:hAnsi="Times New Roman" w:eastAsia="Songti SC"/>
          <w:color w:val="000000"/>
        </w:rPr>
        <w:t>公平比较需核对实际预算。同样3个epoch在增强后通常对应更多更新；新代码提供更新步数上限，但仍需检查实际步数、样本/token量和检查点选择是否匹配。移除软合法性评分不等于取消修正动作的硬合法性检查。新项目尚未实现所有旧表基线，未完成真实数据训练、多个种子重复或显著性检验。</w:t>
      </w:r>
    </w:p>
    <w:p>
      <w:pPr>
        <w:pStyle w:val="Heading2"/>
      </w:pPr>
      <w:r>
        <w:t>4.6 域内主要结果</w:t>
      </w:r>
    </w:p>
    <w:p>
      <w:pPr>
        <w:pStyle w:val="Heading3"/>
      </w:pPr>
      <w:r>
        <w:t>4.6.1 AAEC结果</w:t>
      </w:r>
    </w:p>
    <w:p>
      <w:pPr>
        <w:keepNext/>
        <w:ind w:firstLine="0"/>
        <w:jc w:val="center"/>
      </w:pPr>
      <w:r>
        <w:rPr>
          <w:rFonts w:ascii="Times New Roman" w:hAnsi="Times New Roman" w:eastAsia="Songti SC"/>
          <w:color w:val="000000"/>
          <w:sz w:val="22"/>
        </w:rPr>
        <w:t>表4-1 AAEC域内结果原稿记录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62.21±0.38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r>
        <w:rPr>
          <w:rFonts w:ascii="Times New Roman" w:hAnsi="Times New Roman" w:eastAsia="Songti SC"/>
          <w:color w:val="000000"/>
        </w:rPr>
        <w:t>按表4-1记录，Full相对FLAN T5-XXL的Component-F1和Relation-F1差值分别为3.56和3.64个点，相对本表Single-Pass分别为5.89和7.96个点。约束解码、DAG后处理及Self-Refine各行也呈现正向差值，但在提示、训练设置和推理预算未核验前，不能把差异全部归因于BR，亦不能据此判断修复了哪一类节点或关系错误。</w:t>
      </w:r>
    </w:p>
    <w:p>
      <w:pPr>
        <w:pStyle w:val="Heading3"/>
      </w:pPr>
      <w:r>
        <w:t>4.6.2 CDCP结果</w:t>
      </w:r>
    </w:p>
    <w:p>
      <w:pPr>
        <w:keepNext/>
        <w:ind w:firstLine="0"/>
        <w:jc w:val="center"/>
      </w:pPr>
      <w:r>
        <w:rPr>
          <w:rFonts w:ascii="Times New Roman" w:hAnsi="Times New Roman" w:eastAsia="Songti SC"/>
          <w:color w:val="000000"/>
          <w:sz w:val="22"/>
        </w:rPr>
        <w:t>表4-2 CDCP域内结果原稿记录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36.64±0.45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r>
        <w:rPr>
          <w:rFonts w:ascii="Times New Roman" w:hAnsi="Times New Roman" w:eastAsia="Songti SC"/>
          <w:color w:val="000000"/>
        </w:rPr>
        <w:t>按表4-2记录，CDCP上的Full Relation-F1比FLAN T5-XXL高4.21个点，为非AAEC语料上的适用性提供了待复核的结果。Evidence-F1低于Reason-F1，但该差异可能与样本数量、边界错误或标签判别等因素有关；没有类别计数及错误分解时，不能仅归因为证据型关系稀疏或语义隐含。</w:t>
      </w:r>
    </w:p>
    <w:p>
      <w:pPr>
        <w:pStyle w:val="Heading2"/>
      </w:pPr>
      <w:r>
        <w:t>4.7 消融与机制分析</w:t>
      </w:r>
    </w:p>
    <w:p>
      <w:pPr>
        <w:pStyle w:val="Heading3"/>
      </w:pPr>
      <w:r>
        <w:t>4.7.1 模块消融</w:t>
      </w:r>
    </w:p>
    <w:p>
      <w:pPr>
        <w:keepNext/>
        <w:ind w:firstLine="0"/>
        <w:jc w:val="center"/>
      </w:pPr>
      <w:r>
        <w:rPr>
          <w:rFonts w:ascii="Times New Roman" w:hAnsi="Times New Roman" w:eastAsia="Songti SC"/>
          <w:color w:val="000000"/>
          <w:sz w:val="22"/>
        </w:rPr>
        <w:t>表4-3 模块消融原稿记录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1"/>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Multi-Objective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由</w:t>
      </w:r>
      <m:oMath>
        <m:r>
          <m:t xml:space="preserve">K</m:t>
        </m:r>
        <m:r>
          <m:t xml:space="preserve">=</m:t>
        </m:r>
        <m:r>
          <m:t xml:space="preserve">1</m:t>
        </m:r>
      </m:oMath>
      <w:r>
        <w:rPr>
          <w:rFonts w:ascii="Times New Roman" w:hAnsi="Times New Roman" w:eastAsia="Songti SC"/>
          <w:color w:val="000000"/>
        </w:rPr>
        <w:t>无修正记录到</w:t>
      </w:r>
      <m:oMath>
        <m:r>
          <m:t xml:space="preserve">K</m:t>
        </m:r>
        <m:r>
          <m:t xml:space="preserve">=</m:t>
        </m:r>
        <m:r>
          <m:t xml:space="preserve">3</m:t>
        </m:r>
      </m:oMath>
      <w:r>
        <w:rPr>
          <w:rFonts w:ascii="Times New Roman" w:hAnsi="Times New Roman" w:eastAsia="Songti SC"/>
          <w:color w:val="000000"/>
        </w:rPr>
        <w:t>仅重排序记录，Relation-F1差值为1.48个点，但同时改变候选数和选择过程，不能解释为重排序的单独贡献。由</w:t>
      </w:r>
      <m:oMath>
        <m:r>
          <m:t xml:space="preserve">K</m:t>
        </m:r>
        <m:r>
          <m:t xml:space="preserve">=</m:t>
        </m:r>
        <m:r>
          <m:t xml:space="preserve">3</m:t>
        </m:r>
      </m:oMath>
      <w:r>
        <w:rPr>
          <w:rFonts w:ascii="Times New Roman" w:hAnsi="Times New Roman" w:eastAsia="Songti SC"/>
          <w:color w:val="000000"/>
        </w:rPr>
        <w:t>仅重排序到Full的差值为2.62个点；只有在两者使用相同检查点、相同缓存候选池和相同评价脚本时，这才是对加入BR的有效对照。去除</w:t>
      </w:r>
      <m:oMath>
        <m:sSub>
          <m:e>
            <m:r>
              <m:t xml:space="preserve">E</m:t>
            </m:r>
          </m:e>
          <m:sub>
            <m:r>
              <m:t xml:space="preserve">v</m:t>
            </m:r>
            <m:r>
              <m:t xml:space="preserve">a</m:t>
            </m:r>
            <m:r>
              <m:t xml:space="preserve">l</m:t>
            </m:r>
          </m:sub>
        </m:sSub>
      </m:oMath>
      <w:r>
        <w:rPr>
          <w:rFonts w:ascii="Times New Roman" w:hAnsi="Times New Roman" w:eastAsia="Songti SC"/>
          <w:color w:val="000000"/>
        </w:rPr>
        <w:t>的记录下降2.91个Relation-F1点，也需明确是仅移除评分项，还是同时移除了硬合法性检查。</w:t>
      </w:r>
    </w:p>
    <w:p>
      <w:r>
        <w:rPr>
          <w:rFonts w:ascii="Times New Roman" w:hAnsi="Times New Roman" w:eastAsia="Songti SC"/>
          <w:color w:val="000000"/>
        </w:rPr>
        <w:t>训练模块消融反映其在其他模块保留时的条件差异，不能把各差值相加。本稿尚缺等样本量普通改写、无增强、无</w:t>
      </w:r>
      <m:oMath>
        <m:sSub>
          <m:e>
            <m:r>
              <m:t xml:space="preserve">E</m:t>
            </m:r>
          </m:e>
          <m:sub>
            <m:r>
              <m:t xml:space="preserve">d</m:t>
            </m:r>
            <m:r>
              <m:t xml:space="preserve">e</m:t>
            </m:r>
            <m:r>
              <m:t xml:space="preserve">n</m:t>
            </m:r>
            <m:r>
              <m:t xml:space="preserve">s</m:t>
            </m:r>
          </m:sub>
        </m:sSub>
      </m:oMath>
      <w:r>
        <w:rPr>
          <w:rFonts w:ascii="Times New Roman" w:hAnsi="Times New Roman" w:eastAsia="Songti SC"/>
          <w:color w:val="000000"/>
        </w:rPr>
        <w:t>、无</w:t>
      </w:r>
      <m:oMath>
        <m:sSub>
          <m:e>
            <m:r>
              <m:t xml:space="preserve">E</m:t>
            </m:r>
          </m:e>
          <m:sub>
            <m:r>
              <m:t xml:space="preserve">c</m:t>
            </m:r>
            <m:r>
              <m:t xml:space="preserve">o</m:t>
            </m:r>
            <m:r>
              <m:t xml:space="preserve">h</m:t>
            </m:r>
          </m:sub>
        </m:sSub>
      </m:oMath>
      <w:r>
        <w:rPr>
          <w:rFonts w:ascii="Times New Roman" w:hAnsi="Times New Roman" w:eastAsia="Songti SC"/>
          <w:color w:val="000000"/>
        </w:rPr>
        <w:t>、逐动作移除和候选数—成本曲线等对照。因此当前表格没有完全分离增强、候选覆盖、选择器与修正操作的贡献。</w:t>
      </w:r>
    </w:p>
    <w:p>
      <w:pPr>
        <w:pStyle w:val="Heading3"/>
      </w:pPr>
      <w:r>
        <w:t>4.7.2 验证器替换分析</w:t>
      </w:r>
    </w:p>
    <w:p>
      <w:pPr>
        <w:keepNext/>
        <w:ind w:firstLine="0"/>
        <w:jc w:val="center"/>
      </w:pPr>
      <w:r>
        <w:rPr>
          <w:rFonts w:ascii="Times New Roman" w:hAnsi="Times New Roman" w:eastAsia="Songti SC"/>
          <w:color w:val="000000"/>
          <w:sz w:val="22"/>
        </w:rPr>
        <w:t>表4-4 验证器替换原稿记录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验证器</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Qwen2.5-7B（默认）</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r>
        <w:rPr>
          <w:rFonts w:ascii="Times New Roman" w:hAnsi="Times New Roman" w:eastAsia="Songti SC"/>
          <w:color w:val="000000"/>
        </w:rPr>
        <w:t>按原稿记录，替换验证器后Relation-F1差值为-0.28个点，Top-1选择与默认验证器的一致率为94.2%。默认行100.0%是与自身比较的参照值，不是候选选择正确率；高模型间一致率也可能来自共同偏差，不能视为人工标注一致率。待核验R11：需说明一致率的分母、候选池是否固定、验证提示与解码配置，并以独立人工标注评估边判定的Precision、Recall及错误修改比例。</w:t>
      </w:r>
    </w:p>
    <w:p>
      <w:pPr>
        <w:pStyle w:val="Heading3"/>
      </w:pPr>
      <w:r>
        <w:t>4.7.3 Oracle上限</w:t>
      </w:r>
    </w:p>
    <w:p>
      <w:pPr>
        <w:keepNext/>
        <w:ind w:firstLine="0"/>
        <w:jc w:val="center"/>
      </w:pPr>
      <w:r>
        <w:rPr>
          <w:rFonts w:ascii="Times New Roman" w:hAnsi="Times New Roman" w:eastAsia="Songti SC"/>
          <w:color w:val="000000"/>
          <w:sz w:val="22"/>
        </w:rPr>
        <w:t>表4-5 Oracle条件结果原稿记录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条件</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757"/>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预测组件与当前选择器</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85.12±0.36</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67.24±0.34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Condition Oracle（金标准组件输入）</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78.42±0.35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+13.59</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r>
        <w:rPr>
          <w:rFonts w:ascii="Times New Roman" w:hAnsi="Times New Roman" w:eastAsia="Songti SC"/>
          <w:color w:val="000000"/>
        </w:rPr>
        <w:t>按表4-5记录，Candidate Oracle相对当前选择器的Relation-F1差值为2.41个点，Condition Oracle差值为13.59个点。前者只是给定候选池及Oracle选择准则下的经验诊断，不是整个任务的理论上限。后者同时改变关系模块的输入条件，可能引入分布变化，不能把13.59个点直接当作组件错误可被某一训练模块消除的量。</w:t>
      </w:r>
    </w:p>
    <w:p>
      <w:pPr>
        <w:ind w:firstLine="0"/>
      </w:pPr>
      <w:r>
        <w:rPr>
          <w:rFonts w:ascii="Times New Roman" w:hAnsi="Times New Roman" w:eastAsia="Songti SC"/>
          <w:color w:val="000000"/>
          <w:sz w:val="22"/>
        </w:rPr>
        <w:t>待核验R12：Candidate Oracle需说明逐文档优化哪个指标、如何处理并列以及先选择后汇总的口径。Output Oracle必须明确金标准替换的是组件、关系还是全部图：若只替换组件且保留预测关系，Relation-F1可以低于100；若全部输出均替换为同一金标准，则表中83.35不符合该定义。定义澄清前不用于量化某类误差贡献。</w:t>
      </w:r>
    </w:p>
    <w:p>
      <w:pPr>
        <w:pStyle w:val="Heading3"/>
      </w:pPr>
      <w:r>
        <w:t>4.7.4 修正行为统计</w:t>
      </w:r>
    </w:p>
    <w:p>
      <w:pPr>
        <w:keepNext/>
        <w:ind w:firstLine="0"/>
        <w:jc w:val="center"/>
      </w:pPr>
      <w:r>
        <w:rPr>
          <w:rFonts w:ascii="Times New Roman" w:hAnsi="Times New Roman" w:eastAsia="Songti SC"/>
          <w:color w:val="000000"/>
          <w:sz w:val="22"/>
        </w:rPr>
        <w:t>表4-6 修正行为原稿记录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231"/>
      </w:tblGrid>
      <w:tr>
        <w:trPr>
          <w:cantSplit/>
          <w:tblHeader/>
        </w:trPr>
        <w:tc>
          <w:tcPr>
            <w:tcW w:type="dxa" w:w="5669"/>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不连贯边比例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 → 5.8%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r>
        <w:rPr>
          <w:rFonts w:ascii="Times New Roman" w:hAnsi="Times New Roman" w:eastAsia="Songti SC"/>
          <w:color w:val="000000"/>
        </w:rPr>
        <w:t>平均轮数和动作数只描述原稿记录下的运行行为，不足以证明多数真实错误已被修复。LocalRerun的使用占比最高，也可能由动作生成顺序或触发策略决定，不能直接作为错误类别分布。RemoveEdge的收益必须结合关系Precision与Recall判断，以避免通过过度删边取得表面合法性。</w:t>
      </w:r>
    </w:p>
    <w:p>
      <w:pPr>
        <w:ind w:firstLine="0"/>
      </w:pPr>
      <w:r>
        <w:rPr>
          <w:rFonts w:ascii="Times New Roman" w:hAnsi="Times New Roman" w:eastAsia="Songti SC"/>
          <w:color w:val="000000"/>
          <w:sz w:val="22"/>
        </w:rPr>
        <w:t>待核验R13：需逐项声明分母及前后阶段，例如触发率按全部测试文档计算，动作占比按尝试还是接受动作计算，无效ID按引用还是文档计算。不连贯边比例来自验证器自身判断，与人工语义正确率不同；前后预测边数可能变化，应同时报告数量及比例。原稿75.3%到97.9%的合法率变化也需与6.2%的JSON错误、18.5%的无效ID进行同阶段核对。</w:t>
      </w:r>
    </w:p>
    <w:p>
      <w:pPr>
        <w:pStyle w:val="Heading2"/>
      </w:pPr>
      <w:r>
        <w:t>4.8 误差分析与局限</w:t>
      </w:r>
    </w:p>
    <w:p>
      <w:r>
        <w:rPr>
          <w:rFonts w:ascii="Times New Roman" w:hAnsi="Times New Roman" w:eastAsia="Songti SC"/>
          <w:color w:val="000000"/>
        </w:rPr>
        <w:t>根据动作定义，删除错误边和在固定组件集上重预测关系属于可尝试的恢复情形；实际成功率需由逐例前后图与金标准证明。原稿没有提供可定位的真实案例，因此本稿不把概括性描述当作成功案例。尤其“从候选池找回遗漏Claim”需要插入或联合替换机制，现有Replace定义不足以保证该能力。</w:t>
      </w:r>
    </w:p>
    <w:p>
      <w:r>
        <w:rPr>
          <w:rFonts w:ascii="Times New Roman" w:hAnsi="Times New Roman" w:eastAsia="Songti SC"/>
          <w:color w:val="000000"/>
        </w:rPr>
        <w:t>潜在失败情形包括所有候选均遗漏隐式组件、局部判断无法发现多跳矛盾、验证器错误拒绝有效边或接受表面相关边。这些是需检验的失效假设，不是已完成标注的误差占比。真实案例应同时展示原文、金标准、初始图、触发异常、每步动作、代理评分以及最终任务匹配结果，并纳入错误修改案例。</w:t>
      </w:r>
    </w:p>
    <w:p>
      <w:r>
        <w:rPr>
          <w:rFonts w:ascii="Times New Roman" w:hAnsi="Times New Roman" w:eastAsia="Songti SC"/>
          <w:color w:val="000000"/>
        </w:rPr>
        <w:t>MCR-BR还带来额外推理成本。</w:t>
      </w:r>
      <m:oMath>
        <m:r>
          <m:t xml:space="preserve">K</m:t>
        </m:r>
        <m:r>
          <m:t xml:space="preserve">=</m:t>
        </m:r>
        <m:r>
          <m:t xml:space="preserve">3</m:t>
        </m:r>
      </m:oMath>
      <w:r>
        <w:rPr>
          <w:rFonts w:ascii="Times New Roman" w:hAnsi="Times New Roman" w:eastAsia="Songti SC"/>
          <w:color w:val="000000"/>
        </w:rPr>
        <w:t>候选和逐边验证增加了并行计算量，局部修复则引入顺序解码。现有</w:t>
      </w:r>
      <m:oMath>
        <m:r>
          <m:t xml:space="preserve">T</m:t>
        </m:r>
        <m:r>
          <m:t xml:space="preserve">=</m:t>
        </m:r>
        <m:r>
          <m:t xml:space="preserve">3</m:t>
        </m:r>
      </m:oMath>
      <w:r>
        <w:rPr>
          <w:rFonts w:ascii="Times New Roman" w:hAnsi="Times New Roman" w:eastAsia="Songti SC"/>
          <w:color w:val="000000"/>
        </w:rPr>
        <w:t>和</w:t>
      </w:r>
      <m:oMath>
        <m:r>
          <m:t xml:space="preserve">M</m:t>
        </m:r>
        <m:r>
          <m:t xml:space="preserve">=</m:t>
        </m:r>
        <m:r>
          <m:t xml:space="preserve">2</m:t>
        </m:r>
      </m:oMath>
      <w:r>
        <w:rPr>
          <w:rFonts w:ascii="Times New Roman" w:hAnsi="Times New Roman" w:eastAsia="Songti SC"/>
          <w:color w:val="000000"/>
        </w:rPr>
        <w:t>仅限制轮数与接受动作数，尚未给出最坏调用成本上界。若有</w:t>
      </w:r>
      <m:oMath>
        <m:sSub>
          <m:e>
            <m:r>
              <m:t xml:space="preserve">A</m:t>
            </m:r>
          </m:e>
          <m:sub>
            <m:r>
              <m:t xml:space="preserve">t</m:t>
            </m:r>
            <m:r>
              <m:t xml:space="preserve">r</m:t>
            </m:r>
            <m:r>
              <m:t xml:space="preserve">y</m:t>
            </m:r>
          </m:sub>
        </m:sSub>
      </m:oMath>
      <w:r>
        <w:rPr>
          <w:rFonts w:ascii="Times New Roman" w:hAnsi="Times New Roman" w:eastAsia="Songti SC"/>
          <w:color w:val="000000"/>
        </w:rPr>
        <w:t>次动作尝试，每次还可能涉及多个边验证调用，实际开销取决于候选边数、验证批处理和缓存策略。应测量生成与验证的调用次数、输入输出token、端到端平均及P95时延、峰值显存，并在相同硬件上与Single-Pass比较。当前没有这些记录，不能定量宣称效率改善或成本已严格受控。</w:t>
      </w:r>
    </w:p>
    <w:p>
      <w:r>
        <w:rPr>
          <w:rFonts w:ascii="Times New Roman" w:hAnsi="Times New Roman" w:eastAsia="Songti SC"/>
          <w:color w:val="000000"/>
        </w:rPr>
        <w:t>新项目现有预算接口只说明后续能够记录并限制哪些计算，不提供上述历史成本数据，也不证明在目标GPU上的效率优势。</w:t>
      </w:r>
    </w:p>
    <w:p>
      <w:pPr>
        <w:pStyle w:val="Heading2"/>
      </w:pPr>
      <w:r>
        <w:t>4.9 本章小结</w:t>
      </w:r>
    </w:p>
    <w:p>
      <w:r>
        <w:rPr>
          <w:rFonts w:ascii="Times New Roman" w:hAnsi="Times New Roman" w:eastAsia="Songti SC"/>
          <w:color w:val="000000"/>
        </w:rPr>
        <w:t>本章以完整候选图为评估对象，将多候选选择与异常驱动局部修正连接起来，明确了异常、动作、接受条件和回退的关系。这是相对于一般多采样和自由文本自修正的具体设计差异，而不是对两类已有思想的首次提出。现有域内、消融、验证器替换和Oracle记录为分析完整配置提供依据；BR的净收益需在固定候选池下解释，额外计算的价值需经预算匹配比较。软合法性、非法初始图恢复和遗漏节点操作仍限定着当前方法的适用范围。</w:t>
      </w:r>
    </w:p>
    <w:p>
      <w:pPr>
        <w:pStyle w:val="Heading1"/>
      </w:pPr>
      <w:r>
        <w:t>第五章 粗粒度标签协议下的跨语料迁移分析</w:t>
      </w:r>
    </w:p>
    <w:p>
      <w:commentRangeStart w:id="8"/>
      <w:r>
        <w:rPr>
          <w:rFonts w:ascii="Times New Roman" w:hAnsi="Times New Roman" w:eastAsia="Songti SC"/>
          <w:color w:val="000000"/>
        </w:rPr>
        <w:t>本章在训练域与测试域不一致的条件下分析第三、四章方法的表现，作为两项方法贡献的适用性验证，而非第三项算法创新。与利用辅助语料联合训练的MT-AM[23]不同，本章声明的零样本设定仅使用源域训练监督。鉴于近期句子级论辩识别研究揭示了词汇线索与跨数据集泛化之间的风险[24]，本章特别区分领域变化、标签归约和评价口径，避免将域内正向结果直接外推到目标域。</w:t>
      </w:r>
      <w:commentRangeEnd w:id="8"/>
      <w:r>
        <w:commentReference w:id="8"/>
      </w:r>
    </w:p>
    <w:p>
      <w:pPr>
        <w:pStyle w:val="Heading2"/>
      </w:pPr>
      <w:r>
        <w:t>5.1 跨领域异构性</w:t>
      </w:r>
    </w:p>
    <w:p>
      <w:r>
        <w:rPr>
          <w:rFonts w:ascii="Times New Roman" w:hAnsi="Times New Roman" w:eastAsia="Songti SC"/>
          <w:color w:val="000000"/>
        </w:rPr>
        <w:t>AAEC与CDCP的差异至少包括三个层面。第一，AAEC由学生说服性作文构成，CDCP来自电子政务评论，文本长度、篇章组织和语言风格不同。第二，AAEC使用MajorClaim、Claim和Premise三级组件体系，CDCP使用Fact、Testimony、Value、Policy和Reference功能类型。第三，AAEC关系为Support/Attack并额外包含Claim stance，CDCP关系为Reason/Evidence且允许多父节点。因此，直接比较细粒度类型F1或关系标签F1会同时混入领域变化和标注规范变化。</w:t>
      </w:r>
    </w:p>
    <w:p>
      <w:pPr>
        <w:pStyle w:val="Heading2"/>
      </w:pPr>
      <w:r>
        <w:t>5.2 粗粒度标签与关系映射</w:t>
      </w:r>
    </w:p>
    <w:p>
      <w:r>
        <w:rPr>
          <w:rFonts w:ascii="Times New Roman" w:hAnsi="Times New Roman" w:eastAsia="Songti SC"/>
          <w:color w:val="000000"/>
        </w:rPr>
        <w:t>组件映射函数</w:t>
      </w:r>
      <m:oMath>
        <m:r>
          <m:t xml:space="preserve">φ</m:t>
        </m:r>
        <m:r>
          <m:t xml:space="preserve">:</m:t>
        </m:r>
        <m:sSub>
          <m:e>
            <m:r>
              <m:t xml:space="preserve">𝒯</m:t>
            </m:r>
          </m:e>
          <m:sub>
            <m:r>
              <m:t xml:space="preserve">s</m:t>
            </m:r>
            <m:r>
              <m:t xml:space="preserve">r</m:t>
            </m:r>
            <m:r>
              <m:t xml:space="preserve">c</m:t>
            </m:r>
          </m:sub>
        </m:sSub>
        <m:r>
          <m:t xml:space="preserve">∪</m:t>
        </m:r>
        <m:sSub>
          <m:e>
            <m:r>
              <m:t xml:space="preserve">𝒯</m:t>
            </m:r>
          </m:e>
          <m:sub>
            <m:r>
              <m:t xml:space="preserve">t</m:t>
            </m:r>
            <m:r>
              <m:t xml:space="preserve">g</m:t>
            </m:r>
            <m:r>
              <m:t xml:space="preserve">t</m:t>
            </m:r>
          </m:sub>
        </m:sSub>
        <m:r>
          <m:t xml:space="preserve">→</m:t>
        </m:r>
        <m:r>
          <m:rPr>
            <m:sty m:val="p"/>
          </m:rPr>
          <m:t xml:space="preserve">{</m:t>
        </m:r>
        <m:r>
          <m:t xml:space="preserve">C</m:t>
        </m:r>
        <m:r>
          <m:t xml:space="preserve">l</m:t>
        </m:r>
        <m:r>
          <m:t xml:space="preserve">a</m:t>
        </m:r>
        <m:r>
          <m:t xml:space="preserve">i</m:t>
        </m:r>
        <m:r>
          <m:t xml:space="preserve">m</m:t>
        </m:r>
        <m:r>
          <m:t xml:space="preserve">,</m:t>
        </m:r>
        <m:r>
          <m:t xml:space="preserve">P</m:t>
        </m:r>
        <m:r>
          <m:t xml:space="preserve">r</m:t>
        </m:r>
        <m:r>
          <m:t xml:space="preserve">e</m:t>
        </m:r>
        <m:r>
          <m:t xml:space="preserve">m</m:t>
        </m:r>
        <m:r>
          <m:t xml:space="preserve">i</m:t>
        </m:r>
        <m:r>
          <m:t xml:space="preserve">s</m:t>
        </m:r>
        <m:r>
          <m:t xml:space="preserve">e</m:t>
        </m:r>
        <m:r>
          <m:rPr>
            <m:sty m:val="p"/>
          </m:rPr>
          <m:t xml:space="preserve">}</m:t>
        </m:r>
      </m:oMath>
      <w:r>
        <w:rPr>
          <w:rFonts w:ascii="Times New Roman" w:hAnsi="Times New Roman" w:eastAsia="Songti SC"/>
          <w:color w:val="000000"/>
        </w:rPr>
        <w:t>定义如下：</w:t>
      </w:r>
    </w:p>
    <w:p>
      <w:pPr>
        <w:keepNext/>
        <w:ind w:firstLine="0"/>
        <w:jc w:val="center"/>
      </w:pPr>
      <w:r>
        <w:rPr>
          <w:rFonts w:ascii="Times New Roman" w:hAnsi="Times New Roman" w:eastAsia="Songti SC"/>
          <w:color w:val="000000"/>
          <w:sz w:val="22"/>
        </w:rPr>
        <w:t>表5-1 跨语料组件标签归约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r>
        <w:rPr>
          <w:rFonts w:ascii="Times New Roman" w:hAnsi="Times New Roman" w:eastAsia="Songti SC"/>
          <w:color w:val="000000"/>
        </w:rPr>
        <w:t>关系映射函数</w:t>
      </w:r>
      <m:oMath>
        <m:r>
          <m:t xml:space="preserve">ψ</m:t>
        </m:r>
      </m:oMath>
      <w:r>
        <w:rPr>
          <w:rFonts w:ascii="Times New Roman" w:hAnsi="Times New Roman" w:eastAsia="Songti SC"/>
          <w:color w:val="000000"/>
        </w:rPr>
        <w:t>将AAEC的Support/Attack和CDCP的Reason/Evidence统一为有向Link：</w:t>
      </w:r>
    </w:p>
    <w:p>
      <w:pPr>
        <w:keepLines/>
        <w:spacing w:line="288" w:lineRule="auto" w:before="100" w:after="180"/>
        <w:ind w:firstLine="0"/>
        <w:jc w:val="center"/>
      </w:pPr>
      <m:oMath>
        <m:r>
          <m:t xml:space="preserve">ψ</m:t>
        </m:r>
        <m:r>
          <m:t xml:space="preserve">(</m:t>
        </m:r>
        <m:r>
          <m:t xml:space="preserve">r</m:t>
        </m:r>
        <m:r>
          <m:t xml:space="preserve">)</m:t>
        </m:r>
        <m:r>
          <m:t xml:space="preserve">=</m:t>
        </m:r>
        <m:r>
          <m:t xml:space="preserve">L</m:t>
        </m:r>
        <m:r>
          <m:t xml:space="preserve">i</m:t>
        </m:r>
        <m:r>
          <m:t xml:space="preserve">n</m:t>
        </m:r>
        <m:r>
          <m:t xml:space="preserve">k</m:t>
        </m:r>
        <m:r>
          <m:t xml:space="preserve">,</m:t>
        </m:r>
        <m:r>
          <m:rPr>
            <m:sty m:val="p"/>
          </m:rPr>
          <m:t xml:space="preserve"> </m:t>
        </m:r>
        <m:r>
          <m:t xml:space="preserve">r</m:t>
        </m:r>
        <m:r>
          <m:t xml:space="preserve">≠</m:t>
        </m:r>
        <m:r>
          <m:t xml:space="preserve">N</m:t>
        </m:r>
        <m:r>
          <m:t xml:space="preserve">o</m:t>
        </m:r>
        <m:r>
          <m:t xml:space="preserve">n</m:t>
        </m:r>
        <m:r>
          <m:t xml:space="preserve">e</m:t>
        </m:r>
        <m:r>
          <m:t xml:space="preserve">.</m:t>
        </m:r>
      </m:oMath>
      <w:r>
        <w:rPr>
          <w:rFonts w:ascii="Times New Roman" w:hAnsi="Times New Roman" w:eastAsia="Songti SC"/>
          <w:color w:val="000000"/>
          <w:sz w:val="20"/>
        </w:rPr>
        <w:t xml:space="preserve">　（5-1）</w:t>
      </w:r>
    </w:p>
    <w:p>
      <w:r>
        <w:rPr>
          <w:rFonts w:ascii="Times New Roman" w:hAnsi="Times New Roman" w:eastAsia="Songti SC"/>
          <w:color w:val="000000"/>
        </w:rPr>
        <w:t>该协议保留组件角色的粗粒度差异和关系方向，但主动舍弃支持/攻击、理由/证据等细粒度语义。因此，Unlabeled Link-F1只能说明模型能否迁移“哪些组件应连接及连接方向”，不能证明细粒度关系分类已经实现跨域泛化。</w:t>
      </w:r>
    </w:p>
    <w:p>
      <w:pPr>
        <w:pStyle w:val="Heading2"/>
      </w:pPr>
      <w:r>
        <w:t>5.3 零样本迁移协议</w:t>
      </w:r>
    </w:p>
    <w:p>
      <w:r>
        <w:rPr>
          <w:rFonts w:ascii="Times New Roman" w:hAnsi="Times New Roman" w:eastAsia="Songti SC"/>
          <w:color w:val="000000"/>
        </w:rPr>
        <w:t>本章协议要求在AAEC训练集上拟合模型，并仅使用AAEC验证集选择检查点和超参数；迁移到CDCP时不使用目标域标注样本更新参数或选择阈值。原稿是否完全遵循该数据使用边界，仍需配置和日志核验。原稿对迁移时输出源标签还是目标标签没有提供可核验记录。新参考实现明确继续输出AAEC源标签，并只在评价阶段把预测与CDCP金标准分别映射为粗类型及有向Link；不向生成器提供目标域标注示例，也不切换为目标细粒度输出Schema。候选数、评分权重、完整性阈值和修正预算均沿用源域配置。评价采用：</w:t>
      </w:r>
    </w:p>
    <w:p>
      <w:pPr>
        <w:ind w:firstLine="0"/>
      </w:pPr>
      <w:r>
        <w:rPr>
          <w:rFonts w:ascii="Times New Roman" w:hAnsi="Times New Roman" w:eastAsia="Songti SC"/>
          <w:color w:val="000000"/>
        </w:rPr>
        <w:t xml:space="preserve">1. </w:t>
      </w:r>
      <w:r>
        <w:rPr>
          <w:rFonts w:ascii="Times New Roman" w:hAnsi="Times New Roman" w:eastAsia="Songti SC"/>
          <w:b/>
          <w:color w:val="000000"/>
        </w:rPr>
        <w:t>Coarse Component-F1</w:t>
      </w:r>
      <w:r>
        <w:rPr>
          <w:rFonts w:ascii="Times New Roman" w:hAnsi="Times New Roman" w:eastAsia="Songti SC"/>
          <w:color w:val="000000"/>
        </w:rPr>
        <w:t>：组件边界正确且映射后的Claim/Premise类型正确；</w:t>
      </w:r>
    </w:p>
    <w:p>
      <w:pPr>
        <w:ind w:firstLine="0"/>
      </w:pPr>
      <w:r>
        <w:rPr>
          <w:rFonts w:ascii="Times New Roman" w:hAnsi="Times New Roman" w:eastAsia="Songti SC"/>
          <w:color w:val="000000"/>
        </w:rPr>
        <w:t xml:space="preserve">2. </w:t>
      </w:r>
      <w:r>
        <w:rPr>
          <w:rFonts w:ascii="Times New Roman" w:hAnsi="Times New Roman" w:eastAsia="Songti SC"/>
          <w:b/>
          <w:color w:val="000000"/>
        </w:rPr>
        <w:t>Unlabeled Link-F1</w:t>
      </w:r>
      <w:r>
        <w:rPr>
          <w:rFonts w:ascii="Times New Roman" w:hAnsi="Times New Roman" w:eastAsia="Songti SC"/>
          <w:color w:val="000000"/>
        </w:rPr>
        <w:t>：源节点、目标节点和方向均正确，不区分Reason与Evidence。</w:t>
      </w:r>
    </w:p>
    <w:p>
      <w:commentRangeStart w:id="17"/>
      <w:r>
        <w:rPr>
          <w:rFonts w:ascii="Times New Roman" w:hAnsi="Times New Roman" w:eastAsia="Songti SC"/>
          <w:color w:val="000000"/>
        </w:rPr>
        <w:t>新实现把标签对齐限制在评价阶段的确定性映射，Link端点默认要求边界及粗类型一致；不使用目标测试结果调节阈值。源域Schema和图约束可能限制目标域输出，是需要评估的协议选择。所有指标基于预测组件计算；旧表是否遵循该新定义仍待R14核验。</w:t>
      </w:r>
      <w:commentRangeEnd w:id="17"/>
      <w:r>
        <w:commentReference w:id="17"/>
      </w:r>
    </w:p>
    <w:p>
      <w:pPr>
        <w:pStyle w:val="Heading2"/>
      </w:pPr>
      <w:r>
        <w:t>5.4 跨领域迁移结果</w:t>
      </w:r>
    </w:p>
    <w:p>
      <w:pPr>
        <w:keepNext/>
        <w:ind w:firstLine="0"/>
        <w:jc w:val="center"/>
      </w:pPr>
      <w:r>
        <w:rPr>
          <w:rFonts w:ascii="Times New Roman" w:hAnsi="Times New Roman" w:eastAsia="Songti SC"/>
          <w:color w:val="000000"/>
          <w:sz w:val="22"/>
        </w:rPr>
        <w:t>表5-2 AAEC到CDCP迁移结果原稿记录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Coarse Component-F1</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52.34±0.65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54.87±0.58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57.23±0.52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r>
        <w:rPr>
          <w:rFonts w:ascii="Times New Roman" w:hAnsi="Times New Roman" w:eastAsia="Songti SC"/>
          <w:color w:val="000000"/>
        </w:rPr>
        <w:t>按表5-2记录，Full相对FLAN T5-XXL的Coarse Component-F1和Unlabeled Link-F1差值分别为8.44和11.96个点，相对同骨干Single-Pass分别为5.91和9.79个点。两个指标的增幅不能直接用于错误归因；在未提供目标域错误分解时，不能断言收益主要来自连接碎片化或无效引用的减少。</w:t>
      </w:r>
    </w:p>
    <w:p>
      <w:pPr>
        <w:ind w:firstLine="0"/>
      </w:pPr>
      <w:r>
        <w:rPr>
          <w:rFonts w:ascii="Times New Roman" w:hAnsi="Times New Roman" w:eastAsia="Songti SC"/>
          <w:color w:val="000000"/>
        </w:rPr>
        <w:t>43.21的Link-F1与第四章AAEC域内64.83的Relation-F1使用不同标签口径，不能直接相减估计领域退化。要分离领域差异，应在源域与目标域都重新使用同一粗粒度组件映射、端点匹配和有向无标签连接脚本。本章目前只比较同一目标协议下各方法的记录。</w:t>
      </w:r>
    </w:p>
    <w:p>
      <w:pPr>
        <w:ind w:firstLine="0"/>
      </w:pPr>
      <w:r>
        <w:rPr>
          <w:rFonts w:ascii="Times New Roman" w:hAnsi="Times New Roman" w:eastAsia="Songti SC"/>
          <w:color w:val="000000"/>
          <w:sz w:val="22"/>
        </w:rPr>
        <w:t>待核验R14：需确认模型在迁移时输出源标签、目标标签还是粗标签，映射发生在生成前还是评价前；同时说明Link端点匹配是否包含粗类型。提供Schema定义不等于使用标注示例，但若使用目标域示例、开发标签或按目标测试表现调阈值，就不再满足本章声明的零样本协议。</w:t>
      </w:r>
    </w:p>
    <w:p>
      <w:pPr>
        <w:pStyle w:val="Heading2"/>
      </w:pPr>
      <w:r>
        <w:t>5.5 泛化来源与有效性威胁</w:t>
      </w:r>
    </w:p>
    <w:p>
      <w:r>
        <w:rPr>
          <w:rFonts w:ascii="Times New Roman" w:hAnsi="Times New Roman" w:eastAsia="Songti SC"/>
          <w:color w:val="000000"/>
        </w:rPr>
        <w:t>框架可能从三个方面改善迁移。其一，多候选组件集合保留了目标域中不确定的边界和类型假设；其二，跨度、引用和无环性检查不依赖具体主题；其三，局部重预测比整图重新生成更少破坏已经正确的目标域结构。不过，当前证据仍受到以下限制：</w:t>
      </w:r>
    </w:p>
    <w:p>
      <w:pPr>
        <w:ind w:firstLine="0"/>
      </w:pPr>
      <w:r>
        <w:rPr>
          <w:rFonts w:ascii="Times New Roman" w:hAnsi="Times New Roman" w:eastAsia="Songti SC"/>
          <w:color w:val="000000"/>
        </w:rPr>
        <w:t>1. 仅验证AAEC到CDCP单一迁移方向，尚不能覆盖医学、法律或多语言场景；</w:t>
      </w:r>
    </w:p>
    <w:p>
      <w:pPr>
        <w:ind w:firstLine="0"/>
      </w:pPr>
      <w:r>
        <w:rPr>
          <w:rFonts w:ascii="Times New Roman" w:hAnsi="Times New Roman" w:eastAsia="Songti SC"/>
          <w:color w:val="000000"/>
        </w:rPr>
        <w:t>2. Policy/Value到Claim、Fact/Testimony/Reference到Premise是基于功能角色的启发式归约，会损失部分语义；</w:t>
      </w:r>
    </w:p>
    <w:p>
      <w:pPr>
        <w:ind w:firstLine="0"/>
      </w:pPr>
      <w:r>
        <w:rPr>
          <w:rFonts w:ascii="Times New Roman" w:hAnsi="Times New Roman" w:eastAsia="Songti SC"/>
          <w:color w:val="000000"/>
        </w:rPr>
        <w:t>3. Unlabeled Link-F1不评价细粒度关系类型；</w:t>
      </w:r>
    </w:p>
    <w:p>
      <w:pPr>
        <w:ind w:firstLine="0"/>
      </w:pPr>
      <w:r>
        <w:rPr>
          <w:rFonts w:ascii="Times New Roman" w:hAnsi="Times New Roman" w:eastAsia="Songti SC"/>
          <w:color w:val="000000"/>
        </w:rPr>
        <w:t>4. 目标域模型可能受公开数据预训练污染影响；</w:t>
      </w:r>
    </w:p>
    <w:p>
      <w:pPr>
        <w:ind w:firstLine="0"/>
      </w:pPr>
      <w:r>
        <w:rPr>
          <w:rFonts w:ascii="Times New Roman" w:hAnsi="Times New Roman" w:eastAsia="Songti SC"/>
          <w:color w:val="000000"/>
        </w:rPr>
        <w:t>5. 验证器与生成器可能共享相似的预训练偏差。</w:t>
      </w:r>
    </w:p>
    <w:p>
      <w:r>
        <w:rPr>
          <w:rFonts w:ascii="Times New Roman" w:hAnsi="Times New Roman" w:eastAsia="Songti SC"/>
          <w:color w:val="000000"/>
        </w:rPr>
        <w:t>因此，本章将跨领域结果定位为特定协议下的适用性证据，而不是通用领域泛化能力的证明。还需关注Cue-aware分支是否依赖源域常见结论词；可在目标域按有无线索词分组报告性能，并比较关闭该分支时的变化。这是受近期泛化研究启发的待验证问题，不是已经完成的实验。增加AbstRCT等目标域、开展双向迁移和比较多种标签对齐策略，可进一步检验结论稳定性。</w:t>
      </w:r>
    </w:p>
    <w:p>
      <w:pPr>
        <w:pStyle w:val="Heading2"/>
      </w:pPr>
      <w:r>
        <w:t>5.6 本章小结</w:t>
      </w:r>
    </w:p>
    <w:p>
      <w:pPr>
        <w:keepLines/>
      </w:pPr>
      <w:r>
        <w:rPr>
          <w:rFonts w:ascii="Times New Roman" w:hAnsi="Times New Roman" w:eastAsia="Songti SC"/>
          <w:color w:val="000000"/>
        </w:rPr>
        <w:t>本章在明确标签映射和无标签连接评价范围的基础上，完成AAEC到CDCP的零样本迁移验证。原稿记录中MCR-BR的组件和连接指标高于列出的零样本基线，但该结论仅限同一映射和同一目标评价协议，且仍需核验数据使用边界。标签归约、单向迁移和预训练污染风险限制了对跨领域泛化的进一步解释。</w:t>
      </w:r>
    </w:p>
    <w:p>
      <w:pPr>
        <w:pStyle w:val="Heading1"/>
      </w:pPr>
      <w:r>
        <w:t>第六章 总结与展望</w:t>
      </w:r>
    </w:p>
    <w:p>
      <w:commentRangeStart w:id="9"/>
      <w:pPr>
        <w:pStyle w:val="Heading2"/>
      </w:pPr>
      <w:r>
        <w:t>6.1 工作总结</w:t>
      </w:r>
      <w:commentRangeEnd w:id="9"/>
      <w:r>
        <w:commentReference w:id="9"/>
      </w:r>
    </w:p>
    <w:p>
      <w:r>
        <w:rPr>
          <w:rFonts w:ascii="Times New Roman" w:hAnsi="Times New Roman" w:eastAsia="Songti SC"/>
          <w:color w:val="000000"/>
        </w:rPr>
        <w:t>本文围绕生成式端到端论辩挖掘中的组件识别错误及其向关系预测传播的问题，形成训练阶段的结论组件增强与推理阶段的论辩图修正两项互补设计。研究主线是改善关系恢复所依赖的组件候选，并利用候选图中的结构与语义反馈调整预测结果，而不是将通用微调、提示或多次采样本身作为创新。</w:t>
      </w:r>
    </w:p>
    <w:p>
      <w:r>
        <w:rPr>
          <w:rFonts w:ascii="Times New Roman" w:hAnsi="Times New Roman" w:eastAsia="Songti SC"/>
          <w:color w:val="000000"/>
        </w:rPr>
        <w:t>第一，设计面向结论类组件的局部论辩结构保持增强方法。以结论节点及其局部支撑或攻击邻域组织增强样本，在表达变化中保留组件类型和关系监督，并通过分层筛选控制样本质量；类型条件适配、线索感知提示及辅助目标构成配套的表示增强机制。该设计将结论表达的多样性与局部关系上下文相结合。本文同时分析了组件召回对可达关系集合的限制，以及保持局部拓扑不必然改善类别比例的条件。</w:t>
      </w:r>
    </w:p>
    <w:p>
      <w:r>
        <w:rPr>
          <w:rFonts w:ascii="Times New Roman" w:hAnsi="Times New Roman" w:eastAsia="Songti SC"/>
          <w:color w:val="000000"/>
        </w:rPr>
        <w:t>第二，提出基于完整候选图评估与异常驱动局部修正的MCR-BR方法。多个组件假设分别生成候选论辩图，图级评分用于选择初始结构，异常检测用于触发局部动作，接受检查与回退用于控制修改过程。与仅增加采样次数或自由文本自修正相比，该方法明确了候选对象、反馈粒度和修改边界。其当前性质限于给定前提下的修正步数限制和固定代理评分下的接受状态非下降，不包括全局最优、最终必然合法或任意遗漏节点恢复的保证。</w:t>
      </w:r>
    </w:p>
    <w:p>
      <w:r>
        <w:rPr>
          <w:rFonts w:ascii="Times New Roman" w:hAnsi="Times New Roman" w:eastAsia="Songti SC"/>
          <w:color w:val="000000"/>
        </w:rPr>
        <w:t>第三，在域内和规定的跨语料协议下分析方法表现。原稿记录中，Full在AAEC上的Component-F1和Relation-F1为83.71和64.83，在CDCP上为76.45和38.17；在AAEC到CDCP的粗粒度组件与有向无标签连接协议下，两项指标分别为60.78和43.21。上述结果保留为完整配置的实验记录，不将总增益分配给某一模块，也不将不同标签协议的分数直接相减解释领域退化。</w:t>
      </w:r>
    </w:p>
    <w:p>
      <w:r>
        <w:rPr>
          <w:rFonts w:ascii="Times New Roman" w:hAnsi="Times New Roman" w:eastAsia="Songti SC"/>
          <w:color w:val="000000"/>
        </w:rPr>
        <w:t>相关工作比较表明，生成式联合抽取、篇章结构引导和论辩候选判断已有相邻研究。本文可主张的具体贡献应落在结论中心局部结构保持增强，以及完整候选图评估与异常驱动局部修正的设计和实证分析上。当前工作仍需完成配置对应、增强独立消融和预算匹配验证，才能进一步确认两项方法各自的增量价值；跨语料结果则仅支持所采用迁移方向与标签归约下的适用性判断。</w:t>
      </w:r>
    </w:p>
    <w:p>
      <w:pPr>
        <w:pStyle w:val="Heading2"/>
      </w:pPr>
      <w:r>
        <w:t>6.2 当前不足与后续研究</w:t>
      </w:r>
    </w:p>
    <w:p>
      <w:r>
        <w:rPr>
          <w:rFonts w:ascii="Times New Roman" w:hAnsi="Times New Roman" w:eastAsia="Songti SC"/>
          <w:color w:val="000000"/>
        </w:rPr>
        <w:t>首先，实验可追溯性尚不完整。应优先绑定每张结果表与实际运行配置，解决第三章和第四章同名方法的分数差异，补齐评价脚本、数据划分、重复次数及“±”含义。这些工作属于现有结论的验证前提，不应全部放入长期展望。</w:t>
      </w:r>
    </w:p>
    <w:p>
      <w:r>
        <w:rPr>
          <w:rFonts w:ascii="Times New Roman" w:hAnsi="Times New Roman" w:eastAsia="Songti SC"/>
          <w:color w:val="000000"/>
        </w:rPr>
        <w:t>本轮已补充独立参考实现和配置说明，使重新实验具有代码起点；但软件测试不是方法有效性验证。在取得真实数据及模型、完成原始标注抽检并运行正式对照前，仍不能将新项目视为表格结果的复现证据。</w:t>
      </w:r>
    </w:p>
    <w:p>
      <w:r>
        <w:rPr>
          <w:rFonts w:ascii="Times New Roman" w:hAnsi="Times New Roman" w:eastAsia="Songti SC"/>
          <w:color w:val="000000"/>
        </w:rPr>
        <w:t>其次，训练增强的独立贡献尚未分离。后续应在等训练预算下比较无增强、普通改写和结构感知增强，报告类别数量、筛选通过率、人工抽检及Premise表现；条件适配器需在训练与推理可用信息一致的实现下重新核验。</w:t>
      </w:r>
    </w:p>
    <w:p>
      <w:r>
        <w:rPr>
          <w:rFonts w:ascii="Times New Roman" w:hAnsi="Times New Roman" w:eastAsia="Songti SC"/>
          <w:color w:val="000000"/>
        </w:rPr>
        <w:t>再次，图级修正需要同时控制错误修改与计算成本。除当前接受动作预算外，应定义被拒绝尝试的上限、验证缓存和失败返回策略。评价时应包含原本正确对象被破坏的比例，以及性能—时延—token开销的对照，避免只以代理分数或合法率衡量修正收益。</w:t>
      </w:r>
    </w:p>
    <w:p>
      <w:r>
        <w:rPr>
          <w:rFonts w:ascii="Times New Roman" w:hAnsi="Times New Roman" w:eastAsia="Songti SC"/>
          <w:color w:val="000000"/>
        </w:rPr>
        <w:t>最后，跨语料证据只覆盖一种归约和一个方向。双向迁移、更多目标语料、不同映射策略以及预训练污染审计可以检验结论的稳定性。在完成这些验证之前，中文、多语言及长篇专业文本仍属于待研究范围。</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t>来源</w:t>
        </w:r>
      </w:hyperlink>
    </w:p>
    <w:p>
      <w:pPr>
        <w:keepLines/>
        <w:spacing w:line="280" w:lineRule="exact" w:after="160"/>
        <w:ind w:hanging="454" w:left="454"/>
      </w:pPr>
      <w:r>
        <w:rPr>
          <w:rFonts w:ascii="Times New Roman" w:hAnsi="Times New Roman" w:eastAsia="Songti SC"/>
          <w:color w:val="000000"/>
          <w:sz w:val="21"/>
        </w:rPr>
        <w:t xml:space="preserve">[18]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8">
        <w:r>
          <w:t>来源</w:t>
        </w:r>
      </w:hyperlink>
    </w:p>
    <w:p>
      <w:pPr>
        <w:keepLines/>
        <w:spacing w:line="280" w:lineRule="exact" w:after="160"/>
        <w:ind w:hanging="454" w:left="454"/>
      </w:pPr>
      <w:r>
        <w:rPr>
          <w:rFonts w:ascii="Times New Roman" w:hAnsi="Times New Roman" w:eastAsia="Songti SC"/>
          <w:color w:val="000000"/>
          <w:sz w:val="21"/>
        </w:rPr>
        <w:t xml:space="preserve">[19] MADAAN A, TANDON N, GUPTA P, et al. Self-Refine: Iterative refinement with self-feedback[EB/OL]. arXiv:2303.17651v2, 2023[2026-09-13]. DOI: 10.48550/arXiv.2303.17651. </w:t>
      </w:r>
      <w:hyperlink r:id="rId29">
        <w:r>
          <w:t>来源</w:t>
        </w:r>
      </w:hyperlink>
    </w:p>
    <w:p>
      <w:pPr>
        <w:keepLines/>
        <w:spacing w:line="280" w:lineRule="exact" w:after="160"/>
        <w:ind w:hanging="454" w:left="454"/>
      </w:pPr>
      <w:r>
        <w:rPr>
          <w:rFonts w:ascii="Times New Roman" w:hAnsi="Times New Roman" w:eastAsia="Songti SC"/>
          <w:color w:val="000000"/>
          <w:sz w:val="21"/>
        </w:rPr>
        <w:t xml:space="preserve">[20] HUANG J, CHEN X, MISHRA S, et al. Large language models cannot self-correct reasoning yet[EB/OL]. arXiv:2310.01798v2, 2024[2026-09-13]. DOI: 10.48550/arXiv.2310.01798. </w:t>
      </w:r>
      <w:hyperlink r:id="rId30">
        <w:r>
          <w:t>来源</w:t>
        </w:r>
      </w:hyperlink>
    </w:p>
    <w:p>
      <w:pPr>
        <w:keepLines/>
        <w:spacing w:line="280" w:lineRule="exact" w:after="160"/>
        <w:ind w:hanging="454" w:left="454"/>
      </w:pPr>
      <w:r>
        <w:rPr>
          <w:rFonts w:ascii="Times New Roman" w:hAnsi="Times New Roman" w:eastAsia="Songti SC"/>
          <w:color w:val="000000"/>
          <w:sz w:val="21"/>
        </w:rPr>
        <w:t xml:space="preserve">[21] WANG X, WEI J, SCHUURMANS D, et al. Self-consistency improves chain of thought reasoning in language models[EB/OL]. arXiv:2203.11171v4, 2023[2026-09-13]. DOI: 10.48550/arXiv.2203.11171. </w:t>
      </w:r>
      <w:hyperlink r:id="rId31">
        <w:r>
          <w:t>来源</w:t>
        </w:r>
      </w:hyperlink>
    </w:p>
    <w:p>
      <w:pPr>
        <w:keepLines/>
        <w:spacing w:line="280" w:lineRule="exact" w:after="160"/>
        <w:ind w:hanging="454" w:left="454"/>
      </w:pPr>
      <w:r>
        <w:rPr>
          <w:rFonts w:ascii="Times New Roman" w:hAnsi="Times New Roman" w:eastAsia="Songti SC"/>
          <w:color w:val="000000"/>
          <w:sz w:val="21"/>
        </w:rPr>
        <w:t xml:space="preserve">[22]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2">
        <w:r>
          <w:t>来源</w:t>
        </w:r>
      </w:hyperlink>
    </w:p>
    <w:p>
      <w:pPr>
        <w:keepLines/>
        <w:spacing w:line="280" w:lineRule="exact" w:after="160"/>
        <w:ind w:hanging="454" w:left="454"/>
      </w:pPr>
      <w:r>
        <w:rPr>
          <w:rFonts w:ascii="Times New Roman" w:hAnsi="Times New Roman" w:eastAsia="Songti SC"/>
          <w:color w:val="000000"/>
          <w:sz w:val="21"/>
        </w:rPr>
        <w:t xml:space="preserve">[23] MORIO G, OZAKI H, MORISHITA T, et al. End-to-end argument mining with cross-corpora multi-task learning[J]. Transactions of the Association for Computational Linguistics, 2022, 10: 639–658. DOI: 10.1162/tacl_a_00481. </w:t>
      </w:r>
      <w:hyperlink r:id="rId33">
        <w:r>
          <w:t>来源</w:t>
        </w:r>
      </w:hyperlink>
    </w:p>
    <w:p>
      <w:pPr>
        <w:keepLines/>
        <w:spacing w:line="280" w:lineRule="exact" w:after="160"/>
        <w:ind w:hanging="454" w:left="454"/>
      </w:pPr>
      <w:r>
        <w:rPr>
          <w:rFonts w:ascii="Times New Roman" w:hAnsi="Times New Roman" w:eastAsia="Songti SC"/>
          <w:color w:val="000000"/>
          <w:sz w:val="21"/>
        </w:rPr>
        <w:t xml:space="preserve">[24]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4">
        <w:r>
          <w:t>来源</w:t>
        </w:r>
      </w:hyperlink>
    </w:p>
    <w:p>
      <w:pPr>
        <w:keepLines/>
        <w:spacing w:line="280" w:lineRule="exact" w:after="160"/>
        <w:ind w:hanging="454" w:left="454"/>
      </w:pPr>
      <w:r>
        <w:rPr>
          <w:rFonts w:ascii="Times New Roman" w:hAnsi="Times New Roman" w:eastAsia="Songti SC"/>
          <w:color w:val="000000"/>
          <w:sz w:val="21"/>
        </w:rPr>
        <w:t xml:space="preserve">[25]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5">
        <w:r>
          <w:t>来源</w:t>
        </w:r>
      </w:hyperlink>
    </w:p>
    <w:p>
      <w:pPr>
        <w:keepLines/>
        <w:spacing w:line="280" w:lineRule="exact" w:after="160"/>
        <w:ind w:hanging="454" w:left="454"/>
      </w:pPr>
      <w:r>
        <w:rPr>
          <w:rFonts w:ascii="Times New Roman" w:hAnsi="Times New Roman" w:eastAsia="Songti SC"/>
          <w:color w:val="000000"/>
          <w:sz w:val="21"/>
        </w:rPr>
        <w:t xml:space="preserve">[26]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6">
        <w:r>
          <w:t>来源</w:t>
        </w:r>
      </w:hyperlink>
    </w:p>
    <w:p>
      <w:pPr>
        <w:keepLines/>
        <w:spacing w:line="280" w:lineRule="exact" w:after="160"/>
        <w:ind w:hanging="454" w:left="454"/>
      </w:pPr>
      <w:r>
        <w:rPr>
          <w:rFonts w:ascii="Times New Roman" w:hAnsi="Times New Roman" w:eastAsia="Songti SC"/>
          <w:color w:val="000000"/>
          <w:sz w:val="21"/>
        </w:rPr>
        <w:t xml:space="preserve">[27] VASWANI A, SHAZEER N, PARMAR N, et al. Attention is all you need[EB/OL]. arXiv:1706.03762, 2017[2026-09-13]. DOI: 10.48550/arXiv.1706.03762. </w:t>
      </w:r>
      <w:hyperlink r:id="rId37">
        <w:r>
          <w:t>来源</w:t>
        </w:r>
      </w:hyperlink>
    </w:p>
    <w:p>
      <w:pPr>
        <w:keepLines/>
        <w:spacing w:line="280" w:lineRule="exact" w:after="160"/>
        <w:ind w:hanging="454" w:left="454"/>
      </w:pPr>
      <w:r>
        <w:rPr>
          <w:rFonts w:ascii="Times New Roman" w:hAnsi="Times New Roman" w:eastAsia="Songti SC"/>
          <w:color w:val="000000"/>
          <w:sz w:val="21"/>
        </w:rPr>
        <w:t xml:space="preserve">[28] QWEN TEAM. Qwen2.5 technical report[EB/OL]. arXiv:2412.15115, 2024[2026-09-13]. DOI: 10.48550/arXiv.2412.15115. </w:t>
      </w:r>
      <w:hyperlink r:id="rId38">
        <w:r>
          <w:t>来源</w:t>
        </w:r>
      </w:hyperlink>
    </w:p>
    <w:p>
      <w:pPr>
        <w:keepLines/>
        <w:spacing w:line="280" w:lineRule="exact" w:after="160"/>
        <w:ind w:hanging="454" w:left="454"/>
      </w:pPr>
      <w:r>
        <w:rPr>
          <w:rFonts w:ascii="Times New Roman" w:hAnsi="Times New Roman" w:eastAsia="Songti SC"/>
          <w:color w:val="000000"/>
          <w:sz w:val="21"/>
        </w:rPr>
        <w:t xml:space="preserve">[29] HU E J, SHEN Y, WALLIS P, et al. LoRA: Low-rank adaptation of large language models[EB/OL]. arXiv:2106.09685, 2021[2026-09-13]. DOI: 10.48550/arXiv.2106.09685. </w:t>
      </w:r>
      <w:hyperlink r:id="rId39">
        <w:r>
          <w:t>来源</w:t>
        </w:r>
      </w:hyperlink>
    </w:p>
    <w:p>
      <w:pPr>
        <w:keepLines/>
        <w:spacing w:line="280" w:lineRule="exact" w:after="160"/>
        <w:ind w:hanging="454" w:left="454"/>
      </w:pPr>
      <w:r>
        <w:rPr>
          <w:rFonts w:ascii="Times New Roman" w:hAnsi="Times New Roman" w:eastAsia="Songti SC"/>
          <w:color w:val="000000"/>
          <w:sz w:val="21"/>
        </w:rPr>
        <w:t xml:space="preserve">[30]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0">
        <w: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保留历史结果的14项未决事项。新项目已提供若干对应接口和测试，但不是原实验材料，因此下列事项不自动关闭。每项应以原始记录，或明确另列的新实验配置、日志、数据清单与结果解决，不能只删去标记。</w:t>
      </w:r>
    </w:p>
    <w:p>
      <w:pPr>
        <w:keepNext/>
        <w:spacing w:line="380" w:lineRule="exact"/>
        <w:ind w:firstLine="0"/>
        <w:jc w:val="center"/>
      </w:pPr>
      <w:r>
        <w:rPr>
          <w:rFonts w:ascii="Times New Roman" w:hAnsi="Times New Roman" w:eastAsia="Songti SC"/>
          <w:color w:val="000000"/>
          <w:sz w:val="22"/>
        </w:rPr>
        <w:t>表A-1 待核验事项及最低交付证据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005"/>
        <w:gridCol w:w="5046"/>
      </w:tblGrid>
      <w:tr>
        <w:trPr>
          <w:cantSplit/>
          <w:tblHeader/>
        </w:trPr>
        <w:tc>
          <w:tcPr>
            <w:tcW w:type="dxa" w:w="850"/>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位置与事项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所需证据</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3.1 类别分布</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固定训练划分的类型计数、跨度长度及增强前后IR</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3.2 增强流程</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模型与提示版本、生成及筛选计数、数据混合和跨度回填实现</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字段顺序、首token处理、训练与推理门控轨迹、参数预算</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提示与辅助目标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词典、插入位置、句子池化、损失mask及归一化</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3.4 结果配置冲突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81.67与77.82、两处83.71各自对应的run ID</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4.2 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重叠消解规则、置信度与ID重映射、解析失败记录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4.3至4.4 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评价节点选择、结构角色判定、阈值与比较方向</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4.4 动作可执行性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前置条件、字段修改、组件插入是否存在、回退记录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实验配置</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划分ID、评价脚本、超参数、种子、重复数、硬件及统计量定义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基线与预算</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外部分类型来源、内部复现日志、相同预算比较</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提示、模型版本、固定候选池和人工边级评价</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选择指标、替换对象、端点匹配及汇总顺序</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统计分母、生成阶段、前后数量和尝试或接受动作定义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5.3至5.4 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输出标签空间、目标数据使用记录和统一评价脚本</w:t>
            </w:r>
          </w:p>
        </w:tc>
      </w:tr>
    </w:tbl>
    <w:p>
      <w:pPr>
        <w:spacing w:after="0" w:line="240" w:lineRule="auto"/>
      </w:pPr>
    </w:p>
    <w:p>
      <w:pPr>
        <w:spacing w:line="380" w:lineRule="exact"/>
      </w:pPr>
      <w:r>
        <w:rPr>
          <w:rFonts w:ascii="Times New Roman" w:hAnsi="Times New Roman" w:eastAsia="Songti SC"/>
          <w:color w:val="000000"/>
          <w:sz w:val="22"/>
        </w:rPr>
        <w:t>最小补实验顺序为：先复现同一Single-Pass和Full配置，再在固定候选池上比较序列概率、验证器评分和BR；其后完成增强独立消融、合法性与语义评分消融、等计算预算对比。验证器人工评价和跨域扩展应在评价脚本稳定后开展，以免重复标注和重跑。</w:t>
      </w:r>
    </w:p>
    <w:p>
      <w:pPr>
        <w:pStyle w:val="Heading1"/>
      </w:pPr>
      <w:r>
        <w:t>附录B 算法修订建议</w:t>
      </w:r>
    </w:p>
    <w:p>
      <w:pPr>
        <w:spacing w:line="380" w:lineRule="exact"/>
      </w:pPr>
      <w:r>
        <w:rPr>
          <w:rFonts w:ascii="Times New Roman" w:hAnsi="Times New Roman" w:eastAsia="Songti SC"/>
          <w:color w:val="000000"/>
          <w:sz w:val="22"/>
        </w:rPr>
        <w:t>本附录给出针对第四章逻辑缺口的可实验建议。新项目已提供合法优先选择选项、尝试/调用/token上限及逐次日志；没有实现非法中间状态的分阶段修复或Insert。所有建议均未使用原稿分数验证。</w:t>
      </w:r>
    </w:p>
    <w:p>
      <w:pPr>
        <w:pStyle w:val="Heading2"/>
      </w:pPr>
      <w:r>
        <w:t>B.1 合法候选优先与失败处理</w:t>
      </w:r>
    </w:p>
    <w:p>
      <w:pPr>
        <w:spacing w:line="380" w:lineRule="exact"/>
      </w:pPr>
      <w:r>
        <w:rPr>
          <w:rFonts w:ascii="Times New Roman" w:hAnsi="Times New Roman" w:eastAsia="Songti SC"/>
          <w:color w:val="000000"/>
          <w:sz w:val="22"/>
        </w:rPr>
        <w:t>可先对可解析候选执行确定性检查，在存在合法候选时仅对合法子集按语义与覆盖分数排序。若所有候选均不合法，应返回显式失败状态，或进入单独定义的合法化阶段，而不是继续宣称输出有硬合法性保证。保守删除和重新生成会改变召回与计算预算，必须作为独立配置评测。</w:t>
      </w:r>
    </w:p>
    <w:p>
      <w:pPr>
        <w:pStyle w:val="Heading2"/>
      </w:pPr>
      <w:r>
        <w:t>B.2 非法状态下的阶段性修复</w:t>
      </w:r>
    </w:p>
    <w:p>
      <w:pPr>
        <w:spacing w:line="380" w:lineRule="exact"/>
      </w:pPr>
      <w:r>
        <w:rPr>
          <w:rFonts w:ascii="Times New Roman" w:hAnsi="Times New Roman" w:eastAsia="Songti SC"/>
          <w:color w:val="000000"/>
          <w:sz w:val="22"/>
        </w:rPr>
        <w:t>若允许从非法图逐步恢复，可定义有限的违规计数并使用词典序目标，先降低确定性违规，再在合法集合内优化代理分数。该策略改变了当前“修改后全图立即合法”的接受条件，因此需要新的终止与回退说明。也可以把能够一起消除相关错误的操作定义为原子事务，但不应把任意多次修改包装为一次动作从而规避预算统计。</w:t>
      </w:r>
    </w:p>
    <w:p>
      <w:pPr>
        <w:pStyle w:val="Heading2"/>
      </w:pPr>
      <w:r>
        <w:t>B.3 节点补回与总调用预算</w:t>
      </w:r>
    </w:p>
    <w:p>
      <w:pPr>
        <w:spacing w:line="380" w:lineRule="exact"/>
      </w:pPr>
      <w:r>
        <w:rPr>
          <w:rFonts w:ascii="Times New Roman" w:hAnsi="Times New Roman" w:eastAsia="Songti SC"/>
          <w:color w:val="000000"/>
          <w:sz w:val="22"/>
        </w:rPr>
        <w:t>若希望补回遗漏Claim，应显式定义Insert或联合替换动作，说明新跨度来自哪个候选、如何消解重叠、如何更新ID以及哪些边需要重预测。若不增加该动作，则应保留当前方法不能一般性补回缺失节点的限制。</w:t>
      </w:r>
    </w:p>
    <w:p>
      <w:pPr>
        <w:spacing w:line="380" w:lineRule="exact"/>
      </w:pPr>
      <w:r>
        <w:rPr>
          <w:rFonts w:ascii="Times New Roman" w:hAnsi="Times New Roman" w:eastAsia="Songti SC"/>
          <w:color w:val="000000"/>
          <w:sz w:val="22"/>
        </w:rPr>
        <w:t>总预算可分别设置为最大动作尝试数、最大生成调用数、最大验证调用数和最大输出token数，并将所有被拒绝操作计入预算。新项目采用的默认值见4.4.3节，属于待验证的新工程上限，而不是对原实验的补填；最终仍应依据验证集性能—成本曲线选择。新增预算策略后，需要重新报告与基线在等预算下的结果。</w:t>
      </w:r>
    </w:p>
    <w:p>
      <w:pPr>
        <w:pStyle w:val="Heading2"/>
      </w:pPr>
      <w:r>
        <w:t>B.4 建议的可复现实验记录</w:t>
      </w:r>
    </w:p>
    <w:p>
      <w:pPr>
        <w:spacing w:line="380" w:lineRule="exact"/>
      </w:pPr>
      <w:r>
        <w:rPr>
          <w:rFonts w:ascii="Times New Roman" w:hAnsi="Times New Roman" w:eastAsia="Songti SC"/>
          <w:color w:val="000000"/>
          <w:sz w:val="22"/>
        </w:rPr>
        <w:t>每个测试文档可记录文档ID、检查点与提示哈希、候选原始输出、规范化结果、各分量评分、选中候选、触发异常、每次动作尝试与回退原因、调用及token消耗、最终预测。该记录有助于核验评分是否因验证器随机性变化，以及代理目标改善是否真正对应任务F1改善。</w:t>
      </w:r>
    </w:p>
    <w:p>
      <w:pPr>
        <w:pStyle w:val="Heading1"/>
      </w:pPr>
      <w:r>
        <w:t>附录C 修订与辅助工具使用说明</w:t>
      </w:r>
    </w:p>
    <w:p>
      <w:commentRangeStart w:id="10"/>
      <w:pPr>
        <w:spacing w:line="380" w:lineRule="exact"/>
      </w:pPr>
      <w:r>
        <w:rPr>
          <w:rFonts w:ascii="Times New Roman" w:hAnsi="Times New Roman" w:eastAsia="Songti SC"/>
          <w:color w:val="000000"/>
          <w:sz w:val="22"/>
        </w:rPr>
        <w:t>0914版在0913版基础上，参照academic-research-suite的论文修订、文献检索和引用核查要求，依据作者认可的贡献定位进行修改。辅助工作包括研究主线整理、近期公开文献核查、任务与评价边界比较、局部措辞修订、引用编号检查和Word排版，并保存逐段差异及修改说明。未运行训练实验，未生成人工标注结果，未将论文全文上传外部研究服务，未代替作者确认研究事实。当前遗留稿件缺少完整逐块路线图与裁决链，本轮使用可追溯局部补丁记录，不声称通过ARS全套逐块授权或研究完整性认证。作者应审阅修改，核对引用、实现和数据，并按学校及学院适用要求确认辅助工具披露方式。</w:t>
      </w:r>
      <w:commentRangeEnd w:id="10"/>
      <w:r>
        <w:commentReference w:id="10"/>
      </w:r>
    </w:p>
    <w:p>
      <w:pPr>
        <w:spacing w:line="380" w:lineRule="exact"/>
      </w:pPr>
      <w:r>
        <w:rPr>
          <w:rFonts w:ascii="Times New Roman" w:hAnsi="Times New Roman" w:eastAsia="Songti SC"/>
          <w:color w:val="000000"/>
          <w:sz w:val="22"/>
        </w:rPr>
        <w:t>原稿列出的作者阶段性成果及其发表状态尚缺可核验材料，本稿不将其认定为虚假，也不继续作“已发表”陈述。后续可依据论文首页、录用通知或出版社记录补充成果页。</w:t>
      </w:r>
    </w:p>
    <w:p>
      <w:pPr>
        <w:spacing w:line="380" w:lineRule="exact"/>
      </w:pPr>
      <w:r>
        <w:rPr>
          <w:rFonts w:ascii="Times New Roman" w:hAnsi="Times New Roman" w:eastAsia="Songti SC"/>
          <w:color w:val="000000"/>
          <w:sz w:val="22"/>
        </w:rPr>
        <w:t>0914-v2轮次在作者明确授权后新建实验代码，并完成构造数据与随机初始化小模型的前向、反向、短训练、保存和重载测试。上一段“未运行训练实验”对应0914文稿修订轮次；本轮运行的是软件测试，未进行真实语料上的正式模型训练、效能比较或人工标注。参考实现中新增的超参数与协议均有来源分级及代码记录；作者仍需审阅生成代码、核对理论定义并对最终研究事实负责。</w:t>
      </w:r>
    </w:p>
    <w:p>
      <w:pPr>
        <w:pStyle w:val="Heading1"/>
      </w:pPr>
      <w:r>
        <w:t>附录D 新参考实现与复现实验接口</w:t>
      </w:r>
    </w:p>
    <w:p>
      <w:pPr>
        <w:pStyle w:val="Heading2"/>
      </w:pPr>
      <w:r>
        <w:t>D.1 身份与配置来源</w:t>
      </w:r>
    </w:p>
    <w:p>
      <w:pPr>
        <w:spacing w:line="380" w:lineRule="exact"/>
      </w:pPr>
      <w:r>
        <w:rPr>
          <w:rFonts w:ascii="Times New Roman" w:hAnsi="Times New Roman" w:eastAsia="Songti SC"/>
          <w:color w:val="000000"/>
          <w:sz w:val="22"/>
        </w:rPr>
        <w:t>项目名为argument_mining_0914，实现标识为0914-reference-v1。其来源是本次依据论文进行的新开发，不是原实验仓库。项目含数据转换、精确匹配评价、训练与增强、五种推理策略、四类局部动作、19份具名配置及运行说明；不存在与旧表分数绑定的真实运行记录。表D-1中“沿用原稿取值”仅指文字取值一致，不代表原实验已经验证。</w:t>
      </w:r>
    </w:p>
    <w:p>
      <w:pPr>
        <w:keepNext/>
        <w:spacing w:line="380" w:lineRule="exact"/>
        <w:ind w:firstLine="0"/>
        <w:jc w:val="center"/>
      </w:pPr>
      <w:r>
        <w:rPr>
          <w:rFonts w:ascii="Times New Roman" w:hAnsi="Times New Roman" w:eastAsia="Songti SC"/>
          <w:color w:val="000000"/>
          <w:sz w:val="22"/>
        </w:rPr>
        <w:t>表D-1 新参考实现配置与证据来源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配置组</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新实现取值或规则</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来源及限制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骨干与核心参数</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Qwen2.5-7B-Instruct；r=16，alpha=32；m=4；辅助权重0.5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沿用原稿取值；本地未提供该模型权重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评分与修正</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权重0.4/0.4/0.2；K=3；T=3；M=2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沿用原稿取值；M计接受动作，不计总调用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训练优化</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AdamW；lr=0.0002；3轮；微批1、累积8；dev生成损失早停</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学习率、轮数、累积数及选择细则为本次新设；未运行正式训练</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目标层与随机性</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q_proj/v_proj；dropout=0.05；默认seed=17</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新实现选择；不填作旧实验种子或目标层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生成与长度</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temperature=0.7；top-p=0.9；单次最多1024新token；上下文8192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新实现选择；超长显式失败，不静默截断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设备与软件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具名训练配置为CUDA/bfloat16；Torch 2.8.0、Transformers 4.57.6</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目标GPU未验证；本机仅CPU小模型测试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总预算与缓存</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每文档24次动作尝试；128次调用；32768输出token</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新预算接口；复用候选生成成本仍计逻辑预算</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评价与划分</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显式train/dev/test ID；跨度与类型精确匹配micro-F1</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新评价协议；不能追认原表指标与划分</w:t>
            </w:r>
          </w:p>
        </w:tc>
      </w:tr>
    </w:tbl>
    <w:p>
      <w:pPr>
        <w:spacing w:after="0" w:line="240" w:lineRule="auto"/>
      </w:pPr>
    </w:p>
    <w:p>
      <w:pPr>
        <w:spacing w:line="380" w:lineRule="exact"/>
      </w:pPr>
      <w:r>
        <w:rPr>
          <w:rFonts w:ascii="Times New Roman" w:hAnsi="Times New Roman" w:eastAsia="Songti SC"/>
          <w:color w:val="000000"/>
          <w:sz w:val="22"/>
        </w:rPr>
        <w:t>默认训练数据为原始训练集，结构增强并不因使用名为Full的配置自动发生；需显式将增强后的train文件传入并记录哈希。模块配置和数据版本共同决定实验身份。更多取值、提示、句子切分、数据格式及动作字段见项目实现说明。</w:t>
      </w:r>
    </w:p>
    <w:p>
      <w:pPr>
        <w:pStyle w:val="Heading2"/>
      </w:pPr>
      <w:r>
        <w:t>D.2 输入输出与可追溯性</w:t>
      </w:r>
    </w:p>
    <w:p>
      <w:pPr>
        <w:spacing w:line="380" w:lineRule="exact"/>
      </w:pPr>
      <w:r>
        <w:rPr>
          <w:rFonts w:ascii="Times New Roman" w:hAnsi="Times New Roman" w:eastAsia="Songti SC"/>
          <w:color w:val="000000"/>
          <w:sz w:val="22"/>
        </w:rPr>
        <w:t>AAEC入口接受BRAT标注；stance属性不转换为Claim到MajorClaim的关系。CDCP入口接受显式组件偏移与Reason/Evidence区间边，多前提默认拒绝，只有选定expand选项才展开为二元边。该选项改变表示，需单列协议。转换器使用明确的Unicode评价分词与字符到token映射；分词不同于骨干子词切分，边界不精确对齐时拒绝。真实发布数据尚未导入，首次使用必须抽样检查转换后的原文、跨度及边，不能认为构造样例测试已经验证全部语料兼容性。</w:t>
      </w:r>
    </w:p>
    <w:p>
      <w:pPr>
        <w:spacing w:line="380" w:lineRule="exact"/>
      </w:pPr>
      <w:r>
        <w:rPr>
          <w:rFonts w:ascii="Times New Roman" w:hAnsi="Times New Roman" w:eastAsia="Songti SC"/>
          <w:color w:val="000000"/>
          <w:sz w:val="22"/>
        </w:rPr>
        <w:t>每次运行输出配置、代码、数据和模型身份哈希，训练记录验证集检查点选择，推理记录候选原始输出、评分、选择与修正历史、失败原因及预算。已有输出目录不会自动覆盖。候选缓存绑定文档和生成配置，支持同池比较；失效缓存不能作为复现实验输入。配置可设更新步数上限，实际更新量仍由日志确认。新多种子汇总以不同seed且相同非种子配置为必要条件，报告样本标准差，不自动给出统计显著性。</w:t>
      </w:r>
    </w:p>
    <w:p>
      <w:commentRangeStart w:id="18"/>
      <w:pPr>
        <w:pStyle w:val="Heading2"/>
      </w:pPr>
      <w:r>
        <w:t>D.3 当前验证范围与未完成工作</w:t>
      </w:r>
      <w:commentRangeEnd w:id="18"/>
      <w:r>
        <w:commentReference w:id="18"/>
      </w:r>
    </w:p>
    <w:p>
      <w:pPr>
        <w:spacing w:line="380" w:lineRule="exact"/>
      </w:pPr>
      <w:r>
        <w:rPr>
          <w:rFonts w:ascii="Times New Roman" w:hAnsi="Times New Roman" w:eastAsia="Songti SC"/>
          <w:color w:val="000000"/>
          <w:sz w:val="22"/>
        </w:rPr>
        <w:t>本轮55项自动测试全部通过、无跳过，覆盖坐标、标注转换构造样例、数据泄漏检查、重复预测与失败分母、因果门控、四类动作、缓存成本及预算等。随机初始化的小型Qwen结构验证了响应损失mask、梯度流、冻结骨干、一个优化步骤、短训练和检查点重载；这不是Qwen2.5-7B或真实数据上的效果验证。完整验证报告保存在项目validation目录，运行时间与软件版本亦被记录。</w:t>
      </w:r>
    </w:p>
    <w:p>
      <w:pPr>
        <w:spacing w:line="380" w:lineRule="exact"/>
      </w:pPr>
      <w:r>
        <w:rPr>
          <w:rFonts w:ascii="Times New Roman" w:hAnsi="Times New Roman" w:eastAsia="Songti SC"/>
          <w:color w:val="000000"/>
          <w:sz w:val="22"/>
        </w:rPr>
        <w:t>仍未完成真实数据训练和评价、外部基线复现、语法约束解码、Self-Refine、Llama验证器、金标准组件替换Oracle、Insert、分阶段非法状态修复，以及目标GPU的显存和时延测试。代码中逐token无缓存生成路径便于核验门控但较慢，不作为高性能部署方案。上述边界决定了本次只能交付“可测试的新实验起点”，不能据此确认创新收益、论文全部分数或送审资格。</w:t>
      </w:r>
    </w:p>
    <w:sectPr w:rsidR="00FC693F" w:rsidRPr="0006063C" w:rsidSect="00034616">
      <w:headerReference w:type="default" r:id="rId9"/>
      <w:footerReference w:type="default" r:id="rId10"/>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修订记录" w:date="2026-09-14T03:47:18Z">
    <w:p>
      <w:r>
        <w:t>0914修改：中英文摘要统一为训练阶段局部结构保持增强、推理阶段候选图评估与局部修正。保留现有实验数值，不将Full结果重复归因于某一模块。</w:t>
      </w:r>
    </w:p>
  </w:comment>
  <w:comment w:id="1" w:author="Codex 修订记录" w:date="2026-09-14T03:47:18Z">
    <w:p>
      <w:r>
        <w:t>0914修改：相关工作由五节调整为六节，增加9篇文献（8篇为2025—2026年），区分原始文本抽取、给定组件分类、话轮分割与系统演示。</w:t>
      </w:r>
    </w:p>
  </w:comment>
  <w:comment w:id="2" w:author="Codex 修订记录" w:date="2026-09-14T03:47:18Z">
    <w:p>
      <w:r>
        <w:t>0914修改：两项方法贡献加一项验证工作。LoRA、连续提示、辅助损失不各自作为独立创新；跨语料映射不称为新算法。</w:t>
      </w:r>
    </w:p>
  </w:comment>
  <w:comment w:id="3" w:author="Codex 修订记录" w:date="2026-09-14T03:47:18Z">
    <w:p>
      <w:r>
        <w:t>0914新增：两个阶段共享任务表示，但未定义验证器反馈反向传播的联合训练；明确固定训练配置与候选池的归因条件。</w:t>
      </w:r>
    </w:p>
  </w:comment>
  <w:comment w:id="4" w:author="Codex 修订记录" w:date="2026-09-14T03:47:18Z">
    <w:p>
      <w:r>
        <w:t>0914修改：第三章聚焦结论中心局部子图及监督保持机制，Adapter等作为配套模块；门控与增强配置仍需代码核验。</w:t>
      </w:r>
    </w:p>
  </w:comment>
  <w:comment w:id="5" w:author="Codex 修订记录" w:date="2026-09-14T03:47:18Z">
    <w:p>
      <w:r>
        <w:t>0914修改：补充DENIM及关联关键短语方法的相邻关系，避免将结构或线索利用作宽泛原创主张。</w:t>
      </w:r>
    </w:p>
  </w:comment>
  <w:comment w:id="6" w:author="Codex 修订记录" w:date="2026-09-14T03:47:18Z">
    <w:p>
      <w:r>
        <w:t>0914修改：第四章与创新点二同步；有界指轮数和接受动作限制，不代表全部模型调用上界，也不保证遗漏节点恢复。</w:t>
      </w:r>
    </w:p>
  </w:comment>
  <w:comment w:id="7" w:author="Codex 修订记录" w:date="2026-09-14T03:47:18Z">
    <w:p>
      <w:r>
        <w:t>0914新增：区分优先补做的同协议基线与只能作机制讨论的相邻研究。未向实验表格添加未经运行的新方法分数。</w:t>
      </w:r>
    </w:p>
  </w:comment>
  <w:comment w:id="8" w:author="Codex 修订记录" w:date="2026-09-14T03:47:18Z">
    <w:p>
      <w:r>
        <w:t>0914修改：第五章补入MT-AM与2025泛化研究，区分辅助语料训练和源域零样本迁移；映射表与实验数值保持不变。</w:t>
      </w:r>
    </w:p>
  </w:comment>
  <w:comment w:id="9" w:author="Codex 修订记录" w:date="2026-09-14T03:47:18Z">
    <w:p>
      <w:r>
        <w:t>0914修改：总结对应两项方法贡献和验证工作，保留独立消融、配置追踪及预算匹配的未决条件。</w:t>
      </w:r>
    </w:p>
  </w:comment>
  <w:comment w:id="10" w:author="Codex 修订记录" w:date="2026-09-14T03:47:18Z">
    <w:p>
      <w:r>
        <w:t>0914修改：更新辅助工具使用与修订可追溯性说明；未运行新实验，不声称完成ARS全套逐块授权或研究完整性认证。</w:t>
      </w:r>
    </w:p>
  </w:comment>
  <w:comment w:id="11" w:author="Codex 修订记录" w:date="2026-09-14T03:47:18Z">
    <w:p>
      <w:r>
        <w:t>0914-v2：原项目缺失，新增代码为参考实现，不是原结果复现。真实实验表不改动。</w:t>
      </w:r>
    </w:p>
  </w:comment>
  <w:comment w:id="12" w:author="Codex 修订记录" w:date="2026-09-14T03:47:18Z">
    <w:p>
      <w:r>
        <w:t>0914-v2：精确匹配与失败处理已编码；旧表评价口径仍未核实。重复预测不去重抬分，失败样本不移出分母。</w:t>
      </w:r>
    </w:p>
  </w:comment>
  <w:comment w:id="13" w:author="Codex 修订记录" w:date="2026-09-14T03:47:18Z">
    <w:p>
      <w:r>
        <w:t>0914-v2：门控只使用可见前缀；全局与专项LoRA共同存在。新实现通过小模型测试，但需重训后验证收益。</w:t>
      </w:r>
    </w:p>
  </w:comment>
  <w:comment w:id="14" w:author="Codex 修订记录" w:date="2026-09-14T03:47:18Z">
    <w:p>
      <w:r>
        <w:t>0914-v2：生成项和句子辅助项均改为均值以对应新代码。历史求和尺度未核实，不沿用旧分数验证新公式。</w:t>
      </w:r>
    </w:p>
  </w:comment>
  <w:comment w:id="15" w:author="Codex 修订记录" w:date="2026-09-14T03:47:18Z">
    <w:p>
      <w:r>
        <w:t>0914-v2：将接受数、尝试数、模型调用数和输出token预算分开记录；候选缓存仍计逻辑生成成本。</w:t>
      </w:r>
    </w:p>
  </w:comment>
  <w:comment w:id="16" w:author="Codex 修订记录" w:date="2026-09-14T03:47:18Z">
    <w:p>
      <w:r>
        <w:t>0914-v2：单次整图与单候选分阶段推理明确分开。81.67/77.82冲突不可仅凭新命名解决；保留R05。</w:t>
      </w:r>
    </w:p>
  </w:comment>
  <w:comment w:id="17" w:author="Codex 修订记录" w:date="2026-09-14T03:47:18Z">
    <w:p>
      <w:r>
        <w:t>0914-v2：新跨域协议继续输出AAEC源标签，评价时才映射粗标签；旧表是否相同仍需日志。</w:t>
      </w:r>
    </w:p>
  </w:comment>
  <w:comment w:id="18" w:author="Codex 修订记录" w:date="2026-09-14T03:47:18Z">
    <w:p>
      <w:r>
        <w:t>0914-v2：55项软件测试通过，包含随机小模型的短训练和重载；未运行真实数据、7B效果或GPU效率实验。</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0914-v2修订工作稿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3.emnlp-main.674/" TargetMode="External"/><Relationship Id="rId29" Type="http://schemas.openxmlformats.org/officeDocument/2006/relationships/hyperlink" Target="https://arxiv.org/abs/2303.17651v2" TargetMode="External"/><Relationship Id="rId30" Type="http://schemas.openxmlformats.org/officeDocument/2006/relationships/hyperlink" Target="https://arxiv.org/abs/2310.01798v2" TargetMode="External"/><Relationship Id="rId31" Type="http://schemas.openxmlformats.org/officeDocument/2006/relationships/hyperlink" Target="https://arxiv.org/abs/2203.11171v4" TargetMode="External"/><Relationship Id="rId32" Type="http://schemas.openxmlformats.org/officeDocument/2006/relationships/hyperlink" Target="https://aclanthology.org/2025.aimecon-main.13/" TargetMode="External"/><Relationship Id="rId33" Type="http://schemas.openxmlformats.org/officeDocument/2006/relationships/hyperlink" Target="https://aclanthology.org/2022.tacl-1.37/" TargetMode="External"/><Relationship Id="rId34" Type="http://schemas.openxmlformats.org/officeDocument/2006/relationships/hyperlink" Target="https://aclanthology.org/2025.acl-long.1164/" TargetMode="External"/><Relationship Id="rId35" Type="http://schemas.openxmlformats.org/officeDocument/2006/relationships/hyperlink" Target="https://aclanthology.org/2023.emnlp-main.582/" TargetMode="External"/><Relationship Id="rId36" Type="http://schemas.openxmlformats.org/officeDocument/2006/relationships/hyperlink" Target="https://aclanthology.org/2022.acl-long.162/" TargetMode="External"/><Relationship Id="rId37" Type="http://schemas.openxmlformats.org/officeDocument/2006/relationships/hyperlink" Target="https://arxiv.org/abs/1706.03762" TargetMode="External"/><Relationship Id="rId38" Type="http://schemas.openxmlformats.org/officeDocument/2006/relationships/hyperlink" Target="https://arxiv.org/abs/2412.15115" TargetMode="External"/><Relationship Id="rId39" Type="http://schemas.openxmlformats.org/officeDocument/2006/relationships/hyperlink" Target="https://arxiv.org/abs/2106.09685" TargetMode="External"/><Relationship Id="rId40" Type="http://schemas.openxmlformats.org/officeDocument/2006/relationships/hyperlink" Target="https://aclanthology.org/2021.emnlp-main.243/" TargetMode="External"/><Relationship Id="rId4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基于大语言模型的端到端论辩挖掘方法研究</dc:title>
  <dc:subject>0914-v2修订工作稿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