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基于大语言模型的端到端论辩挖掘方法研究"/>
    <w:p>
      <w:pPr>
        <w:pStyle w:val="Heading1"/>
      </w:pPr>
      <w:r>
        <w:t xml:space="preserve">基于大语言模型的端到端论辩挖掘方法研究</w:t>
      </w:r>
    </w:p>
    <w:bookmarkStart w:id="20" w:name="摘要"/>
    <w:p>
      <w:pPr>
        <w:pStyle w:val="Heading2"/>
      </w:pPr>
      <w:r>
        <w:t xml:space="preserve">摘要</w:t>
      </w:r>
    </w:p>
    <w:p>
      <w:pPr>
        <w:pStyle w:val="FirstParagraph"/>
      </w:pPr>
      <w:r>
        <w:t xml:space="preserve">论辩挖掘是计算论辩学领域的核心研究任务，旨在从非结构化自然语言文本中自动识别论辩组件及其逻辑关系，构建完整的论辩图谱结构。近年来，大语言模型的快速发展为端到端论辩挖掘任务带来了新的技术范式，通过生成式方法直接输出结构化的论辩图谱。然而，现有方法仍面临三个关键技术瓶颈：单次生成模式下的错误传播问题、结论类组件的长尾分布导致的提取瓶颈、以及缺乏主动回溯与修复机制。</w:t>
      </w:r>
    </w:p>
    <w:p>
      <w:pPr>
        <w:pStyle w:val="BodyText"/>
      </w:pPr>
      <w:r>
        <w:t xml:space="preserve">针对上述挑战，本文提出了一种面向端到端论辩挖掘的多候选评估与有界修正框架（MCR-BR）。本文的研究工作围绕三个核心方向展开：</w:t>
      </w:r>
    </w:p>
    <w:p>
      <w:pPr>
        <w:pStyle w:val="BodyText"/>
      </w:pPr>
      <w:r>
        <w:t xml:space="preserve">第一，聚焦于训练期的”节点”优化，提出融合大模型数据增强的结论性组件提取优化方法。通过基于大语言模型的结构感知数据增强策略扩充结论类组件的训练样本，设计Claim-specific Adapter和Cue-aware Soft Prompting表示增强机制，结合多目标训练策略，显著提升了结论类组件的提取准确率。实验结果表明，该方法在AAEC数据集上为MajorClaim和Claim分别带来了2.52分和2.21分的F1提升。</w:t>
      </w:r>
    </w:p>
    <w:p>
      <w:pPr>
        <w:pStyle w:val="BodyText"/>
      </w:pPr>
      <w:r>
        <w:t xml:space="preserve">第二，聚焦于推理期的”边”优化，提出基于多候选评估与有界修正的论辩图生成方法。通过多候选重排序（MCR）机制生成多个候选论辩图，设计综合评分函数从结构完整性、语义连贯性和逻辑有效性三个正交维度进行一致性评估。进一步设计有界修正（BR）算法，通过四种规则化修复操作主动修正结构异常。实验结果表明，该框架在AAEC数据集上达到了83.71的Component-F1和64.83的Relation-F1，有界修正机制将硬性结构错误从18.5%降至2.1%。</w:t>
      </w:r>
    </w:p>
    <w:p>
      <w:pPr>
        <w:pStyle w:val="BodyText"/>
      </w:pPr>
      <w:r>
        <w:t xml:space="preserve">第三，聚焦于模型的泛化性验证，系统分析了端到端论辩挖掘的跨领域泛化能力。通过设计粗粒度论辩图谱映射机制实现跨领域结构对齐，在AAEC→CDCP的零样本迁移实验中，完整框架在未标记连接预测上比基线提升了11.96个F1点，验证了所提框架的领域泛化能力。</w:t>
      </w:r>
    </w:p>
    <w:p>
      <w:pPr>
        <w:pStyle w:val="BodyText"/>
      </w:pPr>
      <w:r>
        <w:t xml:space="preserve">本文的主要学术贡献包括：（1）提出了从单次生成到结构恢复的范式转换；（2）设计了针对结论类组件的三位一体优化方案；（3）构建了具有计算预算约束的有界修正机制；（4）验证了框架的跨领域泛化能力。</w:t>
      </w:r>
    </w:p>
    <w:p>
      <w:pPr>
        <w:pStyle w:val="BodyText"/>
      </w:pPr>
      <w:r>
        <w:rPr>
          <w:bCs/>
          <w:b/>
        </w:rPr>
        <w:t xml:space="preserve">关键词</w:t>
      </w:r>
      <w:r>
        <w:t xml:space="preserve">：论辩挖掘；大语言模型；结构化生成；多候选重排序；推理时修正</w:t>
      </w:r>
    </w:p>
    <w:bookmarkEnd w:id="20"/>
    <w:bookmarkStart w:id="21" w:name="abstract"/>
    <w:p>
      <w:pPr>
        <w:pStyle w:val="Heading2"/>
      </w:pPr>
      <w:r>
        <w:t xml:space="preserve">Abstract</w:t>
      </w:r>
    </w:p>
    <w:p>
      <w:pPr>
        <w:pStyle w:val="FirstParagraph"/>
      </w:pPr>
      <w:r>
        <w:t xml:space="preserve">Argument mining is a core research task in computational argumentation, aiming to automatically identify argument components and their logical relations from unstructured natural language text to construct complete argument graph structures. In recent years, the rapid development of large language models has brought new technical paradigms for end-to-end argument mining, directly outputting structured argument graphs through generative methods. However, existing methods still face three key technical bottlenecks: error propagation in single-pass generation mode, extraction bottlenecks caused by long-tail distribution of conclusion-type components, and lack of active backtracking and repair mechanisms.</w:t>
      </w:r>
    </w:p>
    <w:p>
      <w:pPr>
        <w:pStyle w:val="BodyText"/>
      </w:pPr>
      <w:r>
        <w:t xml:space="preserve">To address these challenges, this thesis proposes a Multi-Candidate Reranking and Bounded Repair framework (MCR-BR) for end-to-end argument mining. The research work revolves around three core directions:</w:t>
      </w:r>
    </w:p>
    <w:p>
      <w:pPr>
        <w:pStyle w:val="BodyText"/>
      </w:pPr>
      <w:r>
        <w:t xml:space="preserve">First, focusing on</w:t>
      </w:r>
      <w:r>
        <w:t xml:space="preserve"> </w:t>
      </w:r>
      <w:r>
        <w:t xml:space="preserve">“</w:t>
      </w:r>
      <w:r>
        <w:t xml:space="preserve">node</w:t>
      </w:r>
      <w:r>
        <w:t xml:space="preserve">”</w:t>
      </w:r>
      <w:r>
        <w:t xml:space="preserve"> </w:t>
      </w:r>
      <w:r>
        <w:t xml:space="preserve">optimization during training, we propose a conclusion-type component extraction optimization method integrating large model data augmentation. Through structure-aware data augmentation strategies based on large language models to expand training samples of conclusion-type components, designing Claim-specific Adapter and Cue-aware Soft Prompting representation enhancement mechanisms, combined with multi-objective training strategies, significantly improving the extraction accuracy of conclusion-type components. Experimental results show that this method brings 2.52 and 2.21 F1 improvements for MajorClaim and Claim respectively on the AAEC dataset.</w:t>
      </w:r>
    </w:p>
    <w:p>
      <w:pPr>
        <w:pStyle w:val="BodyText"/>
      </w:pPr>
      <w:r>
        <w:t xml:space="preserve">Second, focusing on</w:t>
      </w:r>
      <w:r>
        <w:t xml:space="preserve"> </w:t>
      </w:r>
      <w:r>
        <w:t xml:space="preserve">“</w:t>
      </w:r>
      <w:r>
        <w:t xml:space="preserve">edge</w:t>
      </w:r>
      <w:r>
        <w:t xml:space="preserve">”</w:t>
      </w:r>
      <w:r>
        <w:t xml:space="preserve"> </w:t>
      </w:r>
      <w:r>
        <w:t xml:space="preserve">optimization during inference, we propose an argument graph generation method based on multi-candidate evaluation and bounded repair. Through the Multi-Candidate Reranking (MCR) mechanism to generate multiple candidate argument graphs, designing a composite scoring function for consistency evaluation from three orthogonal dimensions of structural completeness, semantic coherence, and logical validity. Further designing the Bounded Repair (BR) algorithm to actively correct structural anomalies through four regularized repair operations. Experimental results show that this framework achieves 83.71 Component-F1 and 64.83 Relation-F1 on the AAEC dataset, with the bounded repair mechanism reducing hard structural errors from 18.5% to 2.1%.</w:t>
      </w:r>
    </w:p>
    <w:p>
      <w:pPr>
        <w:pStyle w:val="BodyText"/>
      </w:pPr>
      <w:r>
        <w:t xml:space="preserve">Third, focusing on model generalization verification, we systematically analyze the cross-domain generalization capability of end-to-end argument mining. By designing a coarse-grained argument graph mapping mechanism for cross-domain structure alignment, in the zero-shot transfer experiment from AAEC to CDCP, the complete framework improves 11.96 F1 points over the baseline in unlabeled link prediction, validating the domain generalization capability of the proposed framework.</w:t>
      </w:r>
    </w:p>
    <w:p>
      <w:pPr>
        <w:pStyle w:val="BodyText"/>
      </w:pPr>
      <w:r>
        <w:t xml:space="preserve">The main academic contributions of this thesis include: (1) proposing a paradigm shift from single-pass generation to structural recovery; (2) designing a trinity optimization scheme for conclusion-type components; (3) constructing a bounded repair mechanism with computational budget constraints; (4) validating the cross-domain generalization capability of the framework.</w:t>
      </w:r>
    </w:p>
    <w:p>
      <w:pPr>
        <w:pStyle w:val="BodyText"/>
      </w:pPr>
      <w:r>
        <w:rPr>
          <w:bCs/>
          <w:b/>
        </w:rPr>
        <w:t xml:space="preserve">Keywords</w:t>
      </w:r>
      <w:r>
        <w:t xml:space="preserve">: Argument Mining; Large Language Models; Structured Generation; Multi-Candidate Reranking; Inference-time Repair</w:t>
      </w:r>
    </w:p>
    <w:bookmarkEnd w:id="21"/>
    <w:bookmarkStart w:id="42" w:name="第一章-绪论"/>
    <w:p>
      <w:pPr>
        <w:pStyle w:val="Heading2"/>
      </w:pPr>
      <w:r>
        <w:t xml:space="preserve">第一章 绪论</w:t>
      </w:r>
    </w:p>
    <w:bookmarkStart w:id="27" w:name="研究背景与意义"/>
    <w:p>
      <w:pPr>
        <w:pStyle w:val="Heading3"/>
      </w:pPr>
      <w:r>
        <w:t xml:space="preserve">1.1 研究背景与意义</w:t>
      </w:r>
    </w:p>
    <w:bookmarkStart w:id="22" w:name="计算论辩学的发展历程与学术价值"/>
    <w:p>
      <w:pPr>
        <w:pStyle w:val="Heading4"/>
      </w:pPr>
      <w:r>
        <w:t xml:space="preserve">1.1.1 计算论辩学的发展历程与学术价值</w:t>
      </w:r>
    </w:p>
    <w:p>
      <w:pPr>
        <w:pStyle w:val="FirstParagraph"/>
      </w:pPr>
      <w:r>
        <w:t xml:space="preserve">论辩（Argumentation）是人类理性思维和社会交流的核心活动，贯穿于学术讨论、法律诉讼、政策辩论和日常对话等各类场景[1]。论辩的本质在于通过提出主张、阐述理由、回应质疑的过程，建立起逻辑严密的论证结构，以达成说服、解释或共识的目的。对论辩的研究可追溯至古希腊时期的修辞学传统，亚里士多德在《修辞学》中系统阐述了说服的三种模式——逻辑（logos）、情感（pathos）和人格（ethos），奠定了西方论辩理论的哲学基础[2]。</w:t>
      </w:r>
    </w:p>
    <w:p>
      <w:pPr>
        <w:pStyle w:val="BodyText"/>
      </w:pPr>
      <w:r>
        <w:t xml:space="preserve">20世纪中叶，英国哲学家Stephen Toulmin在其开创性著作《论辩的使用》（The Uses of Argument, 1958）中提出了著名的Toulmin论辩模型，将论辩结构形式化为六个基本要素：主张（Claim）、数据（Data/Grounds）、保证（Warrant）、支撑（Backing）、限定词（Qualifier）和反驳（Rebuttal）[3]。这一模型突破了形式逻辑的局限，为分析实际论辩提供了可操作的框架，对法学、传播学、教育学等领域产生了深远影响。Toulmin模型的提出标志着论辩理论从纯粹的哲学思辨走向实践应用的转折点，为后续计算论辩学的发展奠定了理论基础。</w:t>
      </w:r>
    </w:p>
    <w:p>
      <w:pPr>
        <w:pStyle w:val="BodyText"/>
      </w:pPr>
      <w:r>
        <w:t xml:space="preserve">计算论辩学（Computational Argumentation）是人工智能与论辩理论交叉融合的新兴研究领域，旨在利用计算方法对论辩进行建模、分析、生成和评估[4]。该领域的研究可追溯至20世纪90年代的论辩框架（Argumentation Frameworks）研究，Dung在1995年提出的抽象论辩框架（Abstract Argumentation Frameworks）为形式化描述论辩中的攻击与支持关系提供了数学工具[5]。进入21世纪后，随着自然语言处理技术的快速发展，研究者开始关注如何从真实文本中自动提取论辩结构，论辩挖掘（Argument Mining）由此成为计算论辩学的核心研究任务。</w:t>
      </w:r>
    </w:p>
    <w:p>
      <w:pPr>
        <w:pStyle w:val="BodyText"/>
      </w:pPr>
      <w:r>
        <w:t xml:space="preserve">论辩挖掘的学术价值体现在多个层面。从理论角度看，论辩挖掘为研究人类论证推理的认知模式提供了实证数据支撑，有助于揭示不同领域、不同文化背景下论辩实践的共性规律与差异特征。从技术角度看，论辩挖掘是自然语言理解的高阶任务，需要综合运用命名实体识别、关系抽取、篇章分析、常识推理等多种技术，对推动NLP核心技术的突破具有重要意义。从应用角度看，论辩挖掘为构建智能论辩系统、辅助决策支持系统和教育评估系统提供了技术基础，具有广阔的应用前景。</w:t>
      </w:r>
    </w:p>
    <w:bookmarkEnd w:id="22"/>
    <w:bookmarkStart w:id="23" w:name="论辩挖掘的社会需求与应用前景"/>
    <w:p>
      <w:pPr>
        <w:pStyle w:val="Heading4"/>
      </w:pPr>
      <w:r>
        <w:t xml:space="preserve">1.1.2 论辩挖掘的社会需求与应用前景</w:t>
      </w:r>
    </w:p>
    <w:p>
      <w:pPr>
        <w:pStyle w:val="FirstParagraph"/>
      </w:pPr>
      <w:r>
        <w:t xml:space="preserve">随着互联网信息的爆炸式增长，海量的用户评论、学术文献、政策文件和社交媒体内容中蕴含着丰富的论证逻辑。如何从这些文本中高效、准确地提取论点及其逻辑支持关系，已成为自然语言处理领域的重要研究课题[6]。论辩挖掘技术的突破能够为多个关键领域提供智能化支撑。</w:t>
      </w:r>
    </w:p>
    <w:p>
      <w:pPr>
        <w:pStyle w:val="BodyText"/>
      </w:pPr>
      <w:r>
        <w:rPr>
          <w:bCs/>
          <w:b/>
        </w:rPr>
        <w:t xml:space="preserve">舆情分析与观点挖掘</w:t>
      </w:r>
      <w:r>
        <w:t xml:space="preserve">是论辩挖掘的重要应用场景之一。在社交媒体和在线论坛中，用户围绕热点话题展开辩论，表达不同的立场和观点。传统的情感分析仅能识别文本的情感倾向，而论辩挖掘能够深入分析用户观点的论证结构，识别核心主张、支撑证据和反驳论点，从而更准确地把握舆论的多元态势和深层逻辑[7]。例如，在公共政策讨论中，论辩挖掘可以帮助决策者全面了解公众对政策的支持与反对理由，为政策优化提供依据。</w:t>
      </w:r>
    </w:p>
    <w:p>
      <w:pPr>
        <w:pStyle w:val="BodyText"/>
      </w:pPr>
      <w:r>
        <w:rPr>
          <w:bCs/>
          <w:b/>
        </w:rPr>
        <w:t xml:space="preserve">法律推理与司法辅助</w:t>
      </w:r>
      <w:r>
        <w:t xml:space="preserve">是论辩挖掘的高价值应用领域。法律文书本质上是结构化的论辩文本，诉状、判决书和法律意见书都遵循”主张-证据-结论”的论证范式。论辩挖掘技术可以自动分析法律文书的论证结构，提取关键法律论点和证据引用，辅助律师进行案例检索和论证构建，支持法官进行判决推理和一致性检验[8]。近年来，法律人工智能（Legal AI）的快速发展使得论辩挖掘在法律领域的应用需求日益迫切。</w:t>
      </w:r>
    </w:p>
    <w:p>
      <w:pPr>
        <w:pStyle w:val="BodyText"/>
      </w:pPr>
      <w:r>
        <w:rPr>
          <w:bCs/>
          <w:b/>
        </w:rPr>
        <w:t xml:space="preserve">教育评估与写作辅助</w:t>
      </w:r>
      <w:r>
        <w:t xml:space="preserve">是论辩挖掘的另一重要应用方向。议论文写作是培养学生批判性思维能力的重要手段，而传统的作文评分主要依赖人工阅卷，效率低且标准不一。论辩挖掘技术可以自动分析学生作文的论证结构，评估论点的清晰度、论据的充分性和论证的逻辑性，为学生提供针对性的写作反馈[9]。德国达姆施塔特工业大学UKP实验室发布的AAEC数据集正是面向说服性论文的论辩挖掘任务，旨在支持教育评估应用[10]。</w:t>
      </w:r>
    </w:p>
    <w:p>
      <w:pPr>
        <w:pStyle w:val="BodyText"/>
      </w:pPr>
      <w:r>
        <w:rPr>
          <w:bCs/>
          <w:b/>
        </w:rPr>
        <w:t xml:space="preserve">科学论证评估与学术写作支持</w:t>
      </w:r>
      <w:r>
        <w:t xml:space="preserve">是论辩挖掘的前沿应用领域。科学论文通过系统的论证建立研究贡献的有效性，其论证质量直接影响论文的学术价值和可信度。论辩挖掘技术可以自动分析科学论文的论证结构，评估实验证据与结论主张之间的支撑关系，辅助审稿人进行论文评审，帮助作者改进论文的论证逻辑[11]。在医学文献领域，AbstRCT数据集专门针对临床研究摘要的论辩提取，支持循证医学的证据评估应用[12]。</w:t>
      </w:r>
    </w:p>
    <w:p>
      <w:pPr>
        <w:pStyle w:val="BodyText"/>
      </w:pPr>
      <w:r>
        <w:rPr>
          <w:bCs/>
          <w:b/>
        </w:rPr>
        <w:t xml:space="preserve">对话系统与智能辩论</w:t>
      </w:r>
      <w:r>
        <w:t xml:space="preserve">代表了论辩挖掘的创新应用前沿。随着对话式AI的发展，构建能够进行有效论辩的智能系统成为重要研究目标。IBM的Project Debater展示了AI系统参与人类辩论的能力，其核心技术之一便是论辩挖掘——从海量文本中检索与辩题相关的论点和证据[13]。未来，论辩挖掘有望支持更加智能的人机对话，使AI系统能够理解用户观点、提出反驳意见、给出建设性建议。</w:t>
      </w:r>
    </w:p>
    <w:bookmarkEnd w:id="23"/>
    <w:bookmarkStart w:id="24" w:name="论辩挖掘的任务定义与技术挑战"/>
    <w:p>
      <w:pPr>
        <w:pStyle w:val="Heading4"/>
      </w:pPr>
      <w:r>
        <w:t xml:space="preserve">1.1.3 论辩挖掘的任务定义与技术挑战</w:t>
      </w:r>
    </w:p>
    <w:p>
      <w:pPr>
        <w:pStyle w:val="FirstParagraph"/>
      </w:pPr>
      <w:r>
        <w:t xml:space="preserve">从任务定义来看，论辩挖掘要求系统联合完成两个紧密耦合的子任务：其一是</w:t>
      </w:r>
      <w:r>
        <w:rPr>
          <w:bCs/>
          <w:b/>
        </w:rPr>
        <w:t xml:space="preserve">论辩组件识别</w:t>
      </w:r>
      <w:r>
        <w:t xml:space="preserve">（Argument Component Identification），即从文本中定位并分类不同类型的论辩单元，如主要主张（MajorClaim）、次级主张（Claim）和支撑前提（Premise）；其二是</w:t>
      </w:r>
      <w:r>
        <w:rPr>
          <w:bCs/>
          <w:b/>
        </w:rPr>
        <w:t xml:space="preserve">论辩关系预测</w:t>
      </w:r>
      <w:r>
        <w:t xml:space="preserve">（Argument Relation Prediction），即判定组件之间的逻辑连接类型，常见的关系包括支持（Support）和攻击（Attack）[10]。最终，系统需要输出一个完整的论辩图谱（Argument Graph），该图谱通常被形式化为有向无环图（DAG），其中节点表示论辩组件，有向边表示修辞关系。</w:t>
      </w:r>
    </w:p>
    <w:p>
      <w:pPr>
        <w:pStyle w:val="BodyText"/>
      </w:pPr>
      <w:r>
        <w:t xml:space="preserve">论辩挖掘任务面临多重技术挑战，使其成为自然语言处理领域的难点问题。</w:t>
      </w:r>
    </w:p>
    <w:p>
      <w:pPr>
        <w:pStyle w:val="BodyText"/>
      </w:pPr>
      <w:r>
        <w:rPr>
          <w:bCs/>
          <w:b/>
        </w:rPr>
        <w:t xml:space="preserve">第一，组件边界识别的歧义性</w:t>
      </w:r>
      <w:r>
        <w:t xml:space="preserve">。论辩组件在文本中的边界往往不是显式标记的，一个句子可能同时包含主张和前提的成分，需要模型具备细粒度的语义理解能力才能准确切分。此外，论辩组件的长度变化较大，从单个词语到多个句子不等，增加了边界识别的复杂度[14]。</w:t>
      </w:r>
    </w:p>
    <w:p>
      <w:pPr>
        <w:pStyle w:val="BodyText"/>
      </w:pPr>
      <w:r>
        <w:rPr>
          <w:bCs/>
          <w:b/>
        </w:rPr>
        <w:t xml:space="preserve">第二，组件类型判定的语境依赖性</w:t>
      </w:r>
      <w:r>
        <w:t xml:space="preserve">。同一文本片段在不同的论证上下文中可能扮演不同的角色——它可能是某个主张的前提，同时又是另一个主张本身。组件类型的判定需要综合考虑局部语义特征和全局论证结构，这对模型的推理能力提出了较高要求[15]。</w:t>
      </w:r>
    </w:p>
    <w:p>
      <w:pPr>
        <w:pStyle w:val="BodyText"/>
      </w:pPr>
      <w:r>
        <w:rPr>
          <w:bCs/>
          <w:b/>
        </w:rPr>
        <w:t xml:space="preserve">第三，关系预测的隐式性与多样性</w:t>
      </w:r>
      <w:r>
        <w:t xml:space="preserve">。论辩关系通常是隐含的，文本中可能没有明确的连接词或信号词指示支持或攻击关系的存在。此外，支持和攻击关系可以通过多种语言表达方式实现，包括因果推理、类比论证、举例说明、反证法等，模型需要理解丰富的论证模式[16]。</w:t>
      </w:r>
    </w:p>
    <w:p>
      <w:pPr>
        <w:pStyle w:val="BodyText"/>
      </w:pPr>
      <w:r>
        <w:rPr>
          <w:bCs/>
          <w:b/>
        </w:rPr>
        <w:t xml:space="preserve">第四，图结构约束的满足性</w:t>
      </w:r>
      <w:r>
        <w:t xml:space="preserve">。论辩图必须满足有向无环图的结构约束，不能出现循环论证。在端到端生成范式下，模型需要在生成过程中隐式地维护这一约束，否则将产生无效的输出[17]。</w:t>
      </w:r>
    </w:p>
    <w:p>
      <w:pPr>
        <w:pStyle w:val="BodyText"/>
      </w:pPr>
      <w:r>
        <w:rPr>
          <w:bCs/>
          <w:b/>
        </w:rPr>
        <w:t xml:space="preserve">第五，子任务之间的紧密耦合性</w:t>
      </w:r>
      <w:r>
        <w:t xml:space="preserve">。组件识别和关系预测不是独立的任务，而是相互依赖、相互制约的。组件识别的错误会传播到关系预测，导致”悬空引用”或”遗漏连接”；反过来，关系结构的不完整也可能暗示组件识别的遗漏。这种耦合性使得流水线方法难以达到理想效果，而端到端方法则面临错误传播的风险[18]。</w:t>
      </w:r>
    </w:p>
    <w:bookmarkEnd w:id="24"/>
    <w:bookmarkStart w:id="25" w:name="大语言模型带来的技术范式转换"/>
    <w:p>
      <w:pPr>
        <w:pStyle w:val="Heading4"/>
      </w:pPr>
      <w:r>
        <w:t xml:space="preserve">1.1.4 大语言模型带来的技术范式转换</w:t>
      </w:r>
    </w:p>
    <w:p>
      <w:pPr>
        <w:pStyle w:val="FirstParagraph"/>
      </w:pPr>
      <w:r>
        <w:t xml:space="preserve">近年来，大语言模型（Large Language Models, LLM）的快速发展为论辩挖掘任务带来了新的技术范式。以GPT-4、Qwen、Llama为代表的生成式大模型展现出强大的语言理解和结构化输出能力，通过提示工程（Prompt Engineering）和少样本学习（Few-shot Learning），LLM能够直接生成包含组件标签和关系索引的JSON格式论辩结构[19]。相较于传统的基于BERT的序列标注方法和基于图神经网络的关系分类方法，生成式方法具有端到端建模的优势，能够在单次推理中同时完成组件提取和关系预测，避免了流水线架构中的误差累积问题[20]。</w:t>
      </w:r>
    </w:p>
    <w:p>
      <w:pPr>
        <w:pStyle w:val="BodyText"/>
      </w:pPr>
      <w:r>
        <w:t xml:space="preserve">指令微调（Instruction Tuning）技术的提出显著提升了LLM执行特定任务的能力。FLAN（Finetuned Language Models are Zero-shot Learners）等工作证明，通过在多样化的任务指令上进行微调，模型能够获得良好的零样本泛化能力[21]。InstructGPT进一步引入了人类反馈强化学习（RLHF），通过对齐人类偏好提升了生成内容的逻辑性与准确性[22]。这些技术为构建能够理解复杂任务指令、生成结构化输出的论辩挖掘系统奠定了基础。</w:t>
      </w:r>
    </w:p>
    <w:p>
      <w:pPr>
        <w:pStyle w:val="BodyText"/>
      </w:pPr>
      <w:r>
        <w:t xml:space="preserve">思维链（Chain-of-Thought, CoT）提示技术的引入进一步增强了LLM在复杂论辩理解任务上的表现[23]。通过引导模型模拟人类的推理过程——先识别核心论点，再分析证据支撑结构，最后验证逻辑连贯性——LLM能够在复杂文本中构建出层次分明的论辩图谱。CoT提示使模型能够将复杂的论辩分析任务分解为可管理的子步骤，在每个步骤中应用相关知识和推理能力，最终整合为完整的论辩结构[24]。</w:t>
      </w:r>
    </w:p>
    <w:p>
      <w:pPr>
        <w:pStyle w:val="BodyText"/>
      </w:pPr>
      <w:r>
        <w:t xml:space="preserve">约束解码（Constrained Decoding）技术通过在解码阶段对Token概率施加语法掩码，确保模型输出严格符合预定义的结构化模式，有效降低了格式错误率[25]。近期研究进一步提出了灵活高效的语法约束解码框架，能够在保证输出格式正确性的同时最小化对生成质量的影响[26]。这些技术使得LLM能够稳定地输出符合JSON、XML等结构化格式的论辩图谱表示。</w:t>
      </w:r>
    </w:p>
    <w:p>
      <w:pPr>
        <w:pStyle w:val="BodyText"/>
      </w:pPr>
      <w:r>
        <w:t xml:space="preserve">参数高效微调（Parameter-Efficient Fine-Tuning）方法为定制化论辩挖掘模型提供了高效途径。LoRA（Low-Rank Adaptation）通过在预训练权重旁注入可训练的低秩分解矩阵，在显著降低计算资源需求的同时保持与全参数微调相当的性能[27]。这使得研究者能够在有限的计算资源下，为特定领域的论辩挖掘任务定制高性能模型。</w:t>
      </w:r>
    </w:p>
    <w:bookmarkEnd w:id="25"/>
    <w:bookmarkStart w:id="26" w:name="当前方法的局限性与研究动机"/>
    <w:p>
      <w:pPr>
        <w:pStyle w:val="Heading4"/>
      </w:pPr>
      <w:r>
        <w:t xml:space="preserve">1.1.5 当前方法的局限性与研究动机</w:t>
      </w:r>
    </w:p>
    <w:p>
      <w:pPr>
        <w:pStyle w:val="FirstParagraph"/>
      </w:pPr>
      <w:r>
        <w:t xml:space="preserve">尽管大语言模型在端到端论辩挖掘任务上展现出巨大潜力，现有方法仍面临三个关键技术瓶颈，这也构成了本研究的核心动机。</w:t>
      </w:r>
    </w:p>
    <w:p>
      <w:pPr>
        <w:pStyle w:val="BodyText"/>
      </w:pPr>
      <w:r>
        <w:rPr>
          <w:bCs/>
          <w:b/>
        </w:rPr>
        <w:t xml:space="preserve">第一，单次生成模式下的错误传播问题</w:t>
      </w:r>
      <w:r>
        <w:t xml:space="preserve">。当前主流的LLM论辩挖掘方法采用单次生成（Single-Pass Generation）范式，即模型在一次前向推理中输出完整的论辩图结构。然而，由于论辩挖掘的子任务之间存在内在的紧密耦合性，上游组件提取的错误会通过”多米诺骨牌效应”传播至下游关系预测[18]。具体而言，当模型遗漏一个关键的主张组件时，所有指向该主张的支持关系都将成为”悬空引用”，导致整个论证图的结构性破碎。本研究的实证分析表明，在约42.5%的文档中，单次生成会产生需要修正的结构异常。这种错误传播现象严重制约了生成式论辩挖掘方法的实际应用价值。</w:t>
      </w:r>
    </w:p>
    <w:p>
      <w:pPr>
        <w:pStyle w:val="BodyText"/>
      </w:pPr>
      <w:r>
        <w:rPr>
          <w:bCs/>
          <w:b/>
        </w:rPr>
        <w:t xml:space="preserve">第二，结论类组件的长尾分布导致提取瓶颈</w:t>
      </w:r>
      <w:r>
        <w:t xml:space="preserve">。在论辩文本中，作为论证结构”锚点”的结论类组件（MajorClaim和Claim）在数量上显著少于支撑性前提，呈现典型的长尾分布特性[28]。在AAEC数据集中，Premise类组件约占总组件数量的65%-70%，而MajorClaim仅占5%-8%。这种数据不平衡使得模型在训练过程中难以充分学习结论类组件的表示特征，进而影响下游关系预测的准确性。结论类组件的识别准确率直接决定了论辩图谱的完整性，因为一旦核心主张被遗漏，其下游的整个支撑结构都将无法正确构建。传统的重采样和重加权策略虽能部分缓解类别不平衡问题，但无法从根本上解决结论类组件表示学习不足的困境。</w:t>
      </w:r>
    </w:p>
    <w:p>
      <w:pPr>
        <w:pStyle w:val="BodyText"/>
      </w:pPr>
      <w:r>
        <w:rPr>
          <w:bCs/>
          <w:b/>
        </w:rPr>
        <w:t xml:space="preserve">第三，现有方法缺乏主动回溯与修复机制</w:t>
      </w:r>
      <w:r>
        <w:t xml:space="preserve">。现有的端到端系统本质上是”被动约束”式的——它们可以在后处理阶段过滤不合法的输出（如违反DAG约束的循环依赖），但无法主动利用下游结构异常来诊断和修复上游错误[29]。这种缺陷导致系统的输出质量高度依赖于首次生成的准确性，缺乏鲁棒的错误恢复能力。Self-Refine等迭代自精炼方法虽然引入了反馈循环机制，但在缺乏结构化验证信号的情况下，模型往往难以定位具体的错误位置并实施有效修复[30]。研究表明，LLM在缺乏外部反馈的情况下难以有效进行推理自纠错，这提示了设计结构化验证信号的重要性[31]。</w:t>
      </w:r>
    </w:p>
    <w:p>
      <w:pPr>
        <w:pStyle w:val="BodyText"/>
      </w:pPr>
      <w:r>
        <w:t xml:space="preserve">基于上述分析，本研究旨在突破大语言模型在端到端论辩挖掘任务中的性能瓶颈，通过融合数据增强、多候选评估和推理时结构修复等技术手段，构建一个更加鲁棒、准确的论辩图谱生成框架。本研究的意义不仅在于推进论辩挖掘领域的技术前沿，更在于为LLM结构化生成任务中的错误传播问题提供一种具有普适性的解决思路。</w:t>
      </w:r>
    </w:p>
    <w:bookmarkEnd w:id="26"/>
    <w:bookmarkEnd w:id="27"/>
    <w:bookmarkStart w:id="35" w:name="国内外研究现状"/>
    <w:p>
      <w:pPr>
        <w:pStyle w:val="Heading3"/>
      </w:pPr>
      <w:r>
        <w:t xml:space="preserve">1.2 国内外研究现状</w:t>
      </w:r>
    </w:p>
    <w:bookmarkStart w:id="28" w:name="论辩挖掘理论基础与经典模型"/>
    <w:p>
      <w:pPr>
        <w:pStyle w:val="Heading4"/>
      </w:pPr>
      <w:r>
        <w:t xml:space="preserve">1.2.1 论辩挖掘理论基础与经典模型</w:t>
      </w:r>
    </w:p>
    <w:p>
      <w:pPr>
        <w:pStyle w:val="FirstParagraph"/>
      </w:pPr>
      <w:r>
        <w:t xml:space="preserve">论辩挖掘的理论根基可追溯至哲学、修辞学和逻辑学的经典研究。Toulmin模型作为计算论辩学中最具影响力的微观结构模型，将论辩形式化为六个核心要素的组合[3]。主张（Claim）是论辩的核心论点，表达论辩者试图建立或辩护的立场；数据（Data/Grounds）是支撑主张的事实性证据；保证（Warrant）是连接数据与主张的推理规则；支撑（Backing）是为保证提供进一步支持的辅助信息；限定词（Qualifier）表达主张的确信程度；反驳（Rebuttal）指出主张不成立的例外条件。在计算建模中，研究者通常将Toulmin模型简化为组件识别与关系抽取两个核心任务，将六要素归约为主张-前提-关系的三元结构。</w:t>
      </w:r>
    </w:p>
    <w:p>
      <w:pPr>
        <w:pStyle w:val="BodyText"/>
      </w:pPr>
      <w:r>
        <w:t xml:space="preserve">计算论辩学经历了从基于规则、统计机器学习到深度学习的技术演进历程。早期研究侧重于特定领域的论辩识别，如法律文书和科学论文，主要采用手工设计的特征和规则匹配方法[32]。2010年代初期，支持向量机（SVM）和条件随机场（CRF）等统计机器学习方法被引入论辩挖掘，通过词汇、句法和篇章特征进行组件分类和边界识别[33]。随着深度学习的兴起，基于循环神经网络（RNN）和长短时记忆网络（LSTM）的方法逐渐成为主流，能够自动学习文本的上下文表示[34]。</w:t>
      </w:r>
    </w:p>
    <w:p>
      <w:pPr>
        <w:pStyle w:val="BodyText"/>
      </w:pPr>
      <w:r>
        <w:t xml:space="preserve">Lawrence和Reed在2019年对论辩挖掘领域进行了系统性综述，将任务定义为五个子任务：分段（Segmentation）、组件识别（Component Identification）、分类（Classification）、关系抽取（Relation Extraction）以及结构构建[35]。该综述强调了跨领域迁移和端到端模型的重要性，为后续研究指明了方向。近期，Li等人发布了大语言模型在论辩挖掘中应用的专题综述，系统梳理了LLM在组件识别、关系预测、论辩生成等任务上的研究进展[36]。</w:t>
      </w:r>
    </w:p>
    <w:bookmarkEnd w:id="28"/>
    <w:bookmarkStart w:id="29" w:name="国外论辩挖掘研究进展"/>
    <w:p>
      <w:pPr>
        <w:pStyle w:val="Heading4"/>
      </w:pPr>
      <w:r>
        <w:t xml:space="preserve">1.2.2 国外论辩挖掘研究进展</w:t>
      </w:r>
    </w:p>
    <w:p>
      <w:pPr>
        <w:pStyle w:val="FirstParagraph"/>
      </w:pPr>
      <w:r>
        <w:rPr>
          <w:bCs/>
          <w:b/>
        </w:rPr>
        <w:t xml:space="preserve">论辩组件识别</w:t>
      </w:r>
      <w:r>
        <w:t xml:space="preserve">是论辩挖掘的基础任务，其目标是从文本中定位论辩单元的边界并判定其类型。Transformer架构的提出标志着论辩组件识别技术的重要转折。基于BERT及其变体的方法通过自注意力机制捕捉长距离依赖关系，显著提升了组件识别的精度[37]。Stab和Gurevych在2017年提出的议论文分析框架奠定了现代神经论辩挖掘的基础，将组件识别建模为BIO序列标注任务，在AAEC数据集上取得了突破性进展[10]。Eger等人进一步提出了神经端到端论辩挖掘方法，利用预训练语言模型的强大表示能力实现组件和关系的联合预测[38]。近期研究探索了自注意力嵌入与论辩特定特征的融合方法，通过引入论证线索词和篇章结构信息增强模型的组件感知能力[37]。</w:t>
      </w:r>
    </w:p>
    <w:p>
      <w:pPr>
        <w:pStyle w:val="BodyText"/>
      </w:pPr>
      <w:r>
        <w:rPr>
          <w:bCs/>
          <w:b/>
        </w:rPr>
        <w:t xml:space="preserve">论辩关系预测</w:t>
      </w:r>
      <w:r>
        <w:t xml:space="preserve">旨在确定已识别组件之间的逻辑连接，是论辩挖掘的核心挑战之一。早期方法将关系预测视为组件对的二元分类问题，通过提取组件对的联合表示输入分类器进行判定。然而，这种方法忽略了论辩图的全局结构约束，容易产生不一致的预测结果。图神经网络（GNN）的引入为关系预测带来了新的技术路径，通过将论辩组件建模为图节点，利用消息传递机制聚合邻居信息，能够捕捉组件之间的高阶依赖关系[39]。Morio等人提出的双轴解析（Biaffine Parsing）方法借鉴句法依存分析的技术思路，通过双轴注意力机制同时建模组件的头部和尾部表示，在处理非树状论辩结构时表现出色，在CDCP等包含复杂多父节点结构的数据集上取得了显著性能提升[39]。</w:t>
      </w:r>
    </w:p>
    <w:p>
      <w:pPr>
        <w:pStyle w:val="BodyText"/>
      </w:pPr>
      <w:r>
        <w:rPr>
          <w:bCs/>
          <w:b/>
        </w:rPr>
        <w:t xml:space="preserve">端到端论辩图生成</w:t>
      </w:r>
      <w:r>
        <w:t xml:space="preserve">近年来成为研究热点，旨在克服流水线方法中的误差累积问题。通过将论辩图结构序列化为特定格式的文本，利用Text-to-Text模型（如T5、BART）直接生成包含组件标签和关系索引的结构化输出[20]。这种方法的优势在于能够在单次推理中联合优化组件提取和关系预测，实现端到端的结构学习。话语结构感知（Discourse Structure-aware）的生成方法代表了该领域的最新进展，通过在解码过程中加入前缀约束或结构引导，显著提升了复杂论辩图生成的完整性与逻辑一致性[40]。</w:t>
      </w:r>
    </w:p>
    <w:p>
      <w:pPr>
        <w:pStyle w:val="BodyText"/>
      </w:pPr>
      <w:r>
        <w:rPr>
          <w:bCs/>
          <w:b/>
        </w:rPr>
        <w:t xml:space="preserve">主要研究团队</w:t>
      </w:r>
      <w:r>
        <w:t xml:space="preserve">方面，德国达姆施塔特工业大学的UKP实验室（Gurevych团队）是论辩挖掘领域的领军力量，发布了AAEC等重要基准数据集，提出了多种经典方法[10]。康奈尔大学的Cardie团队开发了CDCP数据集，专注于电子政务评论领域的论辩分析[41]。Google DeepMind、CMU、ETH Zurich等机构在LLM与论辩挖掘的结合方面也有重要贡献。</w:t>
      </w:r>
    </w:p>
    <w:bookmarkEnd w:id="29"/>
    <w:bookmarkStart w:id="30" w:name="国内论辩挖掘研究现状"/>
    <w:p>
      <w:pPr>
        <w:pStyle w:val="Heading4"/>
      </w:pPr>
      <w:r>
        <w:t xml:space="preserve">1.2.3 国内论辩挖掘研究现状</w:t>
      </w:r>
    </w:p>
    <w:p>
      <w:pPr>
        <w:pStyle w:val="FirstParagraph"/>
      </w:pPr>
      <w:r>
        <w:t xml:space="preserve">国内在中文论辩挖掘领域取得了显著进展，特别是在教育评估和司法判决预测方面。NLPCC（自然语言处理与中文计算会议）等学术会议推动了中文论辩挖掘的发展。NLPCC 2024 Shared Task 5专门针对中文议论文开展论辩挖掘任务，发布了面向高中生作文的大规模标注数据集，涵盖论点识别、论据识别和论证关系预测等子任务[42]。该任务吸引了国内多所高校和企业参与，推动了中文论辩挖掘技术的发展。</w:t>
      </w:r>
    </w:p>
    <w:p>
      <w:pPr>
        <w:pStyle w:val="BodyText"/>
      </w:pPr>
      <w:r>
        <w:t xml:space="preserve">ORCHID数据集的发布填补了中文辩论对话摘要与立场检测的空白[43]。该数据集来源于真实的中文辩论节目，包含辩论对话的详细标注，支持立场检测、论辩对话摘要等任务。IAM数据集是面向集成式论辩挖掘的大规模语料库，整合了多种论辩挖掘子任务的标注，为中文论辩挖掘研究提供了丰富的数据资源[44]。</w:t>
      </w:r>
    </w:p>
    <w:p>
      <w:pPr>
        <w:pStyle w:val="BodyText"/>
      </w:pPr>
      <w:r>
        <w:t xml:space="preserve">华东师范大学、武汉大学、大连理工大学等机构在中文论辩分析应用中表现突出。研究者们探索了知识增强框架，利用事件规则引导中文作文中的细粒度论辩挖掘[45]。基于大语言模型的中文论辩挖掘方法也取得了初步进展，通过设计适合中文语言特点的提示模板，在零样本和少样本设置下展现出良好的性能[45]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数据集/任务名称</w:t>
            </w:r>
          </w:p>
        </w:tc>
        <w:tc>
          <w:tcPr/>
          <w:p>
            <w:pPr>
              <w:pStyle w:val="Compact"/>
              <w:jc w:val="left"/>
            </w:pPr>
            <w:r>
              <w:t xml:space="preserve">来源机构/会议</w:t>
            </w:r>
          </w:p>
        </w:tc>
        <w:tc>
          <w:tcPr/>
          <w:p>
            <w:pPr>
              <w:pStyle w:val="Compact"/>
              <w:jc w:val="left"/>
            </w:pPr>
            <w:r>
              <w:t xml:space="preserve">主要贡献</w:t>
            </w:r>
          </w:p>
        </w:tc>
        <w:tc>
          <w:tcPr/>
          <w:p>
            <w:pPr>
              <w:pStyle w:val="Compact"/>
              <w:jc w:val="left"/>
            </w:pPr>
            <w:r>
              <w:t xml:space="preserve">组件类型</w:t>
            </w:r>
          </w:p>
        </w:tc>
      </w:tr>
      <w:tr>
        <w:tc>
          <w:tcPr/>
          <w:p>
            <w:pPr>
              <w:pStyle w:val="Compact"/>
              <w:jc w:val="left"/>
            </w:pPr>
            <w:r>
              <w:t xml:space="preserve">NLPCC 2024 Task 5</w:t>
            </w:r>
          </w:p>
        </w:tc>
        <w:tc>
          <w:tcPr/>
          <w:p>
            <w:pPr>
              <w:pStyle w:val="Compact"/>
              <w:jc w:val="left"/>
            </w:pPr>
            <w:r>
              <w:t xml:space="preserve">NLPCC</w:t>
            </w:r>
          </w:p>
        </w:tc>
        <w:tc>
          <w:tcPr/>
          <w:p>
            <w:pPr>
              <w:pStyle w:val="Compact"/>
              <w:jc w:val="left"/>
            </w:pPr>
            <w:r>
              <w:t xml:space="preserve">提供高中生议论文论辩组件标注数据</w:t>
            </w:r>
          </w:p>
        </w:tc>
        <w:tc>
          <w:tcPr/>
          <w:p>
            <w:pPr>
              <w:pStyle w:val="Compact"/>
              <w:jc w:val="left"/>
            </w:pPr>
            <w:r>
              <w:t xml:space="preserve">论点、论据</w:t>
            </w:r>
          </w:p>
        </w:tc>
      </w:tr>
      <w:tr>
        <w:tc>
          <w:tcPr/>
          <w:p>
            <w:pPr>
              <w:pStyle w:val="Compact"/>
              <w:jc w:val="left"/>
            </w:pPr>
            <w:r>
              <w:t xml:space="preserve">ORCHID</w:t>
            </w:r>
          </w:p>
        </w:tc>
        <w:tc>
          <w:tcPr/>
          <w:p>
            <w:pPr>
              <w:pStyle w:val="Compact"/>
              <w:jc w:val="left"/>
            </w:pPr>
            <w:r>
              <w:t xml:space="preserve">EMNLP 2023</w:t>
            </w:r>
          </w:p>
        </w:tc>
        <w:tc>
          <w:tcPr/>
          <w:p>
            <w:pPr>
              <w:pStyle w:val="Compact"/>
              <w:jc w:val="left"/>
            </w:pPr>
            <w:r>
              <w:t xml:space="preserve">首个中文辩论对话摘要与立场检测数据集</w:t>
            </w:r>
          </w:p>
        </w:tc>
        <w:tc>
          <w:tcPr/>
          <w:p>
            <w:pPr>
              <w:pStyle w:val="Compact"/>
              <w:jc w:val="left"/>
            </w:pPr>
            <w:r>
              <w:t xml:space="preserve">立场、论据</w:t>
            </w:r>
          </w:p>
        </w:tc>
      </w:tr>
      <w:tr>
        <w:tc>
          <w:tcPr/>
          <w:p>
            <w:pPr>
              <w:pStyle w:val="Compact"/>
              <w:jc w:val="left"/>
            </w:pPr>
            <w:r>
              <w:t xml:space="preserve">IAM</w:t>
            </w:r>
          </w:p>
        </w:tc>
        <w:tc>
          <w:tcPr/>
          <w:p>
            <w:pPr>
              <w:pStyle w:val="Compact"/>
              <w:jc w:val="left"/>
            </w:pPr>
            <w:r>
              <w:t xml:space="preserve">ACL 2022</w:t>
            </w:r>
          </w:p>
        </w:tc>
        <w:tc>
          <w:tcPr/>
          <w:p>
            <w:pPr>
              <w:pStyle w:val="Compact"/>
              <w:jc w:val="left"/>
            </w:pPr>
            <w:r>
              <w:t xml:space="preserve">集成式论辩挖掘大规模数据集</w:t>
            </w:r>
          </w:p>
        </w:tc>
        <w:tc>
          <w:tcPr/>
          <w:p>
            <w:pPr>
              <w:pStyle w:val="Compact"/>
              <w:jc w:val="left"/>
            </w:pPr>
            <w:r>
              <w:t xml:space="preserve">多类型组件</w:t>
            </w:r>
          </w:p>
        </w:tc>
      </w:tr>
    </w:tbl>
    <w:bookmarkEnd w:id="30"/>
    <w:bookmarkStart w:id="31" w:name="大语言模型结构化生成研究"/>
    <w:p>
      <w:pPr>
        <w:pStyle w:val="Heading4"/>
      </w:pPr>
      <w:r>
        <w:t xml:space="preserve">1.2.4 大语言模型结构化生成研究</w:t>
      </w:r>
    </w:p>
    <w:p>
      <w:pPr>
        <w:pStyle w:val="FirstParagraph"/>
      </w:pPr>
      <w:r>
        <w:t xml:space="preserve">大语言模型在结构化信息抽取任务中展现了强大的零样本和少样本能力。通过精心设计的提示模板，LLM能够直接输出JSON、XML等结构化格式，为论辩挖掘提供了新的技术范式[46]。这种生成式方法的优势在于无需设计复杂的任务特定架构，通过统一的序列到序列框架即可处理多种结构化预测任务。</w:t>
      </w:r>
    </w:p>
    <w:p>
      <w:pPr>
        <w:pStyle w:val="BodyText"/>
      </w:pPr>
      <w:r>
        <w:t xml:space="preserve">指令微调技术的发展显著提升了LLM理解和执行复杂任务指令的能力。FLAN系列工作证明，通过在多样化的任务指令上进行微调，模型能够获得跨任务的泛化能力[21]。T0、OPT-IML等工作进一步验证了指令微调在零样本学习中的有效性。InstructGPT引入的RLHF技术通过对齐人类偏好，提升了生成内容的质量和可控性[22]。这些技术为构建能够理解论辩挖掘任务指令、生成结构化论辩图谱的系统奠定了基础。</w:t>
      </w:r>
    </w:p>
    <w:p>
      <w:pPr>
        <w:pStyle w:val="BodyText"/>
      </w:pPr>
      <w:r>
        <w:t xml:space="preserve">约束解码技术是确保LLM输出结构合法性的关键技术。语法约束解码（Grammar-constrained Decoding）通过在解码阶段对Token概率进行语法掩码处理，强制模型生成符合预定义Schema的结构化内容，有效降低了格式错误率[25]。Geng等人提出的无需微调的语法约束解码方法，能够在推理阶段即插即用地应用于任意LLM[25]。近期研究进一步提出了灵活高效的语法约束解码框架，在保证输出格式正确性的同时最小化对生成质量的影响[26]。</w:t>
      </w:r>
    </w:p>
    <w:p>
      <w:pPr>
        <w:pStyle w:val="BodyText"/>
      </w:pPr>
      <w:r>
        <w:t xml:space="preserve">思维链提示技术开创了LLM推理能力研究的新范式[23]。通过在提示中加入中间推理步骤的示例，模型能够学会分步骤解决复杂问题。在论辩挖掘任务中，CoT引导模型先识别核心论点，再逐步分析证据支撑结构，最后验证逻辑连贯性，在复杂论辩理解上达到甚至超过微调小模型的水平[24]。Self-Consistency解码策略通过采样多个推理路径并进行多数投票，进一步提升了CoT推理的可靠性[47]。</w:t>
      </w:r>
    </w:p>
    <w:bookmarkEnd w:id="31"/>
    <w:bookmarkStart w:id="32" w:name="数据增强与长尾分布处理研究"/>
    <w:p>
      <w:pPr>
        <w:pStyle w:val="Heading4"/>
      </w:pPr>
      <w:r>
        <w:t xml:space="preserve">1.2.5 数据增强与长尾分布处理研究</w:t>
      </w:r>
    </w:p>
    <w:p>
      <w:pPr>
        <w:pStyle w:val="FirstParagraph"/>
      </w:pPr>
      <w:r>
        <w:t xml:space="preserve">针对论辩挖掘中的数据稀缺和类别不平衡问题，研究者提出了多种数据增强策略。基于LLM的数据增强方法通过条件生成或改写，能够在保持标签一致性的前提下显著扩充训练数据规模[48]。Ding等人系统综述了LLM数据增强技术，指出生成式增强能够有效缓解低资源场景下的性能瓶颈[48]。Coda框架利用约束生成技术，在低资源场景下有效提升了模型性能[49]。</w:t>
      </w:r>
    </w:p>
    <w:p>
      <w:pPr>
        <w:pStyle w:val="BodyText"/>
      </w:pPr>
      <w:r>
        <w:t xml:space="preserve">长尾分布是论辩挖掘面临的另一个关键挑战。在典型的论辩文本中，攻击关系通常比支持关系稀疏，结论类组件比前提类组件稀少。深度长尾学习的相关综述系统梳理了处理长尾分布的策略，包括重采样（Re-sampling）、重加权（Re-weighting）和分布平衡损失函数（Distribution-balanced Loss）[50]。针对论辩挖掘中的长尾分布问题，标签特定特征增强方法通过对稀有类别进行定向生成，改善了模型在长尾类别上的表现[28]。结构感知增强方法（如SegMix）通过在保持文本结构逻辑的前提下进行片段替换，增强了模型对复杂结构的鲁棒性[51]。DEALT框架专门针对长尾文本分类问题，利用LLM的多样性增强能力改善稀有类别的表示学习[52]。</w:t>
      </w:r>
    </w:p>
    <w:bookmarkEnd w:id="32"/>
    <w:bookmarkStart w:id="33" w:name="推理时自纠错技术研究"/>
    <w:p>
      <w:pPr>
        <w:pStyle w:val="Heading4"/>
      </w:pPr>
      <w:r>
        <w:t xml:space="preserve">1.2.6 推理时自纠错技术研究</w:t>
      </w:r>
    </w:p>
    <w:p>
      <w:pPr>
        <w:pStyle w:val="FirstParagraph"/>
      </w:pPr>
      <w:r>
        <w:t xml:space="preserve">推理时自纠错（Self-Correction）是提升LLM输出质量的重要技术方向。Self-Refine理论提出了”生成-反馈-修正”的迭代精炼框架，通过模型自身或专门的评价模型提供反馈，指导后续的修正过程[30]。这种方法在结构化生成任务中尤为有效，能够显著降低语法错误率和逻辑不一致性。Madaan等人的工作表明，通过迭代的自我反馈和修正，LLM能够在多种任务上持续改进输出质量。</w:t>
      </w:r>
    </w:p>
    <w:p>
      <w:pPr>
        <w:pStyle w:val="BodyText"/>
      </w:pPr>
      <w:r>
        <w:t xml:space="preserve">然而，研究也揭示了LLM自纠错的局限性。Huang等人的研究表明，LLM在缺乏外部反馈的情况下难以有效进行推理自纠错，模型往往无法准确判断自身输出的正确性[31]。这一发现促使研究者设计结构化的验证机制来提供明确的反馈信号。基于置信度的自纠错方法通过评估模型对不同输出的置信度来指导修正过程，取得了一定效果[53]。过程奖励模型（Process Reward Model）通过对推理过程的每一步进行监督，显著提升了复杂任务的成功率[54]。</w:t>
      </w:r>
    </w:p>
    <w:p>
      <w:pPr>
        <w:pStyle w:val="BodyText"/>
      </w:pPr>
      <w:r>
        <w:t xml:space="preserve">多候选生成与结构化重排序机制为解决单次生成脆弱性提供了新思路。通过生成多个候选输出并使用独立的评分函数进行选择，能够降低对单次采样的依赖[55]。在论辩挖掘任务中，多候选生成结合结构化重排序机制，能够从多个潜在的论辩图中筛选出逻辑最严密、格式最规范的结果。这种方法将下游的结构一致性检查转化为候选评估信号，为推理时修正提供了结构化的反馈基础。</w:t>
      </w:r>
    </w:p>
    <w:bookmarkEnd w:id="33"/>
    <w:bookmarkStart w:id="34" w:name="主要基准数据集"/>
    <w:p>
      <w:pPr>
        <w:pStyle w:val="Heading4"/>
      </w:pPr>
      <w:r>
        <w:t xml:space="preserve">1.2.7 主要基准数据集</w:t>
      </w:r>
    </w:p>
    <w:p>
      <w:pPr>
        <w:pStyle w:val="FirstParagraph"/>
      </w:pPr>
      <w:r>
        <w:t xml:space="preserve">论辩挖掘领域的研究依赖于多个高质量的标注语料库，下表总结了当前主流的基准数据集：</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数据集</w:t>
            </w:r>
          </w:p>
        </w:tc>
        <w:tc>
          <w:tcPr/>
          <w:p>
            <w:pPr>
              <w:pStyle w:val="Compact"/>
              <w:jc w:val="left"/>
            </w:pPr>
            <w:r>
              <w:t xml:space="preserve">领域</w:t>
            </w:r>
          </w:p>
        </w:tc>
        <w:tc>
          <w:tcPr/>
          <w:p>
            <w:pPr>
              <w:pStyle w:val="Compact"/>
              <w:jc w:val="left"/>
            </w:pPr>
            <w:r>
              <w:t xml:space="preserve">组件类型</w:t>
            </w:r>
          </w:p>
        </w:tc>
        <w:tc>
          <w:tcPr/>
          <w:p>
            <w:pPr>
              <w:pStyle w:val="Compact"/>
              <w:jc w:val="left"/>
            </w:pPr>
            <w:r>
              <w:t xml:space="preserve">关系类型</w:t>
            </w:r>
          </w:p>
        </w:tc>
        <w:tc>
          <w:tcPr/>
          <w:p>
            <w:pPr>
              <w:pStyle w:val="Compact"/>
              <w:jc w:val="left"/>
            </w:pPr>
            <w:r>
              <w:t xml:space="preserve">主要特点</w:t>
            </w:r>
          </w:p>
        </w:tc>
      </w:tr>
      <w:tr>
        <w:tc>
          <w:tcPr/>
          <w:p>
            <w:pPr>
              <w:pStyle w:val="Compact"/>
              <w:jc w:val="left"/>
            </w:pPr>
            <w:r>
              <w:t xml:space="preserve">AAEC</w:t>
            </w:r>
          </w:p>
        </w:tc>
        <w:tc>
          <w:tcPr/>
          <w:p>
            <w:pPr>
              <w:pStyle w:val="Compact"/>
              <w:jc w:val="left"/>
            </w:pPr>
            <w:r>
              <w:t xml:space="preserve">说服性论文</w:t>
            </w:r>
          </w:p>
        </w:tc>
        <w:tc>
          <w:tcPr/>
          <w:p>
            <w:pPr>
              <w:pStyle w:val="Compact"/>
              <w:jc w:val="left"/>
            </w:pPr>
            <w:r>
              <w:t xml:space="preserve">MajorClaim,Claim,Premise</w:t>
            </w:r>
          </w:p>
        </w:tc>
        <w:tc>
          <w:tcPr/>
          <w:p>
            <w:pPr>
              <w:pStyle w:val="Compact"/>
              <w:jc w:val="left"/>
            </w:pPr>
            <w:r>
              <w:t xml:space="preserve">Support,Attack</w:t>
            </w:r>
          </w:p>
        </w:tc>
        <w:tc>
          <w:tcPr/>
          <w:p>
            <w:pPr>
              <w:pStyle w:val="Compact"/>
              <w:jc w:val="left"/>
            </w:pPr>
            <w:r>
              <w:t xml:space="preserve">文章级长文本，树状结构</w:t>
            </w:r>
          </w:p>
        </w:tc>
      </w:tr>
      <w:tr>
        <w:tc>
          <w:tcPr/>
          <w:p>
            <w:pPr>
              <w:pStyle w:val="Compact"/>
              <w:jc w:val="left"/>
            </w:pPr>
            <w:r>
              <w:t xml:space="preserve">CDCP</w:t>
            </w:r>
          </w:p>
        </w:tc>
        <w:tc>
          <w:tcPr/>
          <w:p>
            <w:pPr>
              <w:pStyle w:val="Compact"/>
              <w:jc w:val="left"/>
            </w:pPr>
            <w:r>
              <w:t xml:space="preserve">电子政务评论</w:t>
            </w:r>
          </w:p>
        </w:tc>
        <w:tc>
          <w:tcPr/>
          <w:p>
            <w:pPr>
              <w:pStyle w:val="Compact"/>
              <w:jc w:val="left"/>
            </w:pPr>
            <w:r>
              <w:t xml:space="preserve">Fact,Testimony,Value,Policy,Reference</w:t>
            </w:r>
          </w:p>
        </w:tc>
        <w:tc>
          <w:tcPr/>
          <w:p>
            <w:pPr>
              <w:pStyle w:val="Compact"/>
              <w:jc w:val="left"/>
            </w:pPr>
            <w:r>
              <w:t xml:space="preserve">多类型关系</w:t>
            </w:r>
          </w:p>
        </w:tc>
        <w:tc>
          <w:tcPr/>
          <w:p>
            <w:pPr>
              <w:pStyle w:val="Compact"/>
              <w:jc w:val="left"/>
            </w:pPr>
            <w:r>
              <w:t xml:space="preserve">非树状结构，多父节点</w:t>
            </w:r>
          </w:p>
        </w:tc>
      </w:tr>
      <w:tr>
        <w:tc>
          <w:tcPr/>
          <w:p>
            <w:pPr>
              <w:pStyle w:val="Compact"/>
              <w:jc w:val="left"/>
            </w:pPr>
            <w:r>
              <w:t xml:space="preserve">AbstRCT</w:t>
            </w:r>
          </w:p>
        </w:tc>
        <w:tc>
          <w:tcPr/>
          <w:p>
            <w:pPr>
              <w:pStyle w:val="Compact"/>
              <w:jc w:val="left"/>
            </w:pPr>
            <w:r>
              <w:t xml:space="preserve">医学摘要</w:t>
            </w:r>
          </w:p>
        </w:tc>
        <w:tc>
          <w:tcPr/>
          <w:p>
            <w:pPr>
              <w:pStyle w:val="Compact"/>
              <w:jc w:val="left"/>
            </w:pPr>
            <w:r>
              <w:t xml:space="preserve">Claim,Premise</w:t>
            </w:r>
          </w:p>
        </w:tc>
        <w:tc>
          <w:tcPr/>
          <w:p>
            <w:pPr>
              <w:pStyle w:val="Compact"/>
              <w:jc w:val="left"/>
            </w:pPr>
            <w:r>
              <w:t xml:space="preserve">Support,Attack</w:t>
            </w:r>
          </w:p>
        </w:tc>
        <w:tc>
          <w:tcPr/>
          <w:p>
            <w:pPr>
              <w:pStyle w:val="Compact"/>
              <w:jc w:val="left"/>
            </w:pPr>
            <w:r>
              <w:t xml:space="preserve">专业领域，证据导向</w:t>
            </w:r>
          </w:p>
        </w:tc>
      </w:tr>
    </w:tbl>
    <w:p>
      <w:pPr>
        <w:pStyle w:val="BodyText"/>
      </w:pPr>
      <w:r>
        <w:t xml:space="preserve">AAEC（Argument Annotated Essays Corpus）由德国达姆施塔特工业大学UKP实验室发布，是论辩挖掘领域最广泛使用的基准之一[10]。该数据集包含来自说服性论文的论辩结构标注，涵盖主要主张、次级主张和前提三种组件类型。论辩图呈现树状层次结构，主要主张位于顶层，通过支持和攻击关系与下层组件连接。</w:t>
      </w:r>
    </w:p>
    <w:p>
      <w:pPr>
        <w:pStyle w:val="BodyText"/>
      </w:pPr>
      <w:r>
        <w:t xml:space="preserve">CDCP（Cornell eRulemaking Corpus）由康奈尔大学开发，专注于电子政务评论领域的论辩分析[41]。其独特之处在于包含非树状的复杂论辩结构和丰富的证据类型分类，组件类型扩展为五种（Fact、Testimony、Value、Policy、Reference），允许多父节点关系的存在。这种复杂的结构特性使CDCP成为评估模型处理非树状论辩结构能力的重要测试集。</w:t>
      </w:r>
    </w:p>
    <w:p>
      <w:pPr>
        <w:pStyle w:val="BodyText"/>
      </w:pPr>
      <w:r>
        <w:t xml:space="preserve">AbstRCT数据集针对医学文献摘要中的论辩提取，强调证据与主张之间的支撑关系识别[12]。该数据集来源于随机对照试验（RCT）的摘要，要求模型识别临床声明及其支撑证据，对循证医学的智能化应用具有重要价值。</w:t>
      </w:r>
    </w:p>
    <w:bookmarkEnd w:id="34"/>
    <w:bookmarkEnd w:id="35"/>
    <w:bookmarkStart w:id="40" w:name="本文的主要研究内容与贡献"/>
    <w:p>
      <w:pPr>
        <w:pStyle w:val="Heading3"/>
      </w:pPr>
      <w:r>
        <w:t xml:space="preserve">1.3 本文的主要研究内容与贡献</w:t>
      </w:r>
    </w:p>
    <w:p>
      <w:pPr>
        <w:pStyle w:val="FirstParagraph"/>
      </w:pPr>
      <w:r>
        <w:t xml:space="preserve">针对上述研究背景和现有方法的局限性，本文提出了一种面向端到端论辩挖掘的多候选评估与有界修正框架（MCR-BR），系统性地解决了大语言模型在结构化论辩图生成中面临的错误传播、结论组件提取瓶颈和跨领域泛化等关键问题。本文的研究内容围绕三个核心工作展开，分别聚焦于训练期的节点优化、推理期的边优化以及模型的泛化性验证。</w:t>
      </w:r>
    </w:p>
    <w:bookmarkStart w:id="36" w:name="核心工作一融合大模型数据增强的结论性组件提取优化"/>
    <w:p>
      <w:pPr>
        <w:pStyle w:val="Heading4"/>
      </w:pPr>
      <w:r>
        <w:t xml:space="preserve">1.3.1 核心工作一：融合大模型数据增强的结论性组件提取优化</w:t>
      </w:r>
    </w:p>
    <w:p>
      <w:pPr>
        <w:pStyle w:val="FirstParagraph"/>
      </w:pPr>
      <w:r>
        <w:t xml:space="preserve">本文的第一项核心工作聚焦于训练期的”节点”优化，旨在提升结论类组件（MajorClaim和Claim）的提取能力。鉴于结论类组件在论辩文本中的长尾分布特性，本文提出了基于大语言模型的结构感知数据增强策略，通过LLM扩充结论类组件及其支撑结构的训练样本，缓解数据不平衡问题。该策略强调在保持论证逻辑结构完整性的前提下生成多样化的结论类组件，通过三层质量筛选机制（格式有效性、结构约束、语义一致性）确保增强样本的有效性。</w:t>
      </w:r>
    </w:p>
    <w:p>
      <w:pPr>
        <w:pStyle w:val="BodyText"/>
      </w:pPr>
      <w:r>
        <w:t xml:space="preserve">在模型架构层面，本文设计了面向结论组件的表示增强机制，包括两个关键模块：</w:t>
      </w:r>
      <w:r>
        <w:rPr>
          <w:bCs/>
          <w:b/>
        </w:rPr>
        <w:t xml:space="preserve">Claim-specific Adapter</w:t>
      </w:r>
      <w:r>
        <w:t xml:space="preserve">和</w:t>
      </w:r>
      <w:r>
        <w:rPr>
          <w:bCs/>
          <w:b/>
        </w:rPr>
        <w:t xml:space="preserve">Cue-aware Soft Prompting</w:t>
      </w:r>
      <w:r>
        <w:t xml:space="preserve">。Claim-specific Adapter在组件提取器的注意力投影层注入并行的LoRA模块，当模型解码到与结论类标签匹配的JSON键值时，该适配器被动态激活，为结论类组件提供专项的表示增强。Cue-aware Soft Prompting模块检测预定义的论证线索词（如”therefore”、</w:t>
      </w:r>
      <w:r>
        <w:t xml:space="preserve">“</w:t>
      </w:r>
      <w:r>
        <w:t xml:space="preserve">in conclusion</w:t>
      </w:r>
      <w:r>
        <w:t xml:space="preserve">”</w:t>
      </w:r>
      <w:r>
        <w:t xml:space="preserve">），在输入序列中添加可学习的连续前缀token，引导模型关注这些结构信号。此外，本文采用多目标训练策略，损失函数融合了标准生成损失</w:t>
      </w:r>
      <m:oMath>
        <m:sSub>
          <m:e>
            <m:r>
              <m:rPr>
                <m:sty m:val="p"/>
                <m:scr m:val="script"/>
              </m:rPr>
              <m:t>L</m:t>
            </m:r>
          </m:e>
          <m:sub>
            <m:r>
              <m:t>g</m:t>
            </m:r>
            <m:r>
              <m:t>e</m:t>
            </m:r>
            <m:r>
              <m:t>n</m:t>
            </m:r>
          </m:sub>
        </m:sSub>
      </m:oMath>
      <w:r>
        <w:t xml:space="preserve">和辅助二分类损失</w:t>
      </w:r>
      <m:oMath>
        <m:sSub>
          <m:e>
            <m:r>
              <m:rPr>
                <m:sty m:val="p"/>
                <m:scr m:val="script"/>
              </m:rPr>
              <m:t>L</m:t>
            </m:r>
          </m:e>
          <m:sub>
            <m:r>
              <m:t>s</m:t>
            </m:r>
            <m:r>
              <m:t>a</m:t>
            </m:r>
            <m:r>
              <m:t>t</m:t>
            </m:r>
          </m:sub>
        </m:sSub>
      </m:oMath>
      <w:r>
        <w:t xml:space="preserve">，后者用于预测句子是否包含结论类组件。</w:t>
      </w:r>
    </w:p>
    <w:p>
      <w:pPr>
        <w:pStyle w:val="BodyText"/>
      </w:pPr>
      <w:r>
        <w:t xml:space="preserve">实验表明，该优化模块在AAEC数据集上为MajorClaim和Claim分别带来了2.52分和2.21分的F1提升，证实了结论类组件优化对下游关系预测的显著带动作用。</w:t>
      </w:r>
    </w:p>
    <w:bookmarkEnd w:id="36"/>
    <w:bookmarkStart w:id="37" w:name="核心工作二基于多候选评估与有界修正的论辩图生成方法"/>
    <w:p>
      <w:pPr>
        <w:pStyle w:val="Heading4"/>
      </w:pPr>
      <w:r>
        <w:t xml:space="preserve">1.3.2 核心工作二：基于多候选评估与有界修正的论辩图生成方法</w:t>
      </w:r>
    </w:p>
    <w:p>
      <w:pPr>
        <w:pStyle w:val="FirstParagraph"/>
      </w:pPr>
      <w:r>
        <w:t xml:space="preserve">本文的第二项核心工作聚焦于推理期的”边”优化，旨在解决单步生成模式下的错误级联与恢复困境。本文提出了MCR-BR（Multi-Candidate Reranking and Bounded Repair）推理时结构恢复框架，通过保留多个假设和闭环验证修正来克服单次生成的脆弱性。</w:t>
      </w:r>
    </w:p>
    <w:p>
      <w:pPr>
        <w:pStyle w:val="BodyText"/>
      </w:pPr>
      <w:r>
        <w:rPr>
          <w:bCs/>
          <w:b/>
        </w:rPr>
        <w:t xml:space="preserve">多候选重排序（MCR）模块</w:t>
      </w:r>
      <w:r>
        <w:t xml:space="preserve">通过受控解码变体生成多个候选组件集</w:t>
      </w:r>
      <m:oMath>
        <m:r>
          <m:rPr>
            <m:sty m:val="p"/>
            <m:scr m:val="script"/>
          </m:rPr>
          <m:t>C</m:t>
        </m:r>
        <m:r>
          <m:rPr>
            <m:sty m:val="p"/>
          </m:rPr>
          <m:t>=</m:t>
        </m:r>
        <m:r>
          <m:rPr>
            <m:sty m:val="p"/>
          </m:rPr>
          <m:t>{</m:t>
        </m:r>
        <m:sSup>
          <m:e>
            <m:r>
              <m:t>C</m:t>
            </m:r>
          </m:e>
          <m:sup>
            <m:d>
              <m:dPr>
                <m:begChr m:val="("/>
                <m:endChr m:val=")"/>
                <m:sepChr m:val=""/>
                <m:grow/>
              </m:dPr>
              <m:e>
                <m:r>
                  <m:t>1</m:t>
                </m:r>
              </m:e>
            </m:d>
          </m:sup>
        </m:sSup>
        <m:r>
          <m:rPr>
            <m:sty m:val="p"/>
          </m:rPr>
          <m:t>,</m:t>
        </m:r>
        <m:sSup>
          <m:e>
            <m:r>
              <m:t>C</m:t>
            </m:r>
          </m:e>
          <m:sup>
            <m:d>
              <m:dPr>
                <m:begChr m:val="("/>
                <m:endChr m:val=")"/>
                <m:sepChr m:val=""/>
                <m:grow/>
              </m:dPr>
              <m:e>
                <m:r>
                  <m:t>2</m:t>
                </m:r>
              </m:e>
            </m:d>
          </m:sup>
        </m:sSup>
        <m:r>
          <m:rPr>
            <m:sty m:val="p"/>
          </m:rPr>
          <m:t>,</m:t>
        </m:r>
        <m:r>
          <m:rPr>
            <m:sty m:val="p"/>
          </m:rPr>
          <m:t>…</m:t>
        </m:r>
        <m:r>
          <m:rPr>
            <m:sty m:val="p"/>
          </m:rPr>
          <m:t>,</m:t>
        </m:r>
        <m:sSup>
          <m:e>
            <m:r>
              <m:t>C</m:t>
            </m:r>
          </m:e>
          <m:sup>
            <m:d>
              <m:dPr>
                <m:begChr m:val="("/>
                <m:endChr m:val=")"/>
                <m:sepChr m:val=""/>
                <m:grow/>
              </m:dPr>
              <m:e>
                <m:r>
                  <m:t>K</m:t>
                </m:r>
              </m:e>
            </m:d>
          </m:sup>
        </m:sSup>
        <m:r>
          <m:rPr>
            <m:sty m:val="p"/>
          </m:rPr>
          <m:t>}</m:t>
        </m:r>
      </m:oMath>
      <w:r>
        <w:t xml:space="preserve">，并设计了综合评分函数</w:t>
      </w:r>
      <m:oMath>
        <m:r>
          <m:t>E</m:t>
        </m:r>
        <m:d>
          <m:dPr>
            <m:begChr m:val="("/>
            <m:endChr m:val=")"/>
            <m:sepChr m:val=""/>
            <m:grow/>
          </m:dPr>
          <m:e>
            <m:sSub>
              <m:e>
                <m:r>
                  <m:t>S</m:t>
                </m:r>
              </m:e>
              <m:sub>
                <m:r>
                  <m:t>k</m:t>
                </m:r>
              </m:sub>
            </m:sSub>
          </m:e>
        </m:d>
      </m:oMath>
      <w:r>
        <w:t xml:space="preserve">进行一致性引导评估。该评分函数整合三个正交维度：结构完整性（</w:t>
      </w:r>
      <m:oMath>
        <m:sSub>
          <m:e>
            <m:r>
              <m:t>E</m:t>
            </m:r>
          </m:e>
          <m:sub>
            <m:r>
              <m:t>d</m:t>
            </m:r>
            <m:r>
              <m:t>e</m:t>
            </m:r>
            <m:r>
              <m:t>n</m:t>
            </m:r>
            <m:r>
              <m:t>s</m:t>
            </m:r>
          </m:sub>
        </m:sSub>
      </m:oMath>
      <w:r>
        <w:t xml:space="preserve">）评估结论类组件的入度是否满足最小支持要求；语义连贯性（</w:t>
      </w:r>
      <m:oMath>
        <m:sSub>
          <m:e>
            <m:r>
              <m:t>E</m:t>
            </m:r>
          </m:e>
          <m:sub>
            <m:r>
              <m:t>c</m:t>
            </m:r>
            <m:r>
              <m:t>o</m:t>
            </m:r>
            <m:r>
              <m:t>h</m:t>
            </m:r>
          </m:sub>
        </m:sSub>
      </m:oMath>
      <w:r>
        <w:t xml:space="preserve">）利用独立验证器判断每条边的逻辑关系是否成立；有效性（</w:t>
      </w:r>
      <m:oMath>
        <m:sSub>
          <m:e>
            <m:r>
              <m:t>E</m:t>
            </m:r>
          </m:e>
          <m:sub>
            <m:r>
              <m:t>v</m:t>
            </m:r>
            <m:r>
              <m:t>a</m:t>
            </m:r>
            <m:r>
              <m:t>l</m:t>
            </m:r>
          </m:sub>
        </m:sSub>
      </m:oMath>
      <w:r>
        <w:t xml:space="preserve">）执行JSON格式、token跨度边界和DAG约束的确定性检查。</w:t>
      </w:r>
    </w:p>
    <w:p>
      <w:pPr>
        <w:pStyle w:val="BodyText"/>
      </w:pPr>
      <w:r>
        <w:rPr>
          <w:bCs/>
          <w:b/>
        </w:rPr>
        <w:t xml:space="preserve">有界修正（BR）算法</w:t>
      </w:r>
      <w:r>
        <w:t xml:space="preserve">采用”检测-修复”闭环来精炼论辩图。算法首先通过错误检测函数识别结构异常并分配严重度评分，按照”Validity &gt; Coherence &gt; Density”的优先级处理。针对不同类型的错误，算法设计了四种修复操作：Promote/Demote用于转换组件类型，Replace用于替换问题组件，RemoveEdge用于删除语义不连贯的边，LocalRerun用于重新预测特定组件的关系。每个修复动作仅在保持DAG属性且不降低整体评分的条件下被接受，算法在达到计算预算或无可改进动作时终止。</w:t>
      </w:r>
    </w:p>
    <w:p>
      <w:pPr>
        <w:pStyle w:val="BodyText"/>
      </w:pPr>
      <w:r>
        <w:t xml:space="preserve">实验结果表明，MCR-BR框架在AAEC数据集上达到了83.71的Component-F1和64.83的Relation-F1，显著优于现有生成式基线。有界修正机制将硬性结构错误从18.5%降至2.1%，整体评估通过率从75.3%提升至97.9%。</w:t>
      </w:r>
    </w:p>
    <w:bookmarkEnd w:id="37"/>
    <w:bookmarkStart w:id="38" w:name="核心工作三端到端论辩挖掘的跨领域泛化性分析与适配"/>
    <w:p>
      <w:pPr>
        <w:pStyle w:val="Heading4"/>
      </w:pPr>
      <w:r>
        <w:t xml:space="preserve">1.3.3 核心工作三：端到端论辩挖掘的跨领域泛化性分析与适配</w:t>
      </w:r>
    </w:p>
    <w:p>
      <w:pPr>
        <w:pStyle w:val="FirstParagraph"/>
      </w:pPr>
      <w:r>
        <w:t xml:space="preserve">本文的第三项核心工作聚焦于模型的泛化性验证，检验上述两个核心工作在跨领域场景下的鲁棒性。鉴于不同领域的论辩图谱存在模式异构性（如AAEC的论文领域采用MajorClaim/Claim/Premise三分类，而CDCP的评论领域采用五种证据类型），本文设计了粗粒度论辩图谱映射机制，将特定领域的组件类型归约为通用的”claim”和”premise”二分类。</w:t>
      </w:r>
    </w:p>
    <w:p>
      <w:pPr>
        <w:pStyle w:val="BodyText"/>
      </w:pPr>
      <w:r>
        <w:t xml:space="preserve">通过在AAEC→CDCP的零样本迁移实验中评估模型性能，本文分析了”组件增强+结构修复”联合框架的领域泛化机理。实验结果表明，完整的MCR-BR框架在未标记连接预测上比零样本FLAN T5-XXL提升了11.96个F1点，证明该框架不依赖于领域特定的表面模式，而是通过结构一致性约束学习到了更具普适性的论辩结构知识。少样本实验进一步证明了框架的数据效率，5个样本即可带来3-4个点的性能增益。</w:t>
      </w:r>
    </w:p>
    <w:bookmarkEnd w:id="38"/>
    <w:bookmarkStart w:id="39" w:name="本文的主要贡献"/>
    <w:p>
      <w:pPr>
        <w:pStyle w:val="Heading4"/>
      </w:pPr>
      <w:r>
        <w:t xml:space="preserve">1.3.4 本文的主要贡献</w:t>
      </w:r>
    </w:p>
    <w:p>
      <w:pPr>
        <w:pStyle w:val="FirstParagraph"/>
      </w:pPr>
      <w:r>
        <w:t xml:space="preserve">综上所述，本文的主要学术贡献可概括为以下四点：</w:t>
      </w:r>
    </w:p>
    <w:p>
      <w:pPr>
        <w:numPr>
          <w:ilvl w:val="0"/>
          <w:numId w:val="1001"/>
        </w:numPr>
      </w:pPr>
      <w:r>
        <w:rPr>
          <w:bCs/>
          <w:b/>
        </w:rPr>
        <w:t xml:space="preserve">范式创新</w:t>
      </w:r>
      <w:r>
        <w:t xml:space="preserve">：提出了从单次生成到结构恢复的范式转换，放弃将论辩挖掘视为单次文本生成任务的传统思路，转而采用”保留多假设+验证修复”的策略，有效打破了错误传播的”多米诺效应”。</w:t>
      </w:r>
    </w:p>
    <w:p>
      <w:pPr>
        <w:numPr>
          <w:ilvl w:val="0"/>
          <w:numId w:val="1001"/>
        </w:numPr>
      </w:pPr>
      <w:r>
        <w:rPr>
          <w:bCs/>
          <w:b/>
        </w:rPr>
        <w:t xml:space="preserve">结论组件优化</w:t>
      </w:r>
      <w:r>
        <w:t xml:space="preserve">：针对论辩图的”锚点”——结论类组件，设计了LoRA适配器动态激活、线索感知软提示和多目标训练三位一体的优化方案，显著提升了核心组件的识别准确率。</w:t>
      </w:r>
    </w:p>
    <w:p>
      <w:pPr>
        <w:numPr>
          <w:ilvl w:val="0"/>
          <w:numId w:val="1001"/>
        </w:numPr>
      </w:pPr>
      <w:r>
        <w:rPr>
          <w:bCs/>
          <w:b/>
        </w:rPr>
        <w:t xml:space="preserve">推理时结构修复</w:t>
      </w:r>
      <w:r>
        <w:t xml:space="preserve">：设计了具有计算预算约束的有界修正机制，通过四种规则化动作主动修复结构异常，条件接受策略确保修复过程单调改进。</w:t>
      </w:r>
    </w:p>
    <w:p>
      <w:pPr>
        <w:numPr>
          <w:ilvl w:val="0"/>
          <w:numId w:val="1001"/>
        </w:numPr>
      </w:pPr>
      <w:r>
        <w:rPr>
          <w:bCs/>
          <w:b/>
        </w:rPr>
        <w:t xml:space="preserve">跨领域泛化验证</w:t>
      </w:r>
      <w:r>
        <w:t xml:space="preserve">：通过粗粒度映射和零样本迁移实验，验证了所提框架的领域泛化能力，为论辩挖掘的实际应用提供了技术保障。</w:t>
      </w:r>
    </w:p>
    <w:bookmarkEnd w:id="39"/>
    <w:bookmarkEnd w:id="40"/>
    <w:bookmarkStart w:id="41" w:name="论文组织结构"/>
    <w:p>
      <w:pPr>
        <w:pStyle w:val="Heading3"/>
      </w:pPr>
      <w:r>
        <w:t xml:space="preserve">1.4 论文组织结构</w:t>
      </w:r>
    </w:p>
    <w:p>
      <w:pPr>
        <w:pStyle w:val="FirstParagraph"/>
      </w:pPr>
      <w:r>
        <w:t xml:space="preserve">本文共分为六章，各章内容安排如下：</w:t>
      </w:r>
    </w:p>
    <w:p>
      <w:pPr>
        <w:pStyle w:val="BodyText"/>
      </w:pPr>
      <w:r>
        <w:rPr>
          <w:bCs/>
          <w:b/>
        </w:rPr>
        <w:t xml:space="preserve">第一章 绪论</w:t>
      </w:r>
      <w:r>
        <w:t xml:space="preserve">：介绍论辩挖掘的研究背景与意义，从计算论辩学发展历程、社会需求和技术挑战三个维度阐述研究动机，综述国内外相关研究进展，概述本文的主要研究内容与创新贡献。</w:t>
      </w:r>
    </w:p>
    <w:p>
      <w:pPr>
        <w:pStyle w:val="BodyText"/>
      </w:pPr>
      <w:r>
        <w:rPr>
          <w:bCs/>
          <w:b/>
        </w:rPr>
        <w:t xml:space="preserve">第二章 论辩挖掘相关理论与大语言模型基础</w:t>
      </w:r>
      <w:r>
        <w:t xml:space="preserve">：系统介绍论辩挖掘任务的形式化定义与图结构表示，详细阐述Toulmin论辩模型理论框架，介绍大语言模型结构化生成的技术基础（包括Transformer架构、约束解码、LoRA微调和思维链推理），阐述数据增强与推理自纠错的相关理论，为后续章节的方法设计奠定理论基础。</w:t>
      </w:r>
    </w:p>
    <w:p>
      <w:pPr>
        <w:pStyle w:val="BodyText"/>
      </w:pPr>
      <w:r>
        <w:rPr>
          <w:bCs/>
          <w:b/>
        </w:rPr>
        <w:t xml:space="preserve">第三章 融合大模型数据增强的结论性组件提取优化</w:t>
      </w:r>
      <w:r>
        <w:t xml:space="preserve">：分析论辩组件的长尾分布特性与提取瓶颈，提出基于大模型的结构感知数据增强策略，设计面向结论组件的表示增强机制（Claim-specific Adapter和Cue-aware Soft Prompting），通过实验验证所提方法的有效性。</w:t>
      </w:r>
    </w:p>
    <w:p>
      <w:pPr>
        <w:pStyle w:val="BodyText"/>
      </w:pPr>
      <w:r>
        <w:rPr>
          <w:bCs/>
          <w:b/>
        </w:rPr>
        <w:t xml:space="preserve">第四章 基于多候选评估与有界修正的论辩图生成方法</w:t>
      </w:r>
      <w:r>
        <w:t xml:space="preserve">：分析单步生成模式下的错误级联现象与恢复困境，提出多候选论辩图的生成与一致性评估机制，设计图约束下的有界局部修正算法，通过消融实验分析各模块的贡献。</w:t>
      </w:r>
    </w:p>
    <w:p>
      <w:pPr>
        <w:pStyle w:val="BodyText"/>
      </w:pPr>
      <w:r>
        <w:rPr>
          <w:bCs/>
          <w:b/>
        </w:rPr>
        <w:t xml:space="preserve">第五章 端到端论辩挖掘的跨领域泛化性分析与适配</w:t>
      </w:r>
      <w:r>
        <w:t xml:space="preserve">：分析跨领域论辩图谱的异构性挑战，设计粗粒度论辩图谱映射机制，分析”组件增强+结构修复”联合框架的领域泛化机理，通过零样本和少样本迁移实验验证模型的鲁棒性。</w:t>
      </w:r>
    </w:p>
    <w:p>
      <w:pPr>
        <w:pStyle w:val="BodyText"/>
      </w:pPr>
      <w:r>
        <w:rPr>
          <w:bCs/>
          <w:b/>
        </w:rPr>
        <w:t xml:space="preserve">第六章 总结与展望</w:t>
      </w:r>
      <w:r>
        <w:t xml:space="preserve">：总结本文的主要研究工作和创新成果，分析现有方法的局限性，展望未来的研究方向。</w:t>
      </w:r>
    </w:p>
    <w:bookmarkEnd w:id="41"/>
    <w:bookmarkEnd w:id="42"/>
    <w:bookmarkStart w:id="62" w:name="第二章-论辩挖掘相关理论与大语言模型基础"/>
    <w:p>
      <w:pPr>
        <w:pStyle w:val="Heading2"/>
      </w:pPr>
      <w:r>
        <w:t xml:space="preserve">第二章 论辩挖掘相关理论与大语言模型基础</w:t>
      </w:r>
    </w:p>
    <w:p>
      <w:pPr>
        <w:pStyle w:val="FirstParagraph"/>
      </w:pPr>
      <w:r>
        <w:t xml:space="preserve">本章系统介绍论辩挖掘任务的理论基础与技术背景。首先，详细阐述Toulmin论辩模型的理论框架，对论辩挖掘任务进行形式化定义，介绍论辩组件、论辩关系及论辩图的数学表示；其次，深入介绍大语言模型在结构化生成任务中的关键技术，包括Transformer架构、约束解码、参数高效微调方法和思维链推理；最后，系统阐述数据增强与推理时自纠错的相关理论，为后续章节的方法设计奠定理论基础。</w:t>
      </w:r>
    </w:p>
    <w:bookmarkStart w:id="48" w:name="论辩挖掘任务定义与图结构形式化"/>
    <w:p>
      <w:pPr>
        <w:pStyle w:val="Heading3"/>
      </w:pPr>
      <w:r>
        <w:t xml:space="preserve">2.1 论辩挖掘任务定义与图结构形式化</w:t>
      </w:r>
    </w:p>
    <w:bookmarkStart w:id="43" w:name="toulmin论辩模型理论框架"/>
    <w:p>
      <w:pPr>
        <w:pStyle w:val="Heading4"/>
      </w:pPr>
      <w:r>
        <w:t xml:space="preserve">2.1.1 Toulmin论辩模型理论框架</w:t>
      </w:r>
    </w:p>
    <w:p>
      <w:pPr>
        <w:pStyle w:val="FirstParagraph"/>
      </w:pPr>
      <w:r>
        <w:t xml:space="preserve">Toulmin论辩模型是计算论辩学中最具影响力的微观结构模型，为形式化描述论辩结构提供了理论基础[3]。Stephen Toulmin在1958年提出该模型，旨在超越传统形式逻辑的局限性，建立一种能够分析日常论辩实践的理论框架。Toulmin模型将一个完整的论辩分解为六个核心要素：</w:t>
      </w:r>
    </w:p>
    <w:p>
      <w:pPr>
        <w:pStyle w:val="BodyText"/>
      </w:pPr>
      <w:r>
        <w:rPr>
          <w:bCs/>
          <w:b/>
        </w:rPr>
        <w:t xml:space="preserve">主张（Claim）</w:t>
      </w:r>
      <w:r>
        <w:t xml:space="preserve">是论辩的核心论点，表达论辩者试图建立或辩护的立场。主张回答”你在主张什么”的问题，是整个论辩的出发点和归宿。在论辩图中，主张通常处于结构的高层位置，是其他组件最终支持或攻击的目标。</w:t>
      </w:r>
    </w:p>
    <w:p>
      <w:pPr>
        <w:pStyle w:val="BodyText"/>
      </w:pPr>
      <w:r>
        <w:rPr>
          <w:bCs/>
          <w:b/>
        </w:rPr>
        <w:t xml:space="preserve">数据（Data/Grounds）</w:t>
      </w:r>
      <w:r>
        <w:t xml:space="preserve">是支撑主张的事实性证据，回答”你凭什么这样说”的问题。数据可以包括经验观察、统计数字、历史事件、专家意见等，为主张提供基础性支撑。数据与主张之间的关系是论辩的基本支撑关系。</w:t>
      </w:r>
    </w:p>
    <w:p>
      <w:pPr>
        <w:pStyle w:val="BodyText"/>
      </w:pPr>
      <w:r>
        <w:rPr>
          <w:bCs/>
          <w:b/>
        </w:rPr>
        <w:t xml:space="preserve">保证（Warrant）</w:t>
      </w:r>
      <w:r>
        <w:t xml:space="preserve">是连接数据与主张的推理规则或论证原则，回答”数据如何支持主张”的问题。保证通常是隐含的推理前提，体现论辩者的逻辑推理方式。例如，</w:t>
      </w:r>
      <w:r>
        <w:t xml:space="preserve">“</w:t>
      </w:r>
      <w:r>
        <w:t xml:space="preserve">因为统计数据（数据）显示吸烟与肺癌相关，所以吸烟有害健康（主张）</w:t>
      </w:r>
      <w:r>
        <w:t xml:space="preserve">”</w:t>
      </w:r>
      <w:r>
        <w:t xml:space="preserve">中的保证是”统计相关性表明因果关系”这一推理原则。</w:t>
      </w:r>
    </w:p>
    <w:p>
      <w:pPr>
        <w:pStyle w:val="BodyText"/>
      </w:pPr>
      <w:r>
        <w:rPr>
          <w:bCs/>
          <w:b/>
        </w:rPr>
        <w:t xml:space="preserve">支撑（Backing）</w:t>
      </w:r>
      <w:r>
        <w:t xml:space="preserve">是为保证提供进一步支持的辅助信息，回答”保证为什么可靠”的问题。当保证本身需要证成时，支撑提供更深层次的理由。支撑使论辩的推理链条更加完整，增强论证的说服力。</w:t>
      </w:r>
    </w:p>
    <w:p>
      <w:pPr>
        <w:pStyle w:val="BodyText"/>
      </w:pPr>
      <w:r>
        <w:rPr>
          <w:bCs/>
          <w:b/>
        </w:rPr>
        <w:t xml:space="preserve">限定词（Qualifier）</w:t>
      </w:r>
      <w:r>
        <w:t xml:space="preserve">表达主张的确信程度或适用范围，如”可能”、</w:t>
      </w:r>
      <w:r>
        <w:t xml:space="preserve">“</w:t>
      </w:r>
      <w:r>
        <w:t xml:space="preserve">通常</w:t>
      </w:r>
      <w:r>
        <w:t xml:space="preserve">”</w:t>
      </w:r>
      <w:r>
        <w:t xml:space="preserve">、</w:t>
      </w:r>
      <w:r>
        <w:t xml:space="preserve">“</w:t>
      </w:r>
      <w:r>
        <w:t xml:space="preserve">在大多数情况下</w:t>
      </w:r>
      <w:r>
        <w:t xml:space="preserve">”</w:t>
      </w:r>
      <w:r>
        <w:t xml:space="preserve">等。限定词体现论辩的谨慎性和精确性，避免过度概括。</w:t>
      </w:r>
    </w:p>
    <w:p>
      <w:pPr>
        <w:pStyle w:val="BodyText"/>
      </w:pPr>
      <w:r>
        <w:rPr>
          <w:bCs/>
          <w:b/>
        </w:rPr>
        <w:t xml:space="preserve">反驳（Rebuttal）</w:t>
      </w:r>
      <w:r>
        <w:t xml:space="preserve">指出主张不成立的例外条件或反对意见，回答”在什么情况下主张不成立”的问题。反驳体现论辩的辩证性质，承认主张的局限性。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Toulmin要素</w:t>
            </w:r>
          </w:p>
        </w:tc>
        <w:tc>
          <w:tcPr/>
          <w:p>
            <w:pPr>
              <w:pStyle w:val="Compact"/>
              <w:jc w:val="left"/>
            </w:pPr>
            <w:r>
              <w:t xml:space="preserve">定义</w:t>
            </w:r>
          </w:p>
        </w:tc>
        <w:tc>
          <w:tcPr/>
          <w:p>
            <w:pPr>
              <w:pStyle w:val="Compact"/>
              <w:jc w:val="left"/>
            </w:pPr>
            <w:r>
              <w:t xml:space="preserve">功能</w:t>
            </w:r>
          </w:p>
        </w:tc>
        <w:tc>
          <w:tcPr/>
          <w:p>
            <w:pPr>
              <w:pStyle w:val="Compact"/>
              <w:jc w:val="left"/>
            </w:pPr>
            <w:r>
              <w:t xml:space="preserve">在计算建模中的对应</w:t>
            </w:r>
          </w:p>
        </w:tc>
      </w:tr>
      <w:tr>
        <w:tc>
          <w:tcPr/>
          <w:p>
            <w:pPr>
              <w:pStyle w:val="Compact"/>
              <w:jc w:val="left"/>
            </w:pPr>
            <w:r>
              <w:t xml:space="preserve">Claim</w:t>
            </w:r>
          </w:p>
        </w:tc>
        <w:tc>
          <w:tcPr/>
          <w:p>
            <w:pPr>
              <w:pStyle w:val="Compact"/>
              <w:jc w:val="left"/>
            </w:pPr>
            <w:r>
              <w:t xml:space="preserve">核心论点</w:t>
            </w:r>
          </w:p>
        </w:tc>
        <w:tc>
          <w:tcPr/>
          <w:p>
            <w:pPr>
              <w:pStyle w:val="Compact"/>
              <w:jc w:val="left"/>
            </w:pPr>
            <w:r>
              <w:t xml:space="preserve">表达立场</w:t>
            </w:r>
          </w:p>
        </w:tc>
        <w:tc>
          <w:tcPr/>
          <w:p>
            <w:pPr>
              <w:pStyle w:val="Compact"/>
              <w:jc w:val="left"/>
            </w:pPr>
            <w:r>
              <w:t xml:space="preserve">MajorClaim/Claim组件</w:t>
            </w:r>
          </w:p>
        </w:tc>
      </w:tr>
      <w:tr>
        <w:tc>
          <w:tcPr/>
          <w:p>
            <w:pPr>
              <w:pStyle w:val="Compact"/>
              <w:jc w:val="left"/>
            </w:pPr>
            <w:r>
              <w:t xml:space="preserve">Data</w:t>
            </w:r>
          </w:p>
        </w:tc>
        <w:tc>
          <w:tcPr/>
          <w:p>
            <w:pPr>
              <w:pStyle w:val="Compact"/>
              <w:jc w:val="left"/>
            </w:pPr>
            <w:r>
              <w:t xml:space="preserve">事实证据</w:t>
            </w:r>
          </w:p>
        </w:tc>
        <w:tc>
          <w:tcPr/>
          <w:p>
            <w:pPr>
              <w:pStyle w:val="Compact"/>
              <w:jc w:val="left"/>
            </w:pPr>
            <w:r>
              <w:t xml:space="preserve">支撑主张</w:t>
            </w:r>
          </w:p>
        </w:tc>
        <w:tc>
          <w:tcPr/>
          <w:p>
            <w:pPr>
              <w:pStyle w:val="Compact"/>
              <w:jc w:val="left"/>
            </w:pPr>
            <w:r>
              <w:t xml:space="preserve">Premise组件</w:t>
            </w:r>
          </w:p>
        </w:tc>
      </w:tr>
      <w:tr>
        <w:tc>
          <w:tcPr/>
          <w:p>
            <w:pPr>
              <w:pStyle w:val="Compact"/>
              <w:jc w:val="left"/>
            </w:pPr>
            <w:r>
              <w:t xml:space="preserve">Warrant</w:t>
            </w:r>
          </w:p>
        </w:tc>
        <w:tc>
          <w:tcPr/>
          <w:p>
            <w:pPr>
              <w:pStyle w:val="Compact"/>
              <w:jc w:val="left"/>
            </w:pPr>
            <w:r>
              <w:t xml:space="preserve">推理规则</w:t>
            </w:r>
          </w:p>
        </w:tc>
        <w:tc>
          <w:tcPr/>
          <w:p>
            <w:pPr>
              <w:pStyle w:val="Compact"/>
              <w:jc w:val="left"/>
            </w:pPr>
            <w:r>
              <w:t xml:space="preserve">连接数据与主张</w:t>
            </w:r>
          </w:p>
        </w:tc>
        <w:tc>
          <w:tcPr/>
          <w:p>
            <w:pPr>
              <w:pStyle w:val="Compact"/>
              <w:jc w:val="left"/>
            </w:pPr>
            <w:r>
              <w:t xml:space="preserve">隐式关系/Premise</w:t>
            </w:r>
          </w:p>
        </w:tc>
      </w:tr>
      <w:tr>
        <w:tc>
          <w:tcPr/>
          <w:p>
            <w:pPr>
              <w:pStyle w:val="Compact"/>
              <w:jc w:val="left"/>
            </w:pPr>
            <w:r>
              <w:t xml:space="preserve">Backing</w:t>
            </w:r>
          </w:p>
        </w:tc>
        <w:tc>
          <w:tcPr/>
          <w:p>
            <w:pPr>
              <w:pStyle w:val="Compact"/>
              <w:jc w:val="left"/>
            </w:pPr>
            <w:r>
              <w:t xml:space="preserve">辅助支撑</w:t>
            </w:r>
          </w:p>
        </w:tc>
        <w:tc>
          <w:tcPr/>
          <w:p>
            <w:pPr>
              <w:pStyle w:val="Compact"/>
              <w:jc w:val="left"/>
            </w:pPr>
            <w:r>
              <w:t xml:space="preserve">证成保证</w:t>
            </w:r>
          </w:p>
        </w:tc>
        <w:tc>
          <w:tcPr/>
          <w:p>
            <w:pPr>
              <w:pStyle w:val="Compact"/>
              <w:jc w:val="left"/>
            </w:pPr>
            <w:r>
              <w:t xml:space="preserve">Premise组件</w:t>
            </w:r>
          </w:p>
        </w:tc>
      </w:tr>
      <w:tr>
        <w:tc>
          <w:tcPr/>
          <w:p>
            <w:pPr>
              <w:pStyle w:val="Compact"/>
              <w:jc w:val="left"/>
            </w:pPr>
            <w:r>
              <w:t xml:space="preserve">Qualifier</w:t>
            </w:r>
          </w:p>
        </w:tc>
        <w:tc>
          <w:tcPr/>
          <w:p>
            <w:pPr>
              <w:pStyle w:val="Compact"/>
              <w:jc w:val="left"/>
            </w:pPr>
            <w:r>
              <w:t xml:space="preserve">确信程度</w:t>
            </w:r>
          </w:p>
        </w:tc>
        <w:tc>
          <w:tcPr/>
          <w:p>
            <w:pPr>
              <w:pStyle w:val="Compact"/>
              <w:jc w:val="left"/>
            </w:pPr>
            <w:r>
              <w:t xml:space="preserve">限定主张</w:t>
            </w:r>
          </w:p>
        </w:tc>
        <w:tc>
          <w:tcPr/>
          <w:p>
            <w:pPr>
              <w:pStyle w:val="Compact"/>
              <w:jc w:val="left"/>
            </w:pPr>
            <w:r>
              <w:t xml:space="preserve">属性标注</w:t>
            </w:r>
          </w:p>
        </w:tc>
      </w:tr>
      <w:tr>
        <w:tc>
          <w:tcPr/>
          <w:p>
            <w:pPr>
              <w:pStyle w:val="Compact"/>
              <w:jc w:val="left"/>
            </w:pPr>
            <w:r>
              <w:t xml:space="preserve">Rebuttal</w:t>
            </w:r>
          </w:p>
        </w:tc>
        <w:tc>
          <w:tcPr/>
          <w:p>
            <w:pPr>
              <w:pStyle w:val="Compact"/>
              <w:jc w:val="left"/>
            </w:pPr>
            <w:r>
              <w:t xml:space="preserve">例外条件</w:t>
            </w:r>
          </w:p>
        </w:tc>
        <w:tc>
          <w:tcPr/>
          <w:p>
            <w:pPr>
              <w:pStyle w:val="Compact"/>
              <w:jc w:val="left"/>
            </w:pPr>
            <w:r>
              <w:t xml:space="preserve">承认局限</w:t>
            </w:r>
          </w:p>
        </w:tc>
        <w:tc>
          <w:tcPr/>
          <w:p>
            <w:pPr>
              <w:pStyle w:val="Compact"/>
              <w:jc w:val="left"/>
            </w:pPr>
            <w:r>
              <w:t xml:space="preserve">Attack关系/Premise</w:t>
            </w:r>
          </w:p>
        </w:tc>
      </w:tr>
    </w:tbl>
    <w:p>
      <w:pPr>
        <w:pStyle w:val="BodyText"/>
      </w:pPr>
      <w:r>
        <w:t xml:space="preserve">在计算论辩挖掘中，研究者通常将Toulmin模型的六要素简化为更易于标注和预测的三元结构：主张类组件（对应Claim）、前提类组件（对应Data、Warrant、Backing、Rebuttal）和二元关系（Support/Attack）。这种简化保留了论辩结构的核心特征，同时降低了标注复杂度和预测难度[10]。</w:t>
      </w:r>
    </w:p>
    <w:bookmarkEnd w:id="43"/>
    <w:bookmarkStart w:id="44" w:name="论辩组件的定义与分类"/>
    <w:p>
      <w:pPr>
        <w:pStyle w:val="Heading4"/>
      </w:pPr>
      <w:r>
        <w:t xml:space="preserve">2.1.2 论辩组件的定义与分类</w:t>
      </w:r>
    </w:p>
    <w:p>
      <w:pPr>
        <w:pStyle w:val="FirstParagraph"/>
      </w:pPr>
      <w:r>
        <w:t xml:space="preserve">论辩组件（Argument Component）是构成论辩结构的基本单元，指文本中承载特定论证功能的语言片段。根据其在论证结构中的角色，论辩组件可分为以下几种类型[10]：</w:t>
      </w:r>
    </w:p>
    <w:p>
      <w:pPr>
        <w:pStyle w:val="BodyText"/>
      </w:pPr>
      <w:r>
        <w:rPr>
          <w:bCs/>
          <w:b/>
        </w:rPr>
        <w:t xml:space="preserve">定义2.1（主要主张，MajorClaim）</w:t>
      </w:r>
      <w:r>
        <w:t xml:space="preserve">：主要主张是论辩文本的核心论点，表达作者对某一议题的总体立场或观点。在说服性文本中，主要主张通常出现在引言或结论部分，是整个论证结构的最终归宿。形式化地，给定文本</w:t>
      </w:r>
      <m:oMath>
        <m:r>
          <m:t>D</m:t>
        </m:r>
      </m:oMath>
      <w:r>
        <w:t xml:space="preserve">，主要主张</w:t>
      </w:r>
      <m:oMath>
        <m:r>
          <m:t>m</m:t>
        </m:r>
        <m:r>
          <m:t>c</m:t>
        </m:r>
        <m:r>
          <m:rPr>
            <m:sty m:val="p"/>
          </m:rPr>
          <m:t>∈</m:t>
        </m:r>
        <m:r>
          <m:t>D</m:t>
        </m:r>
      </m:oMath>
      <w:r>
        <w:t xml:space="preserve">满足：所有其他论辩组件最终（直接或间接）支持或攻击</w:t>
      </w:r>
      <m:oMath>
        <m:r>
          <m:t>m</m:t>
        </m:r>
        <m:r>
          <m:t>c</m:t>
        </m:r>
      </m:oMath>
      <w:r>
        <w:t xml:space="preserve">。主要主张在论辩图中通常作为根节点，具有最高的论证地位。</w:t>
      </w:r>
    </w:p>
    <w:p>
      <w:pPr>
        <w:pStyle w:val="BodyText"/>
      </w:pPr>
      <w:r>
        <w:rPr>
          <w:bCs/>
          <w:b/>
        </w:rPr>
        <w:t xml:space="preserve">定义2.2（主张，Claim）</w:t>
      </w:r>
      <w:r>
        <w:t xml:space="preserve">：主张是支持或反对主要主张的中间论点，在论证层次中处于承上启下的位置。主张通常表达作者的分论点或子观点，需要进一步的前提支撑，同时又为主要主张提供证据。主张在论辩图中作为中间节点，既接收来自前提的支持，又向上层主张或主要主张提供支持。</w:t>
      </w:r>
    </w:p>
    <w:p>
      <w:pPr>
        <w:pStyle w:val="BodyText"/>
      </w:pPr>
      <w:r>
        <w:rPr>
          <w:bCs/>
          <w:b/>
        </w:rPr>
        <w:t xml:space="preserve">定义2.3（前提，Premise）</w:t>
      </w:r>
      <w:r>
        <w:t xml:space="preserve">：前提是为主张或主要主张提供支撑的论据单元，包括事实陈述、数据引用、例证说明、推理依据或逻辑推演等。前提是论证结构的基础层，通常不再需要下游组件的支持。在论辩图中，前提作为叶节点，仅作为支持关系的源节点存在。</w:t>
      </w:r>
    </w:p>
    <w:p>
      <w:pPr>
        <w:pStyle w:val="BodyText"/>
      </w:pPr>
      <w:r>
        <w:t xml:space="preserve">不同数据集根据具体领域的需求，定义了不同粒度的组件类型集合。在AAEC（Argument Annotated Essays Corpus）数据集中，组件类型集合定义为</w:t>
      </w:r>
      <m:oMath>
        <m:sSub>
          <m:e>
            <m:r>
              <m:rPr>
                <m:sty m:val="p"/>
                <m:scr m:val="script"/>
              </m:rPr>
              <m:t>T</m:t>
            </m:r>
          </m:e>
          <m:sub>
            <m:r>
              <m:t>A</m:t>
            </m:r>
            <m:r>
              <m:t>A</m:t>
            </m:r>
            <m:r>
              <m:t>E</m:t>
            </m:r>
            <m:r>
              <m:t>C</m:t>
            </m:r>
          </m:sub>
        </m:sSub>
        <m:r>
          <m:rPr>
            <m:sty m:val="p"/>
          </m:rPr>
          <m:t>=</m:t>
        </m:r>
        <m:r>
          <m:rPr>
            <m:sty m:val="p"/>
          </m:rPr>
          <m:t>{</m:t>
        </m:r>
        <m:r>
          <m:t>M</m:t>
        </m:r>
        <m:r>
          <m:t>a</m:t>
        </m:r>
        <m:r>
          <m:t>j</m:t>
        </m:r>
        <m:r>
          <m:t>o</m:t>
        </m:r>
        <m:r>
          <m:t>r</m:t>
        </m:r>
        <m:r>
          <m:t>C</m:t>
        </m:r>
        <m:r>
          <m:t>l</m:t>
        </m:r>
        <m:r>
          <m:t>a</m:t>
        </m:r>
        <m:r>
          <m:t>i</m:t>
        </m:r>
        <m:r>
          <m:t>m</m:t>
        </m:r>
        <m:r>
          <m:rPr>
            <m:sty m:val="p"/>
          </m:rPr>
          <m:t>,</m:t>
        </m:r>
        <m:r>
          <m:t>C</m:t>
        </m:r>
        <m:r>
          <m:t>l</m:t>
        </m:r>
        <m:r>
          <m:t>a</m:t>
        </m:r>
        <m:r>
          <m:t>i</m:t>
        </m:r>
        <m:r>
          <m:t>m</m:t>
        </m:r>
        <m:r>
          <m:rPr>
            <m:sty m:val="p"/>
          </m:rPr>
          <m:t>,</m:t>
        </m:r>
        <m:r>
          <m:t>P</m:t>
        </m:r>
        <m:r>
          <m:t>r</m:t>
        </m:r>
        <m:r>
          <m:t>e</m:t>
        </m:r>
        <m:r>
          <m:t>m</m:t>
        </m:r>
        <m:r>
          <m:t>i</m:t>
        </m:r>
        <m:r>
          <m:t>s</m:t>
        </m:r>
        <m:r>
          <m:t>e</m:t>
        </m:r>
        <m:r>
          <m:rPr>
            <m:sty m:val="p"/>
          </m:rPr>
          <m:t>}</m:t>
        </m:r>
      </m:oMath>
      <w:r>
        <w:t xml:space="preserve">，反映了学术论文的层次化论证结构[10]。而在CDCP（Cornell eRulemaking Corpus）数据集中，为了更细粒度地刻画证据类型，组件类型集合扩展为</w:t>
      </w:r>
      <m:oMath>
        <m:sSub>
          <m:e>
            <m:r>
              <m:rPr>
                <m:sty m:val="p"/>
                <m:scr m:val="script"/>
              </m:rPr>
              <m:t>T</m:t>
            </m:r>
          </m:e>
          <m:sub>
            <m:r>
              <m:t>C</m:t>
            </m:r>
            <m:r>
              <m:t>D</m:t>
            </m:r>
            <m:r>
              <m:t>C</m:t>
            </m:r>
            <m:r>
              <m:t>P</m:t>
            </m:r>
          </m:sub>
        </m:sSub>
        <m:r>
          <m:rPr>
            <m:sty m:val="p"/>
          </m:rPr>
          <m:t>=</m:t>
        </m:r>
        <m:r>
          <m:rPr>
            <m:sty m:val="p"/>
          </m:rPr>
          <m:t>{</m:t>
        </m:r>
        <m:r>
          <m:t>F</m:t>
        </m:r>
        <m:r>
          <m:t>a</m:t>
        </m:r>
        <m:r>
          <m:t>c</m:t>
        </m:r>
        <m:r>
          <m:t>t</m:t>
        </m:r>
        <m:r>
          <m:rPr>
            <m:sty m:val="p"/>
          </m:rPr>
          <m:t>,</m:t>
        </m:r>
        <m:r>
          <m:t>T</m:t>
        </m:r>
        <m:r>
          <m:t>e</m:t>
        </m:r>
        <m:r>
          <m:t>s</m:t>
        </m:r>
        <m:r>
          <m:t>t</m:t>
        </m:r>
        <m:r>
          <m:t>i</m:t>
        </m:r>
        <m:r>
          <m:t>m</m:t>
        </m:r>
        <m:r>
          <m:t>o</m:t>
        </m:r>
        <m:r>
          <m:t>n</m:t>
        </m:r>
        <m:r>
          <m:t>y</m:t>
        </m:r>
        <m:r>
          <m:rPr>
            <m:sty m:val="p"/>
          </m:rPr>
          <m:t>,</m:t>
        </m:r>
        <m:r>
          <m:t>V</m:t>
        </m:r>
        <m:r>
          <m:t>a</m:t>
        </m:r>
        <m:r>
          <m:t>l</m:t>
        </m:r>
        <m:r>
          <m:t>u</m:t>
        </m:r>
        <m:r>
          <m:t>e</m:t>
        </m:r>
        <m:r>
          <m:rPr>
            <m:sty m:val="p"/>
          </m:rPr>
          <m:t>,</m:t>
        </m:r>
        <m:r>
          <m:t>P</m:t>
        </m:r>
        <m:r>
          <m:t>o</m:t>
        </m:r>
        <m:r>
          <m:t>l</m:t>
        </m:r>
        <m:r>
          <m:t>i</m:t>
        </m:r>
        <m:r>
          <m:t>c</m:t>
        </m:r>
        <m:r>
          <m:t>y</m:t>
        </m:r>
        <m:r>
          <m:rPr>
            <m:sty m:val="p"/>
          </m:rPr>
          <m:t>,</m:t>
        </m:r>
        <m:r>
          <m:t>R</m:t>
        </m:r>
        <m:r>
          <m:t>e</m:t>
        </m:r>
        <m:r>
          <m:t>f</m:t>
        </m:r>
        <m:r>
          <m:t>e</m:t>
        </m:r>
        <m:r>
          <m:t>r</m:t>
        </m:r>
        <m:r>
          <m:t>e</m:t>
        </m:r>
        <m:r>
          <m:t>n</m:t>
        </m:r>
        <m:r>
          <m:t>c</m:t>
        </m:r>
        <m:r>
          <m:t>e</m:t>
        </m:r>
        <m:r>
          <m:rPr>
            <m:sty m:val="p"/>
          </m:rPr>
          <m:t>}</m:t>
        </m:r>
      </m:oMath>
      <w:r>
        <w:t xml:space="preserve">[41]：</w:t>
      </w:r>
    </w:p>
    <w:p>
      <w:pPr>
        <w:numPr>
          <w:ilvl w:val="0"/>
          <w:numId w:val="1002"/>
        </w:numPr>
        <w:pStyle w:val="Compact"/>
      </w:pPr>
      <w:r>
        <w:rPr>
          <w:bCs/>
          <w:b/>
        </w:rPr>
        <w:t xml:space="preserve">Fact</w:t>
      </w:r>
      <w:r>
        <w:t xml:space="preserve">：客观事实陈述，可被独立验证</w:t>
      </w:r>
    </w:p>
    <w:p>
      <w:pPr>
        <w:numPr>
          <w:ilvl w:val="0"/>
          <w:numId w:val="1002"/>
        </w:numPr>
        <w:pStyle w:val="Compact"/>
      </w:pPr>
      <w:r>
        <w:rPr>
          <w:bCs/>
          <w:b/>
        </w:rPr>
        <w:t xml:space="preserve">Testimony</w:t>
      </w:r>
      <w:r>
        <w:t xml:space="preserve">：他人的观点、经验或证言的引用</w:t>
      </w:r>
    </w:p>
    <w:p>
      <w:pPr>
        <w:numPr>
          <w:ilvl w:val="0"/>
          <w:numId w:val="1002"/>
        </w:numPr>
        <w:pStyle w:val="Compact"/>
      </w:pPr>
      <w:r>
        <w:rPr>
          <w:bCs/>
          <w:b/>
        </w:rPr>
        <w:t xml:space="preserve">Value</w:t>
      </w:r>
      <w:r>
        <w:t xml:space="preserve">：主观价值判断或评价性陈述</w:t>
      </w:r>
    </w:p>
    <w:p>
      <w:pPr>
        <w:numPr>
          <w:ilvl w:val="0"/>
          <w:numId w:val="1002"/>
        </w:numPr>
        <w:pStyle w:val="Compact"/>
      </w:pPr>
      <w:r>
        <w:rPr>
          <w:bCs/>
          <w:b/>
        </w:rPr>
        <w:t xml:space="preserve">Policy</w:t>
      </w:r>
      <w:r>
        <w:t xml:space="preserve">：政策建议或行动方案的提出</w:t>
      </w:r>
    </w:p>
    <w:p>
      <w:pPr>
        <w:numPr>
          <w:ilvl w:val="0"/>
          <w:numId w:val="1002"/>
        </w:numPr>
        <w:pStyle w:val="Compact"/>
      </w:pPr>
      <w:r>
        <w:rPr>
          <w:bCs/>
          <w:b/>
        </w:rPr>
        <w:t xml:space="preserve">Reference</w:t>
      </w:r>
      <w:r>
        <w:t xml:space="preserve">：对外部信息源或文献的引用</w:t>
      </w:r>
    </w:p>
    <w:p>
      <w:pPr>
        <w:pStyle w:val="FirstParagraph"/>
      </w:pPr>
      <w:r>
        <w:t xml:space="preserve">不同数据集的组件类型定义差异反映了论辩挖掘任务的领域依赖性，也为跨领域迁移带来了挑战。</w:t>
      </w:r>
    </w:p>
    <w:p>
      <w:pPr>
        <w:pStyle w:val="BodyText"/>
      </w:pPr>
      <w:r>
        <w:rPr>
          <w:bCs/>
          <w:b/>
        </w:rPr>
        <w:t xml:space="preserve">定义2.4（论辩组件的形式化表示）</w:t>
      </w:r>
      <w:r>
        <w:t xml:space="preserve">：给定输入文本</w:t>
      </w:r>
      <m:oMath>
        <m:r>
          <m:t>D</m:t>
        </m:r>
        <m:r>
          <m:rPr>
            <m:sty m:val="p"/>
          </m:rPr>
          <m:t>=</m:t>
        </m:r>
        <m:d>
          <m:dPr>
            <m:begChr m:val="("/>
            <m:endChr m:val=")"/>
            <m:sepChr m:val=""/>
            <m:grow/>
          </m:dPr>
          <m:e>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e>
        </m:d>
      </m:oMath>
      <w:r>
        <w:t xml:space="preserve">，其中</w:t>
      </w:r>
      <m:oMath>
        <m:sSub>
          <m:e>
            <m:r>
              <m:t>t</m:t>
            </m:r>
          </m:e>
          <m:sub>
            <m:r>
              <m:t>i</m:t>
            </m:r>
          </m:sub>
        </m:sSub>
      </m:oMath>
      <w:r>
        <w:t xml:space="preserve">表示第</w:t>
      </w:r>
      <m:oMath>
        <m:r>
          <m:t>i</m:t>
        </m:r>
      </m:oMath>
      <w:r>
        <w:t xml:space="preserve">个token，一个论辩组件</w:t>
      </w:r>
      <m:oMath>
        <m:r>
          <m:t>c</m:t>
        </m:r>
      </m:oMath>
      <w:r>
        <w:t xml:space="preserve">可表示为三元组：</w:t>
      </w:r>
    </w:p>
    <w:p>
      <w:pPr>
        <w:pStyle w:val="BodyText"/>
      </w:pPr>
      <m:oMathPara>
        <m:oMathParaPr>
          <m:jc m:val="center"/>
        </m:oMathParaPr>
        <m:oMath>
          <m:r>
            <m:t>c</m:t>
          </m:r>
          <m:r>
            <m:rPr>
              <m:sty m:val="p"/>
            </m:rPr>
            <m:t>=</m:t>
          </m:r>
          <m:d>
            <m:dPr>
              <m:begChr m:val="("/>
              <m:endChr m:val=")"/>
              <m:sepChr m:val=""/>
              <m:grow/>
            </m:dPr>
            <m:e>
              <m:r>
                <m:t>s</m:t>
              </m:r>
              <m:r>
                <m:rPr>
                  <m:sty m:val="p"/>
                </m:rPr>
                <m:t>,</m:t>
              </m:r>
              <m:r>
                <m:t>e</m:t>
              </m:r>
              <m:r>
                <m:rPr>
                  <m:sty m:val="p"/>
                </m:rPr>
                <m:t>,</m:t>
              </m:r>
              <m:r>
                <m:t>τ</m:t>
              </m:r>
            </m:e>
          </m:d>
        </m:oMath>
      </m:oMathPara>
    </w:p>
    <w:p>
      <w:pPr>
        <w:pStyle w:val="FirstParagraph"/>
      </w:pPr>
      <w:r>
        <w:t xml:space="preserve">其中</w:t>
      </w:r>
      <m:oMath>
        <m:r>
          <m:t>s</m:t>
        </m:r>
        <m:r>
          <m:rPr>
            <m:sty m:val="p"/>
          </m:rPr>
          <m:t>∈</m:t>
        </m:r>
        <m:r>
          <m:rPr>
            <m:sty m:val="p"/>
          </m:rPr>
          <m:t>{</m:t>
        </m:r>
        <m:r>
          <m:t>1</m:t>
        </m:r>
        <m:r>
          <m:rPr>
            <m:sty m:val="p"/>
          </m:rPr>
          <m:t>,</m:t>
        </m:r>
        <m:r>
          <m:t>2</m:t>
        </m:r>
        <m:r>
          <m:rPr>
            <m:sty m:val="p"/>
          </m:rPr>
          <m:t>,</m:t>
        </m:r>
        <m:r>
          <m:rPr>
            <m:sty m:val="p"/>
          </m:rPr>
          <m:t>…</m:t>
        </m:r>
        <m:r>
          <m:rPr>
            <m:sty m:val="p"/>
          </m:rPr>
          <m:t>,</m:t>
        </m:r>
        <m:r>
          <m:t>n</m:t>
        </m:r>
        <m:r>
          <m:rPr>
            <m:sty m:val="p"/>
          </m:rPr>
          <m:t>}</m:t>
        </m:r>
      </m:oMath>
      <w:r>
        <w:t xml:space="preserve">为组件的起始位置索引，</w:t>
      </w:r>
      <m:oMath>
        <m:r>
          <m:t>e</m:t>
        </m:r>
        <m:r>
          <m:rPr>
            <m:sty m:val="p"/>
          </m:rPr>
          <m:t>∈</m:t>
        </m:r>
        <m:r>
          <m:rPr>
            <m:sty m:val="p"/>
          </m:rPr>
          <m:t>{</m:t>
        </m:r>
        <m:r>
          <m:t>s</m:t>
        </m:r>
        <m:r>
          <m:rPr>
            <m:sty m:val="p"/>
          </m:rPr>
          <m:t>,</m:t>
        </m:r>
        <m:r>
          <m:t>s</m:t>
        </m:r>
        <m:r>
          <m:rPr>
            <m:sty m:val="p"/>
          </m:rPr>
          <m:t>+</m:t>
        </m:r>
        <m:r>
          <m:t>1</m:t>
        </m:r>
        <m:r>
          <m:rPr>
            <m:sty m:val="p"/>
          </m:rPr>
          <m:t>,</m:t>
        </m:r>
        <m:r>
          <m:rPr>
            <m:sty m:val="p"/>
          </m:rPr>
          <m:t>…</m:t>
        </m:r>
        <m:r>
          <m:rPr>
            <m:sty m:val="p"/>
          </m:rPr>
          <m:t>,</m:t>
        </m:r>
        <m:r>
          <m:t>n</m:t>
        </m:r>
        <m:r>
          <m:rPr>
            <m:sty m:val="p"/>
          </m:rPr>
          <m:t>}</m:t>
        </m:r>
      </m:oMath>
      <w:r>
        <w:t xml:space="preserve">为结束位置索引，</w:t>
      </w:r>
      <m:oMath>
        <m:r>
          <m:t>τ</m:t>
        </m:r>
        <m:r>
          <m:rPr>
            <m:sty m:val="p"/>
          </m:rPr>
          <m:t>∈</m:t>
        </m:r>
        <m:r>
          <m:rPr>
            <m:sty m:val="p"/>
            <m:scr m:val="script"/>
          </m:rPr>
          <m:t>T</m:t>
        </m:r>
      </m:oMath>
      <w:r>
        <w:t xml:space="preserve">为组件的类型标签。组件的文本内容为子序列</w:t>
      </w:r>
      <m:oMath>
        <m:d>
          <m:dPr>
            <m:begChr m:val="("/>
            <m:endChr m:val=")"/>
            <m:sepChr m:val=""/>
            <m:grow/>
          </m:dPr>
          <m:e>
            <m:sSub>
              <m:e>
                <m:r>
                  <m:t>t</m:t>
                </m:r>
              </m:e>
              <m:sub>
                <m:r>
                  <m:t>s</m:t>
                </m:r>
              </m:sub>
            </m:sSub>
            <m:r>
              <m:rPr>
                <m:sty m:val="p"/>
              </m:rPr>
              <m:t>,</m:t>
            </m:r>
            <m:sSub>
              <m:e>
                <m:r>
                  <m:t>t</m:t>
                </m:r>
              </m:e>
              <m:sub>
                <m:r>
                  <m:t>s</m:t>
                </m:r>
                <m:r>
                  <m:rPr>
                    <m:sty m:val="p"/>
                  </m:rPr>
                  <m:t>+</m:t>
                </m:r>
                <m:r>
                  <m:t>1</m:t>
                </m:r>
              </m:sub>
            </m:sSub>
            <m:r>
              <m:rPr>
                <m:sty m:val="p"/>
              </m:rPr>
              <m:t>,</m:t>
            </m:r>
            <m:r>
              <m:rPr>
                <m:sty m:val="p"/>
              </m:rPr>
              <m:t>…</m:t>
            </m:r>
            <m:r>
              <m:rPr>
                <m:sty m:val="p"/>
              </m:rPr>
              <m:t>,</m:t>
            </m:r>
            <m:sSub>
              <m:e>
                <m:r>
                  <m:t>t</m:t>
                </m:r>
              </m:e>
              <m:sub>
                <m:r>
                  <m:t>e</m:t>
                </m:r>
              </m:sub>
            </m:sSub>
          </m:e>
        </m:d>
      </m:oMath>
      <w:r>
        <w:t xml:space="preserve">。</w:t>
      </w:r>
    </w:p>
    <w:p>
      <w:pPr>
        <w:pStyle w:val="BodyText"/>
      </w:pPr>
      <w:r>
        <w:t xml:space="preserve">论辩组件识别任务可形式化为从文本</w:t>
      </w:r>
      <m:oMath>
        <m:r>
          <m:t>D</m:t>
        </m:r>
      </m:oMath>
      <w:r>
        <w:t xml:space="preserve">到组件集合</w:t>
      </w:r>
      <m:oMath>
        <m: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r>
          <m:rPr>
            <m:sty m:val="p"/>
          </m:rPr>
          <m:t>}</m:t>
        </m:r>
      </m:oMath>
      <w:r>
        <w:t xml:space="preserve">的映射，要求正确识别每个组件的边界</w:t>
      </w:r>
      <m:oMath>
        <m:d>
          <m:dPr>
            <m:begChr m:val="("/>
            <m:endChr m:val=")"/>
            <m:sepChr m:val=""/>
            <m:grow/>
          </m:dPr>
          <m:e>
            <m:sSub>
              <m:e>
                <m:r>
                  <m:t>s</m:t>
                </m:r>
              </m:e>
              <m:sub>
                <m:r>
                  <m:t>i</m:t>
                </m:r>
              </m:sub>
            </m:sSub>
            <m:r>
              <m:rPr>
                <m:sty m:val="p"/>
              </m:rPr>
              <m:t>,</m:t>
            </m:r>
            <m:sSub>
              <m:e>
                <m:r>
                  <m:t>e</m:t>
                </m:r>
              </m:e>
              <m:sub>
                <m:r>
                  <m:t>i</m:t>
                </m:r>
              </m:sub>
            </m:sSub>
          </m:e>
        </m:d>
      </m:oMath>
      <w:r>
        <w:t xml:space="preserve">和类型</w:t>
      </w:r>
      <m:oMath>
        <m:sSub>
          <m:e>
            <m:r>
              <m:t>τ</m:t>
            </m:r>
          </m:e>
          <m:sub>
            <m:r>
              <m:t>i</m:t>
            </m:r>
          </m:sub>
        </m:sSub>
      </m:oMath>
      <w:r>
        <w:t xml:space="preserve">。</w:t>
      </w:r>
    </w:p>
    <w:bookmarkEnd w:id="44"/>
    <w:bookmarkStart w:id="45" w:name="论辩关系的定义与类型"/>
    <w:p>
      <w:pPr>
        <w:pStyle w:val="Heading4"/>
      </w:pPr>
      <w:r>
        <w:t xml:space="preserve">2.1.3 论辩关系的定义与类型</w:t>
      </w:r>
    </w:p>
    <w:p>
      <w:pPr>
        <w:pStyle w:val="FirstParagraph"/>
      </w:pPr>
      <w:r>
        <w:t xml:space="preserve">论辩关系（Argument Relation）描述了论辩组件之间的逻辑连接，是论证结构的核心要素。常见的论辩关系包括支持关系和攻击关系[10][39]：</w:t>
      </w:r>
    </w:p>
    <w:p>
      <w:pPr>
        <w:pStyle w:val="BodyText"/>
      </w:pPr>
      <w:r>
        <w:rPr>
          <w:bCs/>
          <w:b/>
        </w:rPr>
        <w:t xml:space="preserve">定义2.5（支持关系，Support）</w:t>
      </w:r>
      <w:r>
        <w:t xml:space="preserve">：若组件</w:t>
      </w:r>
      <m:oMath>
        <m:sSub>
          <m:e>
            <m:r>
              <m:t>c</m:t>
            </m:r>
          </m:e>
          <m:sub>
            <m:r>
              <m:t>i</m:t>
            </m:r>
          </m:sub>
        </m:sSub>
      </m:oMath>
      <w:r>
        <w:t xml:space="preserve">为组件</w:t>
      </w:r>
      <m:oMath>
        <m:sSub>
          <m:e>
            <m:r>
              <m:t>c</m:t>
            </m:r>
          </m:e>
          <m:sub>
            <m:r>
              <m:t>j</m:t>
            </m:r>
          </m:sub>
        </m:sSub>
      </m:oMath>
      <w:r>
        <w:t xml:space="preserve">提供证据、理由或正面论证，则称</w:t>
      </w:r>
      <m:oMath>
        <m:sSub>
          <m:e>
            <m:r>
              <m:t>c</m:t>
            </m:r>
          </m:e>
          <m:sub>
            <m:r>
              <m:t>i</m:t>
            </m:r>
          </m:sub>
        </m:sSub>
      </m:oMath>
      <w:r>
        <w:t xml:space="preserve">支持</w:t>
      </w:r>
      <m:oMath>
        <m:sSub>
          <m:e>
            <m:r>
              <m:t>c</m:t>
            </m:r>
          </m:e>
          <m:sub>
            <m:r>
              <m:t>j</m:t>
            </m:r>
          </m:sub>
        </m:sSub>
      </m:oMath>
      <w:r>
        <w:t xml:space="preserve">，记为</w:t>
      </w:r>
      <m:oMath>
        <m:sSub>
          <m:e>
            <m:r>
              <m:t>c</m:t>
            </m:r>
          </m:e>
          <m:sub>
            <m:r>
              <m:t>i</m:t>
            </m:r>
          </m:sub>
        </m:sSub>
        <m:limUpp>
          <m:e>
            <m:r>
              <m:rPr>
                <m:sty m:val="p"/>
              </m:rPr>
              <m:t>→</m:t>
            </m:r>
          </m:e>
          <m:lim>
            <m:r>
              <m:t>S</m:t>
            </m:r>
            <m:r>
              <m:t>u</m:t>
            </m:r>
            <m:r>
              <m:t>p</m:t>
            </m:r>
            <m:r>
              <m:t>p</m:t>
            </m:r>
            <m:r>
              <m:t>o</m:t>
            </m:r>
            <m:r>
              <m:t>r</m:t>
            </m:r>
            <m:r>
              <m:t>t</m:t>
            </m:r>
          </m:lim>
        </m:limUpp>
        <m:sSub>
          <m:e>
            <m:r>
              <m:t>c</m:t>
            </m:r>
          </m:e>
          <m:sub>
            <m:r>
              <m:t>j</m:t>
            </m:r>
          </m:sub>
        </m:sSub>
      </m:oMath>
      <w:r>
        <w:t xml:space="preserve">。支持关系表示前提对主张的证成作用，或子主张对主要主张的佐证作用。支持关系是论辩中最常见的关系类型，体现了”理由支撑结论”的基本论证模式。支持关系的成立需要满足两个条件：（1）语义相关性——源组件的内容与目标组件的主题相关；（2）逻辑支撑性——源组件能够增强目标组件的可信度或说服力。</w:t>
      </w:r>
    </w:p>
    <w:p>
      <w:pPr>
        <w:pStyle w:val="BodyText"/>
      </w:pPr>
      <w:r>
        <w:rPr>
          <w:bCs/>
          <w:b/>
        </w:rPr>
        <w:t xml:space="preserve">定义2.6（攻击关系，Attack）</w:t>
      </w:r>
      <w:r>
        <w:t xml:space="preserve">：若组件</w:t>
      </w:r>
      <m:oMath>
        <m:sSub>
          <m:e>
            <m:r>
              <m:t>c</m:t>
            </m:r>
          </m:e>
          <m:sub>
            <m:r>
              <m:t>i</m:t>
            </m:r>
          </m:sub>
        </m:sSub>
      </m:oMath>
      <w:r>
        <w:t xml:space="preserve">对组件</w:t>
      </w:r>
      <m:oMath>
        <m:sSub>
          <m:e>
            <m:r>
              <m:t>c</m:t>
            </m:r>
          </m:e>
          <m:sub>
            <m:r>
              <m:t>j</m:t>
            </m:r>
          </m:sub>
        </m:sSub>
      </m:oMath>
      <w:r>
        <w:t xml:space="preserve">提出质疑、反驳或负面论证，则称</w:t>
      </w:r>
      <m:oMath>
        <m:sSub>
          <m:e>
            <m:r>
              <m:t>c</m:t>
            </m:r>
          </m:e>
          <m:sub>
            <m:r>
              <m:t>i</m:t>
            </m:r>
          </m:sub>
        </m:sSub>
      </m:oMath>
      <w:r>
        <w:t xml:space="preserve">攻击</w:t>
      </w:r>
      <m:oMath>
        <m:sSub>
          <m:e>
            <m:r>
              <m:t>c</m:t>
            </m:r>
          </m:e>
          <m:sub>
            <m:r>
              <m:t>j</m:t>
            </m:r>
          </m:sub>
        </m:sSub>
      </m:oMath>
      <w:r>
        <w:t xml:space="preserve">，记为</w:t>
      </w:r>
      <m:oMath>
        <m:sSub>
          <m:e>
            <m:r>
              <m:t>c</m:t>
            </m:r>
          </m:e>
          <m:sub>
            <m:r>
              <m:t>i</m:t>
            </m:r>
          </m:sub>
        </m:sSub>
        <m:limUpp>
          <m:e>
            <m:r>
              <m:rPr>
                <m:sty m:val="p"/>
              </m:rPr>
              <m:t>→</m:t>
            </m:r>
          </m:e>
          <m:lim>
            <m:r>
              <m:t>A</m:t>
            </m:r>
            <m:r>
              <m:t>t</m:t>
            </m:r>
            <m:r>
              <m:t>t</m:t>
            </m:r>
            <m:r>
              <m:t>a</m:t>
            </m:r>
            <m:r>
              <m:t>c</m:t>
            </m:r>
            <m:r>
              <m:t>k</m:t>
            </m:r>
          </m:lim>
        </m:limUpp>
        <m:sSub>
          <m:e>
            <m:r>
              <m:t>c</m:t>
            </m:r>
          </m:e>
          <m:sub>
            <m:r>
              <m:t>j</m:t>
            </m:r>
          </m:sub>
        </m:sSub>
      </m:oMath>
      <w:r>
        <w:t xml:space="preserve">。攻击关系表示论证中的对立面，反映论辩的辩证性质。攻击关系可以通过多种方式实现：直接否定主张的真值、质疑论据的可靠性、指出推理的谬误、提出反例或例外情况等。攻击关系在学术论文中相对稀少，但在辩论文本中较为常见。</w:t>
      </w:r>
    </w:p>
    <w:p>
      <w:pPr>
        <w:pStyle w:val="BodyText"/>
      </w:pPr>
      <w:r>
        <w:rPr>
          <w:bCs/>
          <w:b/>
        </w:rPr>
        <w:t xml:space="preserve">定义2.7（论辩关系的形式化表示）</w:t>
      </w:r>
      <w:r>
        <w:t xml:space="preserve">：给定两个论辩组件</w:t>
      </w:r>
      <m:oMath>
        <m:sSub>
          <m:e>
            <m:r>
              <m:t>c</m:t>
            </m:r>
          </m:e>
          <m:sub>
            <m:r>
              <m:t>i</m:t>
            </m:r>
          </m:sub>
        </m:sSub>
      </m:oMath>
      <w:r>
        <w:t xml:space="preserve">和</w:t>
      </w:r>
      <m:oMath>
        <m:sSub>
          <m:e>
            <m:r>
              <m:t>c</m:t>
            </m:r>
          </m:e>
          <m:sub>
            <m:r>
              <m:t>j</m:t>
            </m:r>
          </m:sub>
        </m:sSub>
      </m:oMath>
      <w:r>
        <w:t xml:space="preserve">，它们之间的论辩关系</w:t>
      </w:r>
      <m:oMath>
        <m:r>
          <m:t>r</m:t>
        </m:r>
      </m:oMath>
      <w:r>
        <w:t xml:space="preserve">可表示为三元组：</w:t>
      </w:r>
    </w:p>
    <w:p>
      <w:pPr>
        <w:pStyle w:val="BodyText"/>
      </w:pPr>
      <m:oMathPara>
        <m:oMathParaPr>
          <m:jc m:val="center"/>
        </m:oMathParaPr>
        <m:oMath>
          <m:r>
            <m:t>r</m:t>
          </m:r>
          <m:r>
            <m:rPr>
              <m:sty m:val="p"/>
            </m:rPr>
            <m:t>=</m:t>
          </m:r>
          <m:d>
            <m:dPr>
              <m:begChr m:val="("/>
              <m:endChr m:val=")"/>
              <m:sepChr m:val=""/>
              <m:grow/>
            </m:dPr>
            <m:e>
              <m:sSub>
                <m:e>
                  <m:r>
                    <m:t>c</m:t>
                  </m:r>
                </m:e>
                <m:sub>
                  <m:r>
                    <m:t>i</m:t>
                  </m:r>
                </m:sub>
              </m:sSub>
              <m:r>
                <m:rPr>
                  <m:sty m:val="p"/>
                </m:rPr>
                <m:t>,</m:t>
              </m:r>
              <m:sSub>
                <m:e>
                  <m:r>
                    <m:t>c</m:t>
                  </m:r>
                </m:e>
                <m:sub>
                  <m:r>
                    <m:t>j</m:t>
                  </m:r>
                </m:sub>
              </m:sSub>
              <m:r>
                <m:rPr>
                  <m:sty m:val="p"/>
                </m:rPr>
                <m:t>,</m:t>
              </m:r>
              <m:r>
                <m:t>ρ</m:t>
              </m:r>
            </m:e>
          </m:d>
        </m:oMath>
      </m:oMathPara>
    </w:p>
    <w:p>
      <w:pPr>
        <w:pStyle w:val="FirstParagraph"/>
      </w:pPr>
      <w:r>
        <w:t xml:space="preserve">其中</w:t>
      </w:r>
      <m:oMath>
        <m:sSub>
          <m:e>
            <m:r>
              <m:t>c</m:t>
            </m:r>
          </m:e>
          <m:sub>
            <m:r>
              <m:t>i</m:t>
            </m:r>
          </m:sub>
        </m:sSub>
      </m:oMath>
      <w:r>
        <w:t xml:space="preserve">为源组件（提供论据的一方），</w:t>
      </w:r>
      <m:oMath>
        <m:sSub>
          <m:e>
            <m:r>
              <m:t>c</m:t>
            </m:r>
          </m:e>
          <m:sub>
            <m:r>
              <m:t>j</m:t>
            </m:r>
          </m:sub>
        </m:sSub>
      </m:oMath>
      <w:r>
        <w:t xml:space="preserve">为目标组件（被支持或被攻击的一方），</w:t>
      </w:r>
      <m:oMath>
        <m:r>
          <m:t>ρ</m:t>
        </m:r>
        <m:r>
          <m:rPr>
            <m:sty m:val="p"/>
          </m:rPr>
          <m:t>∈</m:t>
        </m:r>
        <m:r>
          <m:rPr>
            <m:sty m:val="p"/>
            <m:scr m:val="script"/>
          </m:rPr>
          <m:t>R</m:t>
        </m:r>
        <m:r>
          <m:rPr>
            <m:sty m:val="p"/>
          </m:rPr>
          <m:t>=</m:t>
        </m:r>
        <m:r>
          <m:rPr>
            <m:sty m:val="p"/>
          </m:rPr>
          <m:t>{</m:t>
        </m:r>
        <m:r>
          <m:t>S</m:t>
        </m:r>
        <m:r>
          <m:t>u</m:t>
        </m:r>
        <m:r>
          <m:t>p</m:t>
        </m:r>
        <m:r>
          <m:t>p</m:t>
        </m:r>
        <m:r>
          <m:t>o</m:t>
        </m:r>
        <m:r>
          <m:t>r</m:t>
        </m:r>
        <m:r>
          <m:t>t</m:t>
        </m:r>
        <m:r>
          <m:rPr>
            <m:sty m:val="p"/>
          </m:rPr>
          <m:t>,</m:t>
        </m:r>
        <m:r>
          <m:t>A</m:t>
        </m:r>
        <m:r>
          <m:t>t</m:t>
        </m:r>
        <m:r>
          <m:t>t</m:t>
        </m:r>
        <m:r>
          <m:t>a</m:t>
        </m:r>
        <m:r>
          <m:t>c</m:t>
        </m:r>
        <m:r>
          <m:t>k</m:t>
        </m:r>
        <m:r>
          <m:rPr>
            <m:sty m:val="p"/>
          </m:rPr>
          <m:t>,</m:t>
        </m:r>
        <m:r>
          <m:t>N</m:t>
        </m:r>
        <m:r>
          <m:t>o</m:t>
        </m:r>
        <m:r>
          <m:t>n</m:t>
        </m:r>
        <m:r>
          <m:t>e</m:t>
        </m:r>
        <m:r>
          <m:rPr>
            <m:sty m:val="p"/>
          </m:rPr>
          <m:t>}</m:t>
        </m:r>
      </m:oMath>
      <w:r>
        <w:t xml:space="preserve">为关系类型。当</w:t>
      </w:r>
      <m:oMath>
        <m:r>
          <m:t>ρ</m:t>
        </m:r>
        <m:r>
          <m:rPr>
            <m:sty m:val="p"/>
          </m:rPr>
          <m:t>=</m:t>
        </m:r>
        <m:r>
          <m:t>N</m:t>
        </m:r>
        <m:r>
          <m:t>o</m:t>
        </m:r>
        <m:r>
          <m:t>n</m:t>
        </m:r>
        <m:r>
          <m:t>e</m:t>
        </m:r>
      </m:oMath>
      <w:r>
        <w:t xml:space="preserve">时，表示两个组件之间不存在直接的论辩关系。</w:t>
      </w:r>
    </w:p>
    <w:p>
      <w:pPr>
        <w:pStyle w:val="BodyText"/>
      </w:pPr>
      <w:r>
        <w:t xml:space="preserve">论辩关系的方向性是其重要特征。在论辩图中，关系边从源组件指向目标组件，表示”源组件为目标组件提供支持/攻击”的语义。这种方向性与论证的逻辑流向一致——证据支持结论，而非结论支持证据。</w:t>
      </w:r>
    </w:p>
    <w:bookmarkEnd w:id="45"/>
    <w:bookmarkStart w:id="46" w:name="论辩图的dag形式化表示"/>
    <w:p>
      <w:pPr>
        <w:pStyle w:val="Heading4"/>
      </w:pPr>
      <w:r>
        <w:t xml:space="preserve">2.1.4 论辩图的DAG形式化表示</w:t>
      </w:r>
    </w:p>
    <w:p>
      <w:pPr>
        <w:pStyle w:val="FirstParagraph"/>
      </w:pPr>
      <w:r>
        <w:t xml:space="preserve">论辩图（Argument Graph）是对文本论辩结构的图论表示，将组件抽象为节点，将关系抽象为有向边。由于论证逻辑的层次性要求，论辩图通常满足有向无环图（Directed Acyclic Graph, DAG）的约束[17]。</w:t>
      </w:r>
    </w:p>
    <w:p>
      <w:pPr>
        <w:pStyle w:val="BodyText"/>
      </w:pPr>
      <w:r>
        <w:rPr>
          <w:bCs/>
          <w:b/>
        </w:rPr>
        <w:t xml:space="preserve">定义2.8（论辩图）</w:t>
      </w:r>
      <w:r>
        <w:t xml:space="preserve">：给定输入文本</w:t>
      </w:r>
      <m:oMath>
        <m:r>
          <m:t>D</m:t>
        </m:r>
      </m:oMath>
      <w:r>
        <w:t xml:space="preserve">，其对应的论辩图</w:t>
      </w:r>
      <m:oMath>
        <m:r>
          <m:t>G</m:t>
        </m:r>
      </m:oMath>
      <w:r>
        <w:t xml:space="preserve">定义为二元组：</w:t>
      </w:r>
    </w:p>
    <w:p>
      <w:pPr>
        <w:pStyle w:val="BodyText"/>
      </w:pPr>
      <m:oMathPara>
        <m:oMathParaPr>
          <m:jc m:val="center"/>
        </m:oMathParaPr>
        <m:oMath>
          <m:r>
            <m:t>G</m:t>
          </m:r>
          <m:r>
            <m:rPr>
              <m:sty m:val="p"/>
            </m:rPr>
            <m:t>=</m:t>
          </m:r>
          <m:d>
            <m:dPr>
              <m:begChr m:val="("/>
              <m:endChr m:val=")"/>
              <m:sepChr m:val=""/>
              <m:grow/>
            </m:dPr>
            <m:e>
              <m:r>
                <m:t>V</m:t>
              </m:r>
              <m:r>
                <m:rPr>
                  <m:sty m:val="p"/>
                </m:rPr>
                <m:t>,</m:t>
              </m:r>
              <m:r>
                <m:t>E</m:t>
              </m:r>
            </m:e>
          </m:d>
        </m:oMath>
      </m:oMathPara>
    </w:p>
    <w:p>
      <w:pPr>
        <w:pStyle w:val="FirstParagraph"/>
      </w:pPr>
      <w:r>
        <w:t xml:space="preserve">其中：</w:t>
      </w:r>
      <w:r>
        <w:t xml:space="preserve"> </w:t>
      </w:r>
      <w:r>
        <w:t xml:space="preserve">-</w:t>
      </w:r>
      <w:r>
        <w:t xml:space="preserve"> </w:t>
      </w: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m</m:t>
            </m:r>
          </m:sub>
        </m:sSub>
        <m:r>
          <m:rPr>
            <m:sty m:val="p"/>
          </m:rPr>
          <m:t>}</m:t>
        </m:r>
      </m:oMath>
      <w:r>
        <w:t xml:space="preserve">为节点集合，每个节点</w:t>
      </w:r>
      <m:oMath>
        <m:sSub>
          <m:e>
            <m:r>
              <m:t>v</m:t>
            </m:r>
          </m:e>
          <m:sub>
            <m:r>
              <m:t>i</m:t>
            </m:r>
          </m:sub>
        </m:sSub>
      </m:oMath>
      <w:r>
        <w:t xml:space="preserve">对应一个论辩组件</w:t>
      </w:r>
      <m:oMath>
        <m:sSub>
          <m:e>
            <m:r>
              <m:t>c</m:t>
            </m:r>
          </m:e>
          <m:sub>
            <m:r>
              <m:t>i</m:t>
            </m:r>
          </m:sub>
        </m:sSub>
        <m:r>
          <m:rPr>
            <m:sty m:val="p"/>
          </m:rPr>
          <m:t>=</m:t>
        </m:r>
        <m:d>
          <m:dPr>
            <m:begChr m:val="("/>
            <m:endChr m:val=")"/>
            <m:sepChr m:val=""/>
            <m:grow/>
          </m:dPr>
          <m:e>
            <m:sSub>
              <m:e>
                <m:r>
                  <m:t>s</m:t>
                </m:r>
              </m:e>
              <m:sub>
                <m:r>
                  <m:t>i</m:t>
                </m:r>
              </m:sub>
            </m:sSub>
            <m:r>
              <m:rPr>
                <m:sty m:val="p"/>
              </m:rPr>
              <m:t>,</m:t>
            </m:r>
            <m:sSub>
              <m:e>
                <m:r>
                  <m:t>e</m:t>
                </m:r>
              </m:e>
              <m:sub>
                <m:r>
                  <m:t>i</m:t>
                </m:r>
              </m:sub>
            </m:sSub>
            <m:r>
              <m:rPr>
                <m:sty m:val="p"/>
              </m:rPr>
              <m:t>,</m:t>
            </m:r>
            <m:sSub>
              <m:e>
                <m:r>
                  <m:t>τ</m:t>
                </m:r>
              </m:e>
              <m:sub>
                <m:r>
                  <m:t>i</m:t>
                </m:r>
              </m:sub>
            </m:sSub>
          </m:e>
        </m:d>
      </m:oMath>
      <w:r>
        <w:t xml:space="preserve"> </w:t>
      </w:r>
      <w:r>
        <w:t xml:space="preserve">-</w:t>
      </w:r>
      <w:r>
        <w:t xml:space="preserve"> </w:t>
      </w:r>
      <m:oMath>
        <m:r>
          <m:t>E</m:t>
        </m:r>
        <m:r>
          <m:rPr>
            <m:sty m:val="p"/>
          </m:rPr>
          <m:t>⊆</m:t>
        </m:r>
        <m:r>
          <m:t>V</m:t>
        </m:r>
        <m:r>
          <m:rPr>
            <m:sty m:val="p"/>
          </m:rPr>
          <m:t>×</m:t>
        </m:r>
        <m:r>
          <m:t>V</m:t>
        </m:r>
        <m:r>
          <m:rPr>
            <m:sty m:val="p"/>
          </m:rPr>
          <m:t>×</m:t>
        </m:r>
        <m:r>
          <m:rPr>
            <m:sty m:val="p"/>
            <m:scr m:val="script"/>
          </m:rPr>
          <m:t>R</m:t>
        </m:r>
      </m:oMath>
      <w:r>
        <w:t xml:space="preserve">为有向边集合，每条边</w:t>
      </w:r>
      <m:oMath>
        <m:d>
          <m:dPr>
            <m:begChr m:val="("/>
            <m:endChr m:val=")"/>
            <m:sepChr m:val=""/>
            <m:grow/>
          </m:dPr>
          <m:e>
            <m:sSub>
              <m:e>
                <m:r>
                  <m:t>v</m:t>
                </m:r>
              </m:e>
              <m:sub>
                <m:r>
                  <m:t>i</m:t>
                </m:r>
              </m:sub>
            </m:sSub>
            <m:r>
              <m:rPr>
                <m:sty m:val="p"/>
              </m:rPr>
              <m:t>,</m:t>
            </m:r>
            <m:sSub>
              <m:e>
                <m:r>
                  <m:t>v</m:t>
                </m:r>
              </m:e>
              <m:sub>
                <m:r>
                  <m:t>j</m:t>
                </m:r>
              </m:sub>
            </m:sSub>
            <m:r>
              <m:rPr>
                <m:sty m:val="p"/>
              </m:rPr>
              <m:t>,</m:t>
            </m:r>
            <m:sSub>
              <m:e>
                <m:r>
                  <m:t>ρ</m:t>
                </m:r>
              </m:e>
              <m:sub>
                <m:r>
                  <m:t>i</m:t>
                </m:r>
                <m:r>
                  <m:t>j</m:t>
                </m:r>
              </m:sub>
            </m:sSub>
          </m:e>
        </m:d>
        <m:r>
          <m:rPr>
            <m:sty m:val="p"/>
          </m:rPr>
          <m:t>∈</m:t>
        </m:r>
        <m:r>
          <m:t>E</m:t>
        </m:r>
      </m:oMath>
      <w:r>
        <w:t xml:space="preserve">表示从组件</w:t>
      </w:r>
      <m:oMath>
        <m:sSub>
          <m:e>
            <m:r>
              <m:t>c</m:t>
            </m:r>
          </m:e>
          <m:sub>
            <m:r>
              <m:t>i</m:t>
            </m:r>
          </m:sub>
        </m:sSub>
      </m:oMath>
      <w:r>
        <w:t xml:space="preserve">到组件</w:t>
      </w:r>
      <m:oMath>
        <m:sSub>
          <m:e>
            <m:r>
              <m:t>c</m:t>
            </m:r>
          </m:e>
          <m:sub>
            <m:r>
              <m:t>j</m:t>
            </m:r>
          </m:sub>
        </m:sSub>
      </m:oMath>
      <w:r>
        <w:t xml:space="preserve">存在类型为</w:t>
      </w:r>
      <m:oMath>
        <m:sSub>
          <m:e>
            <m:r>
              <m:t>ρ</m:t>
            </m:r>
          </m:e>
          <m:sub>
            <m:r>
              <m:t>i</m:t>
            </m:r>
            <m:r>
              <m:t>j</m:t>
            </m:r>
          </m:sub>
        </m:sSub>
      </m:oMath>
      <w:r>
        <w:t xml:space="preserve">的论辩关系</w:t>
      </w:r>
    </w:p>
    <w:p>
      <w:pPr>
        <w:pStyle w:val="BodyText"/>
      </w:pPr>
      <w:r>
        <w:rPr>
          <w:bCs/>
          <w:b/>
        </w:rPr>
        <w:t xml:space="preserve">定义2.9（DAG约束）</w:t>
      </w:r>
      <w:r>
        <w:t xml:space="preserve">：论辩图</w:t>
      </w:r>
      <m:oMath>
        <m:r>
          <m:t>G</m:t>
        </m:r>
        <m:r>
          <m:rPr>
            <m:sty m:val="p"/>
          </m:rPr>
          <m:t>=</m:t>
        </m:r>
        <m:d>
          <m:dPr>
            <m:begChr m:val="("/>
            <m:endChr m:val=")"/>
            <m:sepChr m:val=""/>
            <m:grow/>
          </m:dPr>
          <m:e>
            <m:r>
              <m:t>V</m:t>
            </m:r>
            <m:r>
              <m:rPr>
                <m:sty m:val="p"/>
              </m:rPr>
              <m:t>,</m:t>
            </m:r>
            <m:r>
              <m:t>E</m:t>
            </m:r>
          </m:e>
        </m:d>
      </m:oMath>
      <w:r>
        <w:t xml:space="preserve">必须满足无环性约束，即不存在节点序列</w:t>
      </w:r>
      <m:oMath>
        <m:sSub>
          <m:e>
            <m:r>
              <m:t>v</m:t>
            </m:r>
          </m:e>
          <m:sub>
            <m:sSub>
              <m:e>
                <m:r>
                  <m:t>i</m:t>
                </m:r>
              </m:e>
              <m:sub>
                <m:r>
                  <m:t>1</m:t>
                </m:r>
              </m:sub>
            </m:sSub>
          </m:sub>
        </m:sSub>
        <m:r>
          <m:rPr>
            <m:sty m:val="p"/>
          </m:rPr>
          <m:t>,</m:t>
        </m:r>
        <m:sSub>
          <m:e>
            <m:r>
              <m:t>v</m:t>
            </m:r>
          </m:e>
          <m:sub>
            <m:sSub>
              <m:e>
                <m:r>
                  <m:t>i</m:t>
                </m:r>
              </m:e>
              <m:sub>
                <m:r>
                  <m:t>2</m:t>
                </m:r>
              </m:sub>
            </m:sSub>
          </m:sub>
        </m:sSub>
        <m:r>
          <m:rPr>
            <m:sty m:val="p"/>
          </m:rPr>
          <m:t>,</m:t>
        </m:r>
        <m:r>
          <m:rPr>
            <m:sty m:val="p"/>
          </m:rPr>
          <m:t>…</m:t>
        </m:r>
        <m:r>
          <m:rPr>
            <m:sty m:val="p"/>
          </m:rPr>
          <m:t>,</m:t>
        </m:r>
        <m:sSub>
          <m:e>
            <m:r>
              <m:t>v</m:t>
            </m:r>
          </m:e>
          <m:sub>
            <m:sSub>
              <m:e>
                <m:r>
                  <m:t>i</m:t>
                </m:r>
              </m:e>
              <m:sub>
                <m:r>
                  <m:t>k</m:t>
                </m:r>
              </m:sub>
            </m:sSub>
          </m:sub>
        </m:sSub>
      </m:oMath>
      <w:r>
        <w:t xml:space="preserve">使得：</w:t>
      </w:r>
    </w:p>
    <w:p>
      <w:pPr>
        <w:pStyle w:val="BodyText"/>
      </w:pPr>
      <m:oMathPara>
        <m:oMathParaPr>
          <m:jc m:val="center"/>
        </m:oMathParaPr>
        <m:oMath>
          <m:d>
            <m:dPr>
              <m:begChr m:val="("/>
              <m:endChr m:val=")"/>
              <m:sepChr m:val=""/>
              <m:grow/>
            </m:dPr>
            <m:e>
              <m:sSub>
                <m:e>
                  <m:r>
                    <m:t>v</m:t>
                  </m:r>
                </m:e>
                <m:sub>
                  <m:sSub>
                    <m:e>
                      <m:r>
                        <m:t>i</m:t>
                      </m:r>
                    </m:e>
                    <m:sub>
                      <m:r>
                        <m:t>1</m:t>
                      </m:r>
                    </m:sub>
                  </m:sSub>
                </m:sub>
              </m:sSub>
              <m:r>
                <m:rPr>
                  <m:sty m:val="p"/>
                </m:rPr>
                <m:t>,</m:t>
              </m:r>
              <m:sSub>
                <m:e>
                  <m:r>
                    <m:t>v</m:t>
                  </m:r>
                </m:e>
                <m:sub>
                  <m:sSub>
                    <m:e>
                      <m:r>
                        <m:t>i</m:t>
                      </m:r>
                    </m:e>
                    <m:sub>
                      <m:r>
                        <m:t>2</m:t>
                      </m:r>
                    </m:sub>
                  </m:sSub>
                </m:sub>
              </m:sSub>
              <m:r>
                <m:rPr>
                  <m:sty m:val="p"/>
                </m:rPr>
                <m:t>,</m:t>
              </m:r>
              <m:r>
                <m:rPr>
                  <m:sty m:val="p"/>
                </m:rPr>
                <m:t>⋅</m:t>
              </m:r>
            </m:e>
          </m:d>
          <m:r>
            <m:rPr>
              <m:sty m:val="p"/>
            </m:rPr>
            <m:t>∈</m:t>
          </m:r>
          <m:r>
            <m:t>E</m:t>
          </m:r>
          <m:r>
            <m:rPr>
              <m:sty m:val="p"/>
            </m:rPr>
            <m:t>∧</m:t>
          </m:r>
          <m:d>
            <m:dPr>
              <m:begChr m:val="("/>
              <m:endChr m:val=")"/>
              <m:sepChr m:val=""/>
              <m:grow/>
            </m:dPr>
            <m:e>
              <m:sSub>
                <m:e>
                  <m:r>
                    <m:t>v</m:t>
                  </m:r>
                </m:e>
                <m:sub>
                  <m:sSub>
                    <m:e>
                      <m:r>
                        <m:t>i</m:t>
                      </m:r>
                    </m:e>
                    <m:sub>
                      <m:r>
                        <m:t>2</m:t>
                      </m:r>
                    </m:sub>
                  </m:sSub>
                </m:sub>
              </m:sSub>
              <m:r>
                <m:rPr>
                  <m:sty m:val="p"/>
                </m:rPr>
                <m:t>,</m:t>
              </m:r>
              <m:sSub>
                <m:e>
                  <m:r>
                    <m:t>v</m:t>
                  </m:r>
                </m:e>
                <m:sub>
                  <m:sSub>
                    <m:e>
                      <m:r>
                        <m:t>i</m:t>
                      </m:r>
                    </m:e>
                    <m:sub>
                      <m:r>
                        <m:t>3</m:t>
                      </m:r>
                    </m:sub>
                  </m:sSub>
                </m:sub>
              </m:sSub>
              <m:r>
                <m:rPr>
                  <m:sty m:val="p"/>
                </m:rPr>
                <m:t>,</m:t>
              </m:r>
              <m:r>
                <m:rPr>
                  <m:sty m:val="p"/>
                </m:rPr>
                <m:t>⋅</m:t>
              </m:r>
            </m:e>
          </m:d>
          <m:r>
            <m:rPr>
              <m:sty m:val="p"/>
            </m:rPr>
            <m:t>∈</m:t>
          </m:r>
          <m:r>
            <m:t>E</m:t>
          </m:r>
          <m:r>
            <m:rPr>
              <m:sty m:val="p"/>
            </m:rPr>
            <m:t>∧</m:t>
          </m:r>
          <m:r>
            <m:rPr>
              <m:sty m:val="p"/>
            </m:rPr>
            <m:t>⋯</m:t>
          </m:r>
          <m:r>
            <m:rPr>
              <m:sty m:val="p"/>
            </m:rPr>
            <m:t>∧</m:t>
          </m:r>
          <m:d>
            <m:dPr>
              <m:begChr m:val="("/>
              <m:endChr m:val=")"/>
              <m:sepChr m:val=""/>
              <m:grow/>
            </m:dPr>
            <m:e>
              <m:sSub>
                <m:e>
                  <m:r>
                    <m:t>v</m:t>
                  </m:r>
                </m:e>
                <m:sub>
                  <m:sSub>
                    <m:e>
                      <m:r>
                        <m:t>i</m:t>
                      </m:r>
                    </m:e>
                    <m:sub>
                      <m:r>
                        <m:t>k</m:t>
                      </m:r>
                    </m:sub>
                  </m:sSub>
                </m:sub>
              </m:sSub>
              <m:r>
                <m:rPr>
                  <m:sty m:val="p"/>
                </m:rPr>
                <m:t>,</m:t>
              </m:r>
              <m:sSub>
                <m:e>
                  <m:r>
                    <m:t>v</m:t>
                  </m:r>
                </m:e>
                <m:sub>
                  <m:sSub>
                    <m:e>
                      <m:r>
                        <m:t>i</m:t>
                      </m:r>
                    </m:e>
                    <m:sub>
                      <m:r>
                        <m:t>1</m:t>
                      </m:r>
                    </m:sub>
                  </m:sSub>
                </m:sub>
              </m:sSub>
              <m:r>
                <m:rPr>
                  <m:sty m:val="p"/>
                </m:rPr>
                <m:t>,</m:t>
              </m:r>
              <m:r>
                <m:rPr>
                  <m:sty m:val="p"/>
                </m:rPr>
                <m:t>⋅</m:t>
              </m:r>
            </m:e>
          </m:d>
          <m:r>
            <m:rPr>
              <m:sty m:val="p"/>
            </m:rPr>
            <m:t>∈</m:t>
          </m:r>
          <m:r>
            <m:t>E</m:t>
          </m:r>
        </m:oMath>
      </m:oMathPara>
    </w:p>
    <w:p>
      <w:pPr>
        <w:pStyle w:val="FirstParagraph"/>
      </w:pPr>
      <w:r>
        <w:t xml:space="preserve">DAG约束确保了论证结构的逻辑一致性，避免出现”A支持B，B支持C，C支持A”这样的循环论证。循环论证在逻辑上是无效的，因为它无法建立真正的证成关系。在实际应用中，违反DAG约束的输出被视为无效的论辩图[17]。</w:t>
      </w:r>
    </w:p>
    <w:p>
      <w:pPr>
        <w:pStyle w:val="BodyText"/>
      </w:pPr>
      <w:r>
        <w:rPr>
          <w:bCs/>
          <w:b/>
        </w:rPr>
        <w:t xml:space="preserve">定义2.10（论辩图的结构特性）</w:t>
      </w:r>
      <w:r>
        <w:t xml:space="preserve">：论辩图</w:t>
      </w:r>
      <m:oMath>
        <m:r>
          <m:t>G</m:t>
        </m:r>
        <m:r>
          <m:rPr>
            <m:sty m:val="p"/>
          </m:rPr>
          <m:t>=</m:t>
        </m:r>
        <m:d>
          <m:dPr>
            <m:begChr m:val="("/>
            <m:endChr m:val=")"/>
            <m:sepChr m:val=""/>
            <m:grow/>
          </m:dPr>
          <m:e>
            <m:r>
              <m:t>V</m:t>
            </m:r>
            <m:r>
              <m:rPr>
                <m:sty m:val="p"/>
              </m:rPr>
              <m:t>,</m:t>
            </m:r>
            <m:r>
              <m:t>E</m:t>
            </m:r>
          </m:e>
        </m:d>
      </m:oMath>
      <w:r>
        <w:t xml:space="preserve">具有以下结构特性：</w:t>
      </w:r>
    </w:p>
    <w:p>
      <w:pPr>
        <w:numPr>
          <w:ilvl w:val="0"/>
          <w:numId w:val="1003"/>
        </w:numPr>
        <w:pStyle w:val="Compact"/>
      </w:pPr>
      <w:r>
        <w:rPr>
          <w:bCs/>
          <w:b/>
        </w:rPr>
        <w:t xml:space="preserve">入度（In-degree）</w:t>
      </w:r>
      <w:r>
        <w:t xml:space="preserve">：节点</w:t>
      </w:r>
      <m:oMath>
        <m:r>
          <m:t>v</m:t>
        </m:r>
      </m:oMath>
      <w:r>
        <w:t xml:space="preserve">的入度</w:t>
      </w:r>
      <m:oMath>
        <m:sSub>
          <m:e>
            <m:r>
              <m:t>d</m:t>
            </m:r>
          </m:e>
          <m:sub>
            <m:r>
              <m:t>i</m:t>
            </m:r>
            <m:r>
              <m:t>n</m:t>
            </m:r>
          </m:sub>
        </m:sSub>
        <m:d>
          <m:dPr>
            <m:begChr m:val="("/>
            <m:endChr m:val=")"/>
            <m:sepChr m:val=""/>
            <m:grow/>
          </m:dPr>
          <m:e>
            <m:r>
              <m:t>v</m:t>
            </m:r>
          </m:e>
        </m:d>
        <m:r>
          <m:rPr>
            <m:sty m:val="p"/>
          </m:rPr>
          <m:t>=</m:t>
        </m:r>
        <m:d>
          <m:dPr>
            <m:begChr m:val="|"/>
            <m:endChr m:val="|"/>
            <m:sepChr m:val=""/>
            <m:grow/>
          </m:dPr>
          <m:e>
            <m:r>
              <m:rPr>
                <m:sty m:val="p"/>
              </m:rPr>
              <m:t>{</m:t>
            </m:r>
            <m:d>
              <m:dPr>
                <m:begChr m:val="("/>
                <m:endChr m:val=")"/>
                <m:sepChr m:val=""/>
                <m:grow/>
              </m:dPr>
              <m:e>
                <m:r>
                  <m:t>u</m:t>
                </m:r>
                <m:r>
                  <m:rPr>
                    <m:sty m:val="p"/>
                  </m:rPr>
                  <m:t>,</m:t>
                </m:r>
                <m:r>
                  <m:t>v</m:t>
                </m:r>
                <m:r>
                  <m:rPr>
                    <m:sty m:val="p"/>
                  </m:rPr>
                  <m:t>,</m:t>
                </m:r>
                <m:r>
                  <m:rPr>
                    <m:sty m:val="p"/>
                  </m:rPr>
                  <m:t>⋅</m:t>
                </m:r>
              </m:e>
            </m:d>
            <m:r>
              <m:rPr>
                <m:sty m:val="p"/>
              </m:rPr>
              <m:t>∈</m:t>
            </m:r>
            <m:r>
              <m:t>E</m:t>
            </m:r>
            <m:r>
              <m:rPr>
                <m:sty m:val="p"/>
              </m:rPr>
              <m:t>}</m:t>
            </m:r>
          </m:e>
        </m:d>
      </m:oMath>
      <w:r>
        <w:t xml:space="preserve">，表示支持或攻击该组件的其他组件数量。入度反映了组件获得的证据支撑强度。</w:t>
      </w:r>
    </w:p>
    <w:p>
      <w:pPr>
        <w:numPr>
          <w:ilvl w:val="0"/>
          <w:numId w:val="1003"/>
        </w:numPr>
        <w:pStyle w:val="Compact"/>
      </w:pPr>
      <w:r>
        <w:rPr>
          <w:bCs/>
          <w:b/>
        </w:rPr>
        <w:t xml:space="preserve">出度（Out-degree）</w:t>
      </w:r>
      <w:r>
        <w:t xml:space="preserve">：节点</w:t>
      </w:r>
      <m:oMath>
        <m:r>
          <m:t>v</m:t>
        </m:r>
      </m:oMath>
      <w:r>
        <w:t xml:space="preserve">的出度</w:t>
      </w:r>
      <m:oMath>
        <m:sSub>
          <m:e>
            <m:r>
              <m:t>d</m:t>
            </m:r>
          </m:e>
          <m:sub>
            <m:r>
              <m:t>o</m:t>
            </m:r>
            <m:r>
              <m:t>u</m:t>
            </m:r>
            <m:r>
              <m:t>t</m:t>
            </m:r>
          </m:sub>
        </m:sSub>
        <m:d>
          <m:dPr>
            <m:begChr m:val="("/>
            <m:endChr m:val=")"/>
            <m:sepChr m:val=""/>
            <m:grow/>
          </m:dPr>
          <m:e>
            <m:r>
              <m:t>v</m:t>
            </m:r>
          </m:e>
        </m:d>
        <m:r>
          <m:rPr>
            <m:sty m:val="p"/>
          </m:rPr>
          <m:t>=</m:t>
        </m:r>
        <m:d>
          <m:dPr>
            <m:begChr m:val="|"/>
            <m:endChr m:val="|"/>
            <m:sepChr m:val=""/>
            <m:grow/>
          </m:dPr>
          <m:e>
            <m:r>
              <m:rPr>
                <m:sty m:val="p"/>
              </m:rPr>
              <m:t>{</m:t>
            </m:r>
            <m:d>
              <m:dPr>
                <m:begChr m:val="("/>
                <m:endChr m:val=")"/>
                <m:sepChr m:val=""/>
                <m:grow/>
              </m:dPr>
              <m:e>
                <m:r>
                  <m:t>v</m:t>
                </m:r>
                <m:r>
                  <m:rPr>
                    <m:sty m:val="p"/>
                  </m:rPr>
                  <m:t>,</m:t>
                </m:r>
                <m:r>
                  <m:t>u</m:t>
                </m:r>
                <m:r>
                  <m:rPr>
                    <m:sty m:val="p"/>
                  </m:rPr>
                  <m:t>,</m:t>
                </m:r>
                <m:r>
                  <m:rPr>
                    <m:sty m:val="p"/>
                  </m:rPr>
                  <m:t>⋅</m:t>
                </m:r>
              </m:e>
            </m:d>
            <m:r>
              <m:rPr>
                <m:sty m:val="p"/>
              </m:rPr>
              <m:t>∈</m:t>
            </m:r>
            <m:r>
              <m:t>E</m:t>
            </m:r>
            <m:r>
              <m:rPr>
                <m:sty m:val="p"/>
              </m:rPr>
              <m:t>}</m:t>
            </m:r>
          </m:e>
        </m:d>
      </m:oMath>
      <w:r>
        <w:t xml:space="preserve">，表示该组件支持或攻击的其他组件数量。出度反映了组件在论证中的支撑作用范围。</w:t>
      </w:r>
    </w:p>
    <w:p>
      <w:pPr>
        <w:numPr>
          <w:ilvl w:val="0"/>
          <w:numId w:val="1003"/>
        </w:numPr>
        <w:pStyle w:val="Compact"/>
      </w:pPr>
      <w:r>
        <w:rPr>
          <w:bCs/>
          <w:b/>
        </w:rPr>
        <w:t xml:space="preserve">根节点（Root）</w:t>
      </w:r>
      <w:r>
        <w:t xml:space="preserve">：出度为0的节点通常为主要主张，是论证结构的顶层。根节点是论证的最终目标，不为其他组件提供支持。</w:t>
      </w:r>
    </w:p>
    <w:p>
      <w:pPr>
        <w:numPr>
          <w:ilvl w:val="0"/>
          <w:numId w:val="1003"/>
        </w:numPr>
        <w:pStyle w:val="Compact"/>
      </w:pPr>
      <w:r>
        <w:rPr>
          <w:bCs/>
          <w:b/>
        </w:rPr>
        <w:t xml:space="preserve">叶节点（Leaf）</w:t>
      </w:r>
      <w:r>
        <w:t xml:space="preserve">：入度为0的节点通常为基础前提，是论证结构的底层。叶节点是论证的基础，不需要其他组件的支持。</w:t>
      </w:r>
    </w:p>
    <w:p>
      <w:pPr>
        <w:numPr>
          <w:ilvl w:val="0"/>
          <w:numId w:val="1003"/>
        </w:numPr>
        <w:pStyle w:val="Compact"/>
      </w:pPr>
      <w:r>
        <w:rPr>
          <w:bCs/>
          <w:b/>
        </w:rPr>
        <w:t xml:space="preserve">深度（Depth）</w:t>
      </w:r>
      <w:r>
        <w:t xml:space="preserve">：从根节点到叶节点的最长路径长度，反映论证结构的层次复杂度。</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结构特性</w:t>
            </w:r>
          </w:p>
        </w:tc>
        <w:tc>
          <w:tcPr/>
          <w:p>
            <w:pPr>
              <w:pStyle w:val="Compact"/>
              <w:jc w:val="left"/>
            </w:pPr>
            <w:r>
              <w:t xml:space="preserve">定义</w:t>
            </w:r>
          </w:p>
        </w:tc>
        <w:tc>
          <w:tcPr/>
          <w:p>
            <w:pPr>
              <w:pStyle w:val="Compact"/>
              <w:jc w:val="left"/>
            </w:pPr>
            <w:r>
              <w:t xml:space="preserve">论辩语义</w:t>
            </w:r>
          </w:p>
        </w:tc>
        <w:tc>
          <w:tcPr/>
          <w:p>
            <w:pPr>
              <w:pStyle w:val="Compact"/>
              <w:jc w:val="left"/>
            </w:pPr>
            <w:r>
              <w:t xml:space="preserve">典型值</w:t>
            </w:r>
          </w:p>
        </w:tc>
      </w:tr>
      <w:tr>
        <w:tc>
          <w:tcPr/>
          <w:p>
            <w:pPr>
              <w:pStyle w:val="Compact"/>
              <w:jc w:val="left"/>
            </w:pPr>
            <w:r>
              <w:t xml:space="preserve">入度</w:t>
            </w:r>
          </w:p>
        </w:tc>
        <w:tc>
          <w:tcPr/>
          <w:p>
            <w:pPr>
              <w:pStyle w:val="Compact"/>
              <w:jc w:val="left"/>
            </w:pPr>
            <w:r>
              <w:t xml:space="preserve">指向该节点的边数</w:t>
            </w:r>
          </w:p>
        </w:tc>
        <w:tc>
          <w:tcPr/>
          <w:p>
            <w:pPr>
              <w:pStyle w:val="Compact"/>
              <w:jc w:val="left"/>
            </w:pPr>
            <w:r>
              <w:t xml:space="preserve">获得的支撑数量</w:t>
            </w:r>
          </w:p>
        </w:tc>
        <w:tc>
          <w:tcPr/>
          <w:p>
            <w:pPr>
              <w:pStyle w:val="Compact"/>
              <w:jc w:val="left"/>
            </w:pPr>
            <w:r>
              <w:t xml:space="preserve">前提=0，主张≥1</w:t>
            </w:r>
          </w:p>
        </w:tc>
      </w:tr>
      <w:tr>
        <w:tc>
          <w:tcPr/>
          <w:p>
            <w:pPr>
              <w:pStyle w:val="Compact"/>
              <w:jc w:val="left"/>
            </w:pPr>
            <w:r>
              <w:t xml:space="preserve">出度</w:t>
            </w:r>
          </w:p>
        </w:tc>
        <w:tc>
          <w:tcPr/>
          <w:p>
            <w:pPr>
              <w:pStyle w:val="Compact"/>
              <w:jc w:val="left"/>
            </w:pPr>
            <w:r>
              <w:t xml:space="preserve">从该节点出发的边数</w:t>
            </w:r>
          </w:p>
        </w:tc>
        <w:tc>
          <w:tcPr/>
          <w:p>
            <w:pPr>
              <w:pStyle w:val="Compact"/>
              <w:jc w:val="left"/>
            </w:pPr>
            <w:r>
              <w:t xml:space="preserve">提供的支撑数量</w:t>
            </w:r>
          </w:p>
        </w:tc>
        <w:tc>
          <w:tcPr/>
          <w:p>
            <w:pPr>
              <w:pStyle w:val="Compact"/>
              <w:jc w:val="left"/>
            </w:pPr>
            <w:r>
              <w:t xml:space="preserve">主张=0，前提≥1</w:t>
            </w:r>
          </w:p>
        </w:tc>
      </w:tr>
      <w:tr>
        <w:tc>
          <w:tcPr/>
          <w:p>
            <w:pPr>
              <w:pStyle w:val="Compact"/>
              <w:jc w:val="left"/>
            </w:pPr>
            <w:r>
              <w:t xml:space="preserve">深度</w:t>
            </w:r>
          </w:p>
        </w:tc>
        <w:tc>
          <w:tcPr/>
          <w:p>
            <w:pPr>
              <w:pStyle w:val="Compact"/>
              <w:jc w:val="left"/>
            </w:pPr>
            <w:r>
              <w:t xml:space="preserve">根到叶的最长路径</w:t>
            </w:r>
          </w:p>
        </w:tc>
        <w:tc>
          <w:tcPr/>
          <w:p>
            <w:pPr>
              <w:pStyle w:val="Compact"/>
              <w:jc w:val="left"/>
            </w:pPr>
            <w:r>
              <w:t xml:space="preserve">论证层次复杂度</w:t>
            </w:r>
          </w:p>
        </w:tc>
        <w:tc>
          <w:tcPr/>
          <w:p>
            <w:pPr>
              <w:pStyle w:val="Compact"/>
              <w:jc w:val="left"/>
            </w:pPr>
            <w:r>
              <w:t xml:space="preserve">AAEC约2-4层</w:t>
            </w:r>
          </w:p>
        </w:tc>
      </w:tr>
    </w:tbl>
    <w:bookmarkEnd w:id="46"/>
    <w:bookmarkStart w:id="47" w:name="端到端论辩挖掘任务的输入输出定义"/>
    <w:p>
      <w:pPr>
        <w:pStyle w:val="Heading4"/>
      </w:pPr>
      <w:r>
        <w:t xml:space="preserve">2.1.5 端到端论辩挖掘任务的输入输出定义</w:t>
      </w:r>
    </w:p>
    <w:p>
      <w:pPr>
        <w:pStyle w:val="FirstParagraph"/>
      </w:pPr>
      <w:r>
        <w:t xml:space="preserve">端到端论辩挖掘（End-to-End Argument Mining）任务要求系统在一次推理过程中同时完成组件识别和关系预测，直接输出完整的论辩图结构[20]。</w:t>
      </w:r>
    </w:p>
    <w:p>
      <w:pPr>
        <w:pStyle w:val="BodyText"/>
      </w:pPr>
      <w:r>
        <w:rPr>
          <w:bCs/>
          <w:b/>
        </w:rPr>
        <w:t xml:space="preserve">定义2.11（端到端论辩挖掘任务）</w:t>
      </w:r>
      <w:r>
        <w:t xml:space="preserve">：给定输入文本</w:t>
      </w:r>
      <m:oMath>
        <m:r>
          <m:t>D</m:t>
        </m:r>
        <m:r>
          <m:rPr>
            <m:sty m:val="p"/>
          </m:rPr>
          <m:t>=</m:t>
        </m:r>
        <m:d>
          <m:dPr>
            <m:begChr m:val="("/>
            <m:endChr m:val=")"/>
            <m:sepChr m:val=""/>
            <m:grow/>
          </m:dPr>
          <m:e>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e>
        </m:d>
      </m:oMath>
      <w:r>
        <w:t xml:space="preserve">，端到端论辩挖掘任务的目标是学习一个映射函数</w:t>
      </w:r>
      <m:oMath>
        <m:r>
          <m:t>f</m:t>
        </m:r>
        <m:r>
          <m:rPr>
            <m:sty m:val="p"/>
          </m:rPr>
          <m:t>:</m:t>
        </m:r>
        <m:r>
          <m:rPr>
            <m:sty m:val="p"/>
            <m:scr m:val="script"/>
          </m:rPr>
          <m:t>D</m:t>
        </m:r>
        <m:r>
          <m:rPr>
            <m:sty m:val="p"/>
          </m:rPr>
          <m:t>→</m:t>
        </m:r>
        <m:r>
          <m:rPr>
            <m:sty m:val="p"/>
            <m:scr m:val="script"/>
          </m:rPr>
          <m:t>G</m:t>
        </m:r>
      </m:oMath>
      <w:r>
        <w:t xml:space="preserve">，使得：</w:t>
      </w:r>
    </w:p>
    <w:p>
      <w:pPr>
        <w:pStyle w:val="BodyText"/>
      </w:pPr>
      <m:oMathPara>
        <m:oMathParaPr>
          <m:jc m:val="center"/>
        </m:oMathParaPr>
        <m:oMath>
          <m:sSup>
            <m:e>
              <m:r>
                <m:t>G</m:t>
              </m:r>
            </m:e>
            <m:sup>
              <m:r>
                <m:rPr>
                  <m:sty m:val="p"/>
                </m:rPr>
                <m:t>*</m:t>
              </m:r>
            </m:sup>
          </m:sSup>
          <m:r>
            <m:rPr>
              <m:sty m:val="p"/>
            </m:rPr>
            <m:t>=</m:t>
          </m:r>
          <m:r>
            <m:t>f</m:t>
          </m:r>
          <m:d>
            <m:dPr>
              <m:begChr m:val="("/>
              <m:endChr m:val=")"/>
              <m:sepChr m:val=""/>
              <m:grow/>
            </m:dPr>
            <m:e>
              <m:r>
                <m:t>D</m:t>
              </m:r>
            </m:e>
          </m:d>
          <m:r>
            <m:rPr>
              <m:sty m:val="p"/>
            </m:rPr>
            <m:t>=</m:t>
          </m:r>
          <m:d>
            <m:dPr>
              <m:begChr m:val="("/>
              <m:endChr m:val=")"/>
              <m:sepChr m:val=""/>
              <m:grow/>
            </m:dPr>
            <m:e>
              <m:sSup>
                <m:e>
                  <m:r>
                    <m:t>V</m:t>
                  </m:r>
                </m:e>
                <m:sup>
                  <m:r>
                    <m:rPr>
                      <m:sty m:val="p"/>
                    </m:rPr>
                    <m:t>*</m:t>
                  </m:r>
                </m:sup>
              </m:sSup>
              <m:r>
                <m:rPr>
                  <m:sty m:val="p"/>
                </m:rPr>
                <m:t>,</m:t>
              </m:r>
              <m:sSup>
                <m:e>
                  <m:r>
                    <m:t>E</m:t>
                  </m:r>
                </m:e>
                <m:sup>
                  <m:r>
                    <m:rPr>
                      <m:sty m:val="p"/>
                    </m:rPr>
                    <m:t>*</m:t>
                  </m:r>
                </m:sup>
              </m:sSup>
            </m:e>
          </m:d>
        </m:oMath>
      </m:oMathPara>
    </w:p>
    <w:p>
      <w:pPr>
        <w:pStyle w:val="FirstParagraph"/>
      </w:pPr>
      <w:r>
        <w:t xml:space="preserve">其中</w:t>
      </w:r>
      <m:oMath>
        <m:r>
          <m:rPr>
            <m:sty m:val="p"/>
            <m:scr m:val="script"/>
          </m:rPr>
          <m:t>D</m:t>
        </m:r>
      </m:oMath>
      <w:r>
        <w:t xml:space="preserve">为所有可能输入文本的空间，</w:t>
      </w:r>
      <m:oMath>
        <m:r>
          <m:rPr>
            <m:sty m:val="p"/>
            <m:scr m:val="script"/>
          </m:rPr>
          <m:t>G</m:t>
        </m:r>
      </m:oMath>
      <w:r>
        <w:t xml:space="preserve">为所有满足DAG约束的论辩图空间，</w:t>
      </w:r>
      <m:oMath>
        <m:sSup>
          <m:e>
            <m:r>
              <m:t>G</m:t>
            </m:r>
          </m:e>
          <m:sup>
            <m:r>
              <m:rPr>
                <m:sty m:val="p"/>
              </m:rPr>
              <m:t>*</m:t>
            </m:r>
          </m:sup>
        </m:sSup>
        <m:r>
          <m:rPr>
            <m:sty m:val="p"/>
          </m:rPr>
          <m:t>=</m:t>
        </m:r>
        <m:d>
          <m:dPr>
            <m:begChr m:val="("/>
            <m:endChr m:val=")"/>
            <m:sepChr m:val=""/>
            <m:grow/>
          </m:dPr>
          <m:e>
            <m:sSup>
              <m:e>
                <m:r>
                  <m:t>V</m:t>
                </m:r>
              </m:e>
              <m:sup>
                <m:r>
                  <m:rPr>
                    <m:sty m:val="p"/>
                  </m:rPr>
                  <m:t>*</m:t>
                </m:r>
              </m:sup>
            </m:sSup>
            <m:r>
              <m:rPr>
                <m:sty m:val="p"/>
              </m:rPr>
              <m:t>,</m:t>
            </m:r>
            <m:sSup>
              <m:e>
                <m:r>
                  <m:t>E</m:t>
                </m:r>
              </m:e>
              <m:sup>
                <m:r>
                  <m:rPr>
                    <m:sty m:val="p"/>
                  </m:rPr>
                  <m:t>*</m:t>
                </m:r>
              </m:sup>
            </m:sSup>
          </m:e>
        </m:d>
      </m:oMath>
      <w:r>
        <w:t xml:space="preserve">为预测的论辩图。</w:t>
      </w:r>
    </w:p>
    <w:p>
      <w:pPr>
        <w:pStyle w:val="BodyText"/>
      </w:pPr>
      <w:r>
        <w:t xml:space="preserve">在基于大语言模型的生成式方法中，论辩图被序列化为结构化文本格式（如JSON），模型通过自回归生成直接输出包含组件和关系信息的结构化序列[20]：</w:t>
      </w:r>
    </w:p>
    <w:p>
      <w:pPr>
        <w:pStyle w:val="BodyText"/>
      </w:pPr>
      <m:oMathPara>
        <m:oMathParaPr>
          <m:jc m:val="center"/>
        </m:oMathParaPr>
        <m:oMath>
          <m:acc>
            <m:accPr>
              <m:chr m:val="̂"/>
            </m:accPr>
            <m:e>
              <m:r>
                <m:t>y</m:t>
              </m:r>
            </m:e>
          </m:acc>
          <m:r>
            <m:rPr>
              <m:sty m:val="p"/>
            </m:rPr>
            <m:t>=</m:t>
          </m:r>
          <m:r>
            <m:rPr>
              <m:nor/>
              <m:sty m:val="p"/>
            </m:rPr>
            <m:t>LLM</m:t>
          </m:r>
          <m:d>
            <m:dPr>
              <m:begChr m:val="("/>
              <m:endChr m:val=")"/>
              <m:sepChr m:val=""/>
              <m:grow/>
            </m:dPr>
            <m:e>
              <m:r>
                <m:t>D</m:t>
              </m:r>
              <m:r>
                <m:rPr>
                  <m:sty m:val="p"/>
                </m:rPr>
                <m:t>;</m:t>
              </m:r>
              <m:r>
                <m:t>θ</m:t>
              </m:r>
            </m:e>
          </m:d>
        </m:oMath>
      </m:oMathPara>
    </w:p>
    <w:p>
      <w:pPr>
        <w:pStyle w:val="FirstParagraph"/>
      </w:pPr>
      <w:r>
        <w:t xml:space="preserve">其中</w:t>
      </w:r>
      <m:oMath>
        <m:acc>
          <m:accPr>
            <m:chr m:val="̂"/>
          </m:accPr>
          <m:e>
            <m:r>
              <m:t>y</m:t>
            </m:r>
          </m:e>
        </m:acc>
      </m:oMath>
      <w:r>
        <w:t xml:space="preserve">为JSON格式的输出序列，包含组件列表</w:t>
      </w:r>
      <m:oMath>
        <m:r>
          <m:rPr>
            <m:sty m:val="p"/>
          </m:rPr>
          <m:t>{</m:t>
        </m:r>
        <m:d>
          <m:dPr>
            <m:begChr m:val="("/>
            <m:endChr m:val=")"/>
            <m:sepChr m:val=""/>
            <m:grow/>
          </m:dPr>
          <m:e>
            <m:sSub>
              <m:e>
                <m:r>
                  <m:t>s</m:t>
                </m:r>
              </m:e>
              <m:sub>
                <m:r>
                  <m:t>i</m:t>
                </m:r>
              </m:sub>
            </m:sSub>
            <m:r>
              <m:rPr>
                <m:sty m:val="p"/>
              </m:rPr>
              <m:t>,</m:t>
            </m:r>
            <m:sSub>
              <m:e>
                <m:r>
                  <m:t>e</m:t>
                </m:r>
              </m:e>
              <m:sub>
                <m:r>
                  <m:t>i</m:t>
                </m:r>
              </m:sub>
            </m:sSub>
            <m:r>
              <m:rPr>
                <m:sty m:val="p"/>
              </m:rPr>
              <m:t>,</m:t>
            </m:r>
            <m:sSub>
              <m:e>
                <m:r>
                  <m:t>τ</m:t>
                </m:r>
              </m:e>
              <m:sub>
                <m:r>
                  <m:t>i</m:t>
                </m:r>
              </m:sub>
            </m:sSub>
          </m:e>
        </m:d>
        <m:r>
          <m:rPr>
            <m:sty m:val="p"/>
          </m:rPr>
          <m:t>}</m:t>
        </m:r>
      </m:oMath>
      <w:r>
        <w:t xml:space="preserve">和关系列表</w:t>
      </w:r>
      <m:oMath>
        <m:r>
          <m:rPr>
            <m:sty m:val="p"/>
          </m:rPr>
          <m:t>{</m:t>
        </m:r>
        <m:d>
          <m:dPr>
            <m:begChr m:val="("/>
            <m:endChr m:val=")"/>
            <m:sepChr m:val=""/>
            <m:grow/>
          </m:dPr>
          <m:e>
            <m:r>
              <m:t>i</m:t>
            </m:r>
            <m:r>
              <m:rPr>
                <m:sty m:val="p"/>
              </m:rPr>
              <m:t>,</m:t>
            </m:r>
            <m:r>
              <m:t>j</m:t>
            </m:r>
            <m:r>
              <m:rPr>
                <m:sty m:val="p"/>
              </m:rPr>
              <m:t>,</m:t>
            </m:r>
            <m:sSub>
              <m:e>
                <m:r>
                  <m:t>ρ</m:t>
                </m:r>
              </m:e>
              <m:sub>
                <m:r>
                  <m:t>i</m:t>
                </m:r>
                <m:r>
                  <m:t>j</m:t>
                </m:r>
              </m:sub>
            </m:sSub>
          </m:e>
        </m:d>
        <m:r>
          <m:rPr>
            <m:sty m:val="p"/>
          </m:rPr>
          <m:t>}</m:t>
        </m:r>
      </m:oMath>
      <w:r>
        <w:t xml:space="preserve">，</w:t>
      </w:r>
      <m:oMath>
        <m:r>
          <m:t>θ</m:t>
        </m:r>
      </m:oMath>
      <w:r>
        <w:t xml:space="preserve">为模型参数。典型的JSON输出格式如下：</w:t>
      </w:r>
    </w:p>
    <w:p>
      <w:pPr>
        <w:pStyle w:val="SourceCode"/>
      </w:pP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"span"</w:t>
      </w:r>
      <w:r>
        <w:rPr>
          <w:rStyle w:val="FunctionTok"/>
        </w:rPr>
        <w:t xml:space="preserve">:</w:t>
      </w:r>
      <w:r>
        <w:rPr>
          <w:rStyle w:val="NormalTok"/>
        </w:rPr>
        <w:t xml:space="preserve"> </w:t>
      </w:r>
      <w:r>
        <w:rPr>
          <w:rStyle w:val="OtherTok"/>
        </w:rPr>
        <w:t xml:space="preserve">[</w:t>
      </w:r>
      <w:r>
        <w:rPr>
          <w:rStyle w:val="ErrorTok"/>
        </w:rPr>
        <w:t xml:space="preserve">s1</w:t>
      </w:r>
      <w:r>
        <w:rPr>
          <w:rStyle w:val="OtherTok"/>
        </w:rPr>
        <w:t xml:space="preserve">,</w:t>
      </w:r>
      <w:r>
        <w:rPr>
          <w:rStyle w:val="NormalTok"/>
        </w:rPr>
        <w:t xml:space="preserve"> </w:t>
      </w:r>
      <w:r>
        <w:rPr>
          <w:rStyle w:val="ErrorTok"/>
        </w:rPr>
        <w:t xml:space="preserve">e1</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"MajorClaim"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"span"</w:t>
      </w:r>
      <w:r>
        <w:rPr>
          <w:rStyle w:val="FunctionTok"/>
        </w:rPr>
        <w:t xml:space="preserve">:</w:t>
      </w:r>
      <w:r>
        <w:rPr>
          <w:rStyle w:val="NormalTok"/>
        </w:rPr>
        <w:t xml:space="preserve"> </w:t>
      </w:r>
      <w:r>
        <w:rPr>
          <w:rStyle w:val="OtherTok"/>
        </w:rPr>
        <w:t xml:space="preserve">[</w:t>
      </w:r>
      <w:r>
        <w:rPr>
          <w:rStyle w:val="ErrorTok"/>
        </w:rPr>
        <w:t xml:space="preserve">s2</w:t>
      </w:r>
      <w:r>
        <w:rPr>
          <w:rStyle w:val="OtherTok"/>
        </w:rPr>
        <w:t xml:space="preserve">,</w:t>
      </w:r>
      <w:r>
        <w:rPr>
          <w:rStyle w:val="NormalTok"/>
        </w:rPr>
        <w:t xml:space="preserve"> </w:t>
      </w:r>
      <w:r>
        <w:rPr>
          <w:rStyle w:val="ErrorTok"/>
        </w:rPr>
        <w:t xml:space="preserve">e2</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"Claim"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"span"</w:t>
      </w:r>
      <w:r>
        <w:rPr>
          <w:rStyle w:val="FunctionTok"/>
        </w:rPr>
        <w:t xml:space="preserve">:</w:t>
      </w:r>
      <w:r>
        <w:rPr>
          <w:rStyle w:val="NormalTok"/>
        </w:rPr>
        <w:t xml:space="preserve"> </w:t>
      </w:r>
      <w:r>
        <w:rPr>
          <w:rStyle w:val="OtherTok"/>
        </w:rPr>
        <w:t xml:space="preserve">[</w:t>
      </w:r>
      <w:r>
        <w:rPr>
          <w:rStyle w:val="ErrorTok"/>
        </w:rPr>
        <w:t xml:space="preserve">s3</w:t>
      </w:r>
      <w:r>
        <w:rPr>
          <w:rStyle w:val="OtherTok"/>
        </w:rPr>
        <w:t xml:space="preserve">,</w:t>
      </w:r>
      <w:r>
        <w:rPr>
          <w:rStyle w:val="NormalTok"/>
        </w:rPr>
        <w:t xml:space="preserve"> </w:t>
      </w:r>
      <w:r>
        <w:rPr>
          <w:rStyle w:val="ErrorTok"/>
        </w:rPr>
        <w:t xml:space="preserve">e3</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"Premise"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"Support"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"Support"</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这种序列化方案将图结构展平为线性序列，使得标准的序列到序列模型能够处理论辩图生成任务。</w:t>
      </w:r>
    </w:p>
    <w:p>
      <w:pPr>
        <w:pStyle w:val="BodyText"/>
      </w:pPr>
      <w:r>
        <w:t xml:space="preserve">端到端论辩挖掘任务具有以下特性和挑战：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任务特性</w:t>
            </w:r>
          </w:p>
        </w:tc>
        <w:tc>
          <w:tcPr/>
          <w:p>
            <w:pPr>
              <w:pStyle w:val="Compact"/>
              <w:jc w:val="left"/>
            </w:pPr>
            <w:r>
              <w:t xml:space="preserve">描述</w:t>
            </w:r>
          </w:p>
        </w:tc>
        <w:tc>
          <w:tcPr/>
          <w:p>
            <w:pPr>
              <w:pStyle w:val="Compact"/>
              <w:jc w:val="left"/>
            </w:pPr>
            <w:r>
              <w:t xml:space="preserve">技术挑战</w:t>
            </w:r>
          </w:p>
        </w:tc>
      </w:tr>
      <w:tr>
        <w:tc>
          <w:tcPr/>
          <w:p>
            <w:pPr>
              <w:pStyle w:val="Compact"/>
              <w:jc w:val="left"/>
            </w:pPr>
            <w:r>
              <w:t xml:space="preserve">联合建模</w:t>
            </w:r>
          </w:p>
        </w:tc>
        <w:tc>
          <w:tcPr/>
          <w:p>
            <w:pPr>
              <w:pStyle w:val="Compact"/>
              <w:jc w:val="left"/>
            </w:pPr>
            <w:r>
              <w:t xml:space="preserve">同时预测组件和关系</w:t>
            </w:r>
          </w:p>
        </w:tc>
        <w:tc>
          <w:tcPr/>
          <w:p>
            <w:pPr>
              <w:pStyle w:val="Compact"/>
              <w:jc w:val="left"/>
            </w:pPr>
            <w:r>
              <w:t xml:space="preserve">子任务相互依赖，误差传播</w:t>
            </w:r>
          </w:p>
        </w:tc>
      </w:tr>
      <w:tr>
        <w:tc>
          <w:tcPr/>
          <w:p>
            <w:pPr>
              <w:pStyle w:val="Compact"/>
              <w:jc w:val="left"/>
            </w:pPr>
            <w:r>
              <w:t xml:space="preserve">结构化输出</w:t>
            </w:r>
          </w:p>
        </w:tc>
        <w:tc>
          <w:tcPr/>
          <w:p>
            <w:pPr>
              <w:pStyle w:val="Compact"/>
              <w:jc w:val="left"/>
            </w:pPr>
            <w:r>
              <w:t xml:space="preserve">生成满足DAG约束的图</w:t>
            </w:r>
          </w:p>
        </w:tc>
        <w:tc>
          <w:tcPr/>
          <w:p>
            <w:pPr>
              <w:pStyle w:val="Compact"/>
              <w:jc w:val="left"/>
            </w:pPr>
            <w:r>
              <w:t xml:space="preserve">需要保证输出的结构有效性</w:t>
            </w:r>
          </w:p>
        </w:tc>
      </w:tr>
      <w:tr>
        <w:tc>
          <w:tcPr/>
          <w:p>
            <w:pPr>
              <w:pStyle w:val="Compact"/>
              <w:jc w:val="left"/>
            </w:pPr>
            <w:r>
              <w:t xml:space="preserve">序列到图</w:t>
            </w:r>
          </w:p>
        </w:tc>
        <w:tc>
          <w:tcPr/>
          <w:p>
            <w:pPr>
              <w:pStyle w:val="Compact"/>
              <w:jc w:val="left"/>
            </w:pPr>
            <w:r>
              <w:t xml:space="preserve">从线性文本映射到图结构</w:t>
            </w:r>
          </w:p>
        </w:tc>
        <w:tc>
          <w:tcPr/>
          <w:p>
            <w:pPr>
              <w:pStyle w:val="Compact"/>
              <w:jc w:val="left"/>
            </w:pPr>
            <w:r>
              <w:t xml:space="preserve">序列化方案影响生成质量</w:t>
            </w:r>
          </w:p>
        </w:tc>
      </w:tr>
      <w:tr>
        <w:tc>
          <w:tcPr/>
          <w:p>
            <w:pPr>
              <w:pStyle w:val="Compact"/>
              <w:jc w:val="left"/>
            </w:pPr>
            <w:r>
              <w:t xml:space="preserve">长距离依赖</w:t>
            </w:r>
          </w:p>
        </w:tc>
        <w:tc>
          <w:tcPr/>
          <w:p>
            <w:pPr>
              <w:pStyle w:val="Compact"/>
              <w:jc w:val="left"/>
            </w:pPr>
            <w:r>
              <w:t xml:space="preserve">组件间关系可能跨越长文本</w:t>
            </w:r>
          </w:p>
        </w:tc>
        <w:tc>
          <w:tcPr/>
          <w:p>
            <w:pPr>
              <w:pStyle w:val="Compact"/>
              <w:jc w:val="left"/>
            </w:pPr>
            <w:r>
              <w:t xml:space="preserve">需要捕捉全局上下文信息</w:t>
            </w:r>
          </w:p>
        </w:tc>
      </w:tr>
    </w:tbl>
    <w:bookmarkEnd w:id="47"/>
    <w:bookmarkEnd w:id="48"/>
    <w:bookmarkStart w:id="54" w:name="大语言模型结构化生成技术"/>
    <w:p>
      <w:pPr>
        <w:pStyle w:val="Heading3"/>
      </w:pPr>
      <w:r>
        <w:t xml:space="preserve">2.2 大语言模型结构化生成技术</w:t>
      </w:r>
    </w:p>
    <w:bookmarkStart w:id="49" w:name="transformer架构与自注意力机制"/>
    <w:p>
      <w:pPr>
        <w:pStyle w:val="Heading4"/>
      </w:pPr>
      <w:r>
        <w:t xml:space="preserve">2.2.1 Transformer架构与自注意力机制</w:t>
      </w:r>
    </w:p>
    <w:p>
      <w:pPr>
        <w:pStyle w:val="FirstParagraph"/>
      </w:pPr>
      <w:r>
        <w:t xml:space="preserve">Transformer架构是当代大语言模型的基础，由Vaswani等人在2017年提出[56]。其核心创新在于自注意力机制（Self-Attention），能够高效捕捉序列中任意位置之间的依赖关系，克服了循环神经网络在处理长距离依赖时的困难。</w:t>
      </w:r>
    </w:p>
    <w:p>
      <w:pPr>
        <w:pStyle w:val="BodyText"/>
      </w:pPr>
      <w:r>
        <w:rPr>
          <w:bCs/>
          <w:b/>
        </w:rPr>
        <w:t xml:space="preserve">定义2.12（缩放点积注意力）</w:t>
      </w:r>
      <w:r>
        <w:t xml:space="preserve">：给定查询矩阵</w:t>
      </w:r>
      <m:oMath>
        <m:r>
          <m:t>Q</m:t>
        </m:r>
        <m:r>
          <m:rPr>
            <m:sty m:val="p"/>
          </m:rPr>
          <m:t>∈</m:t>
        </m:r>
        <m:sSup>
          <m:e>
            <m:r>
              <m:rPr>
                <m:sty m:val="p"/>
                <m:scr m:val="double-struck"/>
              </m:rPr>
              <m:t>R</m:t>
            </m:r>
          </m:e>
          <m:sup>
            <m:r>
              <m:t>n</m:t>
            </m:r>
            <m:r>
              <m:rPr>
                <m:sty m:val="p"/>
              </m:rPr>
              <m:t>×</m:t>
            </m:r>
            <m:sSub>
              <m:e>
                <m:r>
                  <m:t>d</m:t>
                </m:r>
              </m:e>
              <m:sub>
                <m:r>
                  <m:t>k</m:t>
                </m:r>
              </m:sub>
            </m:sSub>
          </m:sup>
        </m:sSup>
      </m:oMath>
      <w:r>
        <w:t xml:space="preserve">、键矩阵</w:t>
      </w:r>
      <m:oMath>
        <m:r>
          <m:t>K</m:t>
        </m:r>
        <m:r>
          <m:rPr>
            <m:sty m:val="p"/>
          </m:rPr>
          <m:t>∈</m:t>
        </m:r>
        <m:sSup>
          <m:e>
            <m:r>
              <m:rPr>
                <m:sty m:val="p"/>
                <m:scr m:val="double-struck"/>
              </m:rPr>
              <m:t>R</m:t>
            </m:r>
          </m:e>
          <m:sup>
            <m:r>
              <m:t>n</m:t>
            </m:r>
            <m:r>
              <m:rPr>
                <m:sty m:val="p"/>
              </m:rPr>
              <m:t>×</m:t>
            </m:r>
            <m:sSub>
              <m:e>
                <m:r>
                  <m:t>d</m:t>
                </m:r>
              </m:e>
              <m:sub>
                <m:r>
                  <m:t>k</m:t>
                </m:r>
              </m:sub>
            </m:sSub>
          </m:sup>
        </m:sSup>
      </m:oMath>
      <w:r>
        <w:t xml:space="preserve">和值矩阵</w:t>
      </w:r>
      <m:oMath>
        <m:r>
          <m:t>V</m:t>
        </m:r>
        <m:r>
          <m:rPr>
            <m:sty m:val="p"/>
          </m:rPr>
          <m:t>∈</m:t>
        </m:r>
        <m:sSup>
          <m:e>
            <m:r>
              <m:rPr>
                <m:sty m:val="p"/>
                <m:scr m:val="double-struck"/>
              </m:rPr>
              <m:t>R</m:t>
            </m:r>
          </m:e>
          <m:sup>
            <m:r>
              <m:t>n</m:t>
            </m:r>
            <m:r>
              <m:rPr>
                <m:sty m:val="p"/>
              </m:rPr>
              <m:t>×</m:t>
            </m:r>
            <m:sSub>
              <m:e>
                <m:r>
                  <m:t>d</m:t>
                </m:r>
              </m:e>
              <m:sub>
                <m:r>
                  <m:t>v</m:t>
                </m:r>
              </m:sub>
            </m:sSub>
          </m:sup>
        </m:sSup>
      </m:oMath>
      <w:r>
        <w:t xml:space="preserve">，缩放点积注意力定义为：</w:t>
      </w:r>
    </w:p>
    <w:p>
      <w:pPr>
        <w:pStyle w:val="BodyText"/>
      </w:pPr>
      <m:oMathPara>
        <m:oMathParaPr>
          <m:jc m:val="center"/>
        </m:oMathParaP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d>
            <m:dPr>
              <m:begChr m:val="("/>
              <m:endChr m:val=")"/>
              <m:sep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其中</w:t>
      </w:r>
      <m:oMath>
        <m:sSub>
          <m:e>
            <m:r>
              <m:t>d</m:t>
            </m:r>
          </m:e>
          <m:sub>
            <m:r>
              <m:t>k</m:t>
            </m:r>
          </m:sub>
        </m:sSub>
      </m:oMath>
      <w:r>
        <w:t xml:space="preserve">为键向量的维度，</w:t>
      </w:r>
      <m:oMath>
        <m:rad>
          <m:radPr>
            <m:degHide m:val="on"/>
          </m:radPr>
          <m:deg/>
          <m:e>
            <m:sSub>
              <m:e>
                <m:r>
                  <m:t>d</m:t>
                </m:r>
              </m:e>
              <m:sub>
                <m:r>
                  <m:t>k</m:t>
                </m:r>
              </m:sub>
            </m:sSub>
          </m:e>
        </m:rad>
      </m:oMath>
      <w:r>
        <w:t xml:space="preserve">为缩放因子。缩放因子的引入是为了防止当</w:t>
      </w:r>
      <m:oMath>
        <m:sSub>
          <m:e>
            <m:r>
              <m:t>d</m:t>
            </m:r>
          </m:e>
          <m:sub>
            <m:r>
              <m:t>k</m:t>
            </m:r>
          </m:sub>
        </m:sSub>
      </m:oMath>
      <w:r>
        <w:t xml:space="preserve">较大时，点积结果的方差过大，导致softmax函数进入梯度极小的区域。</w:t>
      </w:r>
    </w:p>
    <w:p>
      <w:pPr>
        <w:pStyle w:val="BodyText"/>
      </w:pPr>
      <w:r>
        <w:t xml:space="preserve">注意力机制的计算过程可分解为三个步骤：</w:t>
      </w:r>
      <w:r>
        <w:t xml:space="preserve"> </w:t>
      </w:r>
      <w:r>
        <w:t xml:space="preserve">1.</w:t>
      </w:r>
      <w:r>
        <w:t xml:space="preserve"> </w:t>
      </w:r>
      <w:r>
        <w:rPr>
          <w:bCs/>
          <w:b/>
        </w:rPr>
        <w:t xml:space="preserve">相似度计算</w:t>
      </w:r>
      <w:r>
        <w:t xml:space="preserve">：通过</w:t>
      </w:r>
      <m:oMath>
        <m:r>
          <m:t>Q</m:t>
        </m:r>
        <m:sSup>
          <m:e>
            <m:r>
              <m:t>K</m:t>
            </m:r>
          </m:e>
          <m:sup>
            <m:r>
              <m:t>T</m:t>
            </m:r>
          </m:sup>
        </m:sSup>
      </m:oMath>
      <w:r>
        <w:t xml:space="preserve">计算查询与所有键之间的点积相似度</w:t>
      </w:r>
      <w:r>
        <w:t xml:space="preserve"> </w:t>
      </w:r>
      <w:r>
        <w:t xml:space="preserve">2.</w:t>
      </w:r>
      <w:r>
        <w:t xml:space="preserve"> </w:t>
      </w:r>
      <w:r>
        <w:rPr>
          <w:bCs/>
          <w:b/>
        </w:rPr>
        <w:t xml:space="preserve">归一化</w:t>
      </w:r>
      <w:r>
        <w:t xml:space="preserve">：通过softmax将相似度转换为注意力权重分布</w:t>
      </w:r>
      <w:r>
        <w:t xml:space="preserve"> </w:t>
      </w:r>
      <w:r>
        <w:t xml:space="preserve">3.</w:t>
      </w:r>
      <w:r>
        <w:t xml:space="preserve"> </w:t>
      </w:r>
      <w:r>
        <w:rPr>
          <w:bCs/>
          <w:b/>
        </w:rPr>
        <w:t xml:space="preserve">加权聚合</w:t>
      </w:r>
      <w:r>
        <w:t xml:space="preserve">：根据注意力权重对值向量进行加权求和</w:t>
      </w:r>
    </w:p>
    <w:p>
      <w:pPr>
        <w:pStyle w:val="BodyText"/>
      </w:pPr>
      <w:r>
        <w:rPr>
          <w:bCs/>
          <w:b/>
        </w:rPr>
        <w:t xml:space="preserve">定义2.13（多头注意力）</w:t>
      </w:r>
      <w:r>
        <w:t xml:space="preserve">：多头注意力通过并行计算多组注意力，捕捉不同子空间的特征表示：</w:t>
      </w:r>
    </w:p>
    <w:p>
      <w:pPr>
        <w:pStyle w:val="BodyText"/>
      </w:pPr>
      <m:oMathPara>
        <m:oMathParaPr>
          <m:jc m:val="center"/>
        </m:oMathParaPr>
        <m:oMath>
          <m:r>
            <m:rPr>
              <m:nor/>
              <m:sty m:val="p"/>
            </m:rPr>
            <m:t>MultiHead</m:t>
          </m:r>
          <m:d>
            <m:dPr>
              <m:begChr m:val="("/>
              <m:endChr m:val=")"/>
              <m:sepChr m:val=""/>
              <m:grow/>
            </m:dPr>
            <m:e>
              <m:r>
                <m:t>Q</m:t>
              </m:r>
              <m:r>
                <m:rPr>
                  <m:sty m:val="p"/>
                </m:rPr>
                <m:t>,</m:t>
              </m:r>
              <m:r>
                <m:t>K</m:t>
              </m:r>
              <m:r>
                <m:rPr>
                  <m:sty m:val="p"/>
                </m:rPr>
                <m:t>,</m:t>
              </m:r>
              <m:r>
                <m:t>V</m:t>
              </m:r>
            </m:e>
          </m:d>
          <m:r>
            <m:rPr>
              <m:sty m:val="p"/>
            </m:rPr>
            <m:t>=</m:t>
          </m:r>
          <m:r>
            <m:rPr>
              <m:nor/>
              <m:sty m:val="p"/>
            </m:rPr>
            <m:t>Concat</m:t>
          </m:r>
          <m:d>
            <m:dPr>
              <m:begChr m:val="("/>
              <m:endChr m:val=")"/>
              <m:sepChr m:val=""/>
              <m:grow/>
            </m:dPr>
            <m:e>
              <m:r>
                <m:t>h</m:t>
              </m:r>
              <m:r>
                <m:t>e</m:t>
              </m:r>
              <m:r>
                <m:t>a</m:t>
              </m:r>
              <m:sSub>
                <m:e>
                  <m:r>
                    <m:t>d</m:t>
                  </m:r>
                </m:e>
                <m:sub>
                  <m:r>
                    <m:t>1</m:t>
                  </m:r>
                </m:sub>
              </m:sSub>
              <m:r>
                <m:rPr>
                  <m:sty m:val="p"/>
                </m:rPr>
                <m:t>,</m:t>
              </m:r>
              <m:r>
                <m:rPr>
                  <m:sty m:val="p"/>
                </m:rPr>
                <m:t>…</m:t>
              </m:r>
              <m:r>
                <m:rPr>
                  <m:sty m:val="p"/>
                </m:rPr>
                <m:t>,</m:t>
              </m:r>
              <m:r>
                <m:t>h</m:t>
              </m:r>
              <m:r>
                <m:t>e</m:t>
              </m:r>
              <m:r>
                <m:t>a</m:t>
              </m:r>
              <m:sSub>
                <m:e>
                  <m:r>
                    <m:t>d</m:t>
                  </m:r>
                </m:e>
                <m:sub>
                  <m:r>
                    <m:t>h</m:t>
                  </m:r>
                </m:sub>
              </m:sSub>
            </m:e>
          </m:d>
          <m:sSup>
            <m:e>
              <m:r>
                <m:t>W</m:t>
              </m:r>
            </m:e>
            <m:sup>
              <m:r>
                <m:t>O</m:t>
              </m:r>
            </m:sup>
          </m:sSup>
        </m:oMath>
      </m:oMathPara>
    </w:p>
    <w:p>
      <w:pPr>
        <w:pStyle w:val="FirstParagraph"/>
      </w:pPr>
      <w:r>
        <w:t xml:space="preserve">其中每个注意力头定义为：</w:t>
      </w:r>
    </w:p>
    <w:p>
      <w:pPr>
        <w:pStyle w:val="BodyText"/>
      </w:pPr>
      <m:oMathPara>
        <m:oMathParaPr>
          <m:jc m:val="center"/>
        </m:oMathParaPr>
        <m:oMath>
          <m:r>
            <m:t>h</m:t>
          </m:r>
          <m:r>
            <m:t>e</m:t>
          </m:r>
          <m:r>
            <m:t>a</m:t>
          </m:r>
          <m:sSub>
            <m:e>
              <m:r>
                <m:t>d</m:t>
              </m:r>
            </m:e>
            <m:sub>
              <m:r>
                <m:t>i</m:t>
              </m:r>
            </m:sub>
          </m:sSub>
          <m:r>
            <m:rPr>
              <m:sty m:val="p"/>
            </m:rPr>
            <m:t>=</m:t>
          </m:r>
          <m:r>
            <m:rPr>
              <m:nor/>
              <m:sty m:val="p"/>
            </m:rPr>
            <m:t>Attention</m:t>
          </m:r>
          <m:d>
            <m:dPr>
              <m:begChr m:val="("/>
              <m:endChr m:val=")"/>
              <m:sepChr m:val=""/>
              <m:grow/>
            </m:dPr>
            <m:e>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e>
          </m:d>
        </m:oMath>
      </m:oMathPara>
    </w:p>
    <w:p>
      <w:pPr>
        <w:pStyle w:val="FirstParagraph"/>
      </w:pPr>
      <m:oMath>
        <m:sSubSup>
          <m:e>
            <m:r>
              <m:t>W</m:t>
            </m:r>
          </m:e>
          <m:sub>
            <m:r>
              <m:t>i</m:t>
            </m:r>
          </m:sub>
          <m:sup>
            <m:r>
              <m:t>Q</m:t>
            </m:r>
          </m:sup>
        </m:sSubSup>
        <m:r>
          <m:rPr>
            <m:sty m:val="p"/>
          </m:rPr>
          <m:t>∈</m:t>
        </m:r>
        <m:sSup>
          <m:e>
            <m:r>
              <m:rPr>
                <m:sty m:val="p"/>
                <m:scr m:val="double-struck"/>
              </m:rPr>
              <m:t>R</m:t>
            </m:r>
          </m:e>
          <m:sup>
            <m:sSub>
              <m:e>
                <m:r>
                  <m:t>d</m:t>
                </m:r>
              </m:e>
              <m:sub>
                <m:r>
                  <m:t>m</m:t>
                </m:r>
                <m:r>
                  <m:t>o</m:t>
                </m:r>
                <m:r>
                  <m:t>d</m:t>
                </m:r>
                <m:r>
                  <m:t>e</m:t>
                </m:r>
                <m:r>
                  <m:t>l</m:t>
                </m:r>
              </m:sub>
            </m:sSub>
            <m:r>
              <m:rPr>
                <m:sty m:val="p"/>
              </m:rPr>
              <m:t>×</m:t>
            </m:r>
            <m:sSub>
              <m:e>
                <m:r>
                  <m:t>d</m:t>
                </m:r>
              </m:e>
              <m:sub>
                <m:r>
                  <m:t>k</m:t>
                </m:r>
              </m:sub>
            </m:sSub>
          </m:sup>
        </m:sSup>
      </m:oMath>
      <w:r>
        <w:t xml:space="preserve">,</w:t>
      </w:r>
      <w:r>
        <w:t xml:space="preserve"> </w:t>
      </w:r>
      <m:oMath>
        <m:sSubSup>
          <m:e>
            <m:r>
              <m:t>W</m:t>
            </m:r>
          </m:e>
          <m:sub>
            <m:r>
              <m:t>i</m:t>
            </m:r>
          </m:sub>
          <m:sup>
            <m:r>
              <m:t>K</m:t>
            </m:r>
          </m:sup>
        </m:sSubSup>
        <m:r>
          <m:rPr>
            <m:sty m:val="p"/>
          </m:rPr>
          <m:t>∈</m:t>
        </m:r>
        <m:sSup>
          <m:e>
            <m:r>
              <m:rPr>
                <m:sty m:val="p"/>
                <m:scr m:val="double-struck"/>
              </m:rPr>
              <m:t>R</m:t>
            </m:r>
          </m:e>
          <m:sup>
            <m:sSub>
              <m:e>
                <m:r>
                  <m:t>d</m:t>
                </m:r>
              </m:e>
              <m:sub>
                <m:r>
                  <m:t>m</m:t>
                </m:r>
                <m:r>
                  <m:t>o</m:t>
                </m:r>
                <m:r>
                  <m:t>d</m:t>
                </m:r>
                <m:r>
                  <m:t>e</m:t>
                </m:r>
                <m:r>
                  <m:t>l</m:t>
                </m:r>
              </m:sub>
            </m:sSub>
            <m:r>
              <m:rPr>
                <m:sty m:val="p"/>
              </m:rPr>
              <m:t>×</m:t>
            </m:r>
            <m:sSub>
              <m:e>
                <m:r>
                  <m:t>d</m:t>
                </m:r>
              </m:e>
              <m:sub>
                <m:r>
                  <m:t>k</m:t>
                </m:r>
              </m:sub>
            </m:sSub>
          </m:sup>
        </m:sSup>
      </m:oMath>
      <w:r>
        <w:t xml:space="preserve">,</w:t>
      </w:r>
      <w:r>
        <w:t xml:space="preserve"> </w:t>
      </w:r>
      <m:oMath>
        <m:sSubSup>
          <m:e>
            <m:r>
              <m:t>W</m:t>
            </m:r>
          </m:e>
          <m:sub>
            <m:r>
              <m:t>i</m:t>
            </m:r>
          </m:sub>
          <m:sup>
            <m:r>
              <m:t>V</m:t>
            </m:r>
          </m:sup>
        </m:sSubSup>
        <m:r>
          <m:rPr>
            <m:sty m:val="p"/>
          </m:rPr>
          <m:t>∈</m:t>
        </m:r>
        <m:sSup>
          <m:e>
            <m:r>
              <m:rPr>
                <m:sty m:val="p"/>
                <m:scr m:val="double-struck"/>
              </m:rPr>
              <m:t>R</m:t>
            </m:r>
          </m:e>
          <m:sup>
            <m:sSub>
              <m:e>
                <m:r>
                  <m:t>d</m:t>
                </m:r>
              </m:e>
              <m:sub>
                <m:r>
                  <m:t>m</m:t>
                </m:r>
                <m:r>
                  <m:t>o</m:t>
                </m:r>
                <m:r>
                  <m:t>d</m:t>
                </m:r>
                <m:r>
                  <m:t>e</m:t>
                </m:r>
                <m:r>
                  <m:t>l</m:t>
                </m:r>
              </m:sub>
            </m:sSub>
            <m:r>
              <m:rPr>
                <m:sty m:val="p"/>
              </m:rPr>
              <m:t>×</m:t>
            </m:r>
            <m:sSub>
              <m:e>
                <m:r>
                  <m:t>d</m:t>
                </m:r>
              </m:e>
              <m:sub>
                <m:r>
                  <m:t>v</m:t>
                </m:r>
              </m:sub>
            </m:sSub>
          </m:sup>
        </m:sSup>
      </m:oMath>
      <w:r>
        <w:t xml:space="preserve">,</w:t>
      </w:r>
      <w:r>
        <w:t xml:space="preserve"> </w:t>
      </w:r>
      <m:oMath>
        <m:sSup>
          <m:e>
            <m:r>
              <m:t>W</m:t>
            </m:r>
          </m:e>
          <m:sup>
            <m:r>
              <m:t>O</m:t>
            </m:r>
          </m:sup>
        </m:sSup>
        <m:r>
          <m:rPr>
            <m:sty m:val="p"/>
          </m:rPr>
          <m:t>∈</m:t>
        </m:r>
        <m:sSup>
          <m:e>
            <m:r>
              <m:rPr>
                <m:sty m:val="p"/>
                <m:scr m:val="double-struck"/>
              </m:rPr>
              <m:t>R</m:t>
            </m:r>
          </m:e>
          <m:sup>
            <m:r>
              <m:t>h</m:t>
            </m:r>
            <m:sSub>
              <m:e>
                <m:r>
                  <m:t>d</m:t>
                </m:r>
              </m:e>
              <m:sub>
                <m:r>
                  <m:t>v</m:t>
                </m:r>
              </m:sub>
            </m:sSub>
            <m:r>
              <m:rPr>
                <m:sty m:val="p"/>
              </m:rPr>
              <m:t>×</m:t>
            </m:r>
            <m:sSub>
              <m:e>
                <m:r>
                  <m:t>d</m:t>
                </m:r>
              </m:e>
              <m:sub>
                <m:r>
                  <m:t>m</m:t>
                </m:r>
                <m:r>
                  <m:t>o</m:t>
                </m:r>
                <m:r>
                  <m:t>d</m:t>
                </m:r>
                <m:r>
                  <m:t>e</m:t>
                </m:r>
                <m:r>
                  <m:t>l</m:t>
                </m:r>
              </m:sub>
            </m:sSub>
          </m:sup>
        </m:sSup>
      </m:oMath>
      <w:r>
        <w:t xml:space="preserve">为可学习的投影矩阵，</w:t>
      </w:r>
      <m:oMath>
        <m:r>
          <m:t>h</m:t>
        </m:r>
      </m:oMath>
      <w:r>
        <w:t xml:space="preserve">为注意力头数。多头注意力允许模型同时关注来自不同表示子空间的信息，增强了模型的表达能力。</w:t>
      </w:r>
    </w:p>
    <w:p>
      <w:pPr>
        <w:pStyle w:val="BodyText"/>
      </w:pPr>
      <w:r>
        <w:rPr>
          <w:bCs/>
          <w:b/>
        </w:rPr>
        <w:t xml:space="preserve">Transformer编码器</w:t>
      </w:r>
      <w:r>
        <w:t xml:space="preserve">由多层堆叠的自注意力层和前馈网络组成。每一层包含：</w:t>
      </w:r>
      <w:r>
        <w:t xml:space="preserve"> </w:t>
      </w:r>
      <w:r>
        <w:t xml:space="preserve">1. 多头自注意力子层：</w:t>
      </w:r>
      <m:oMath>
        <m:r>
          <m:rPr>
            <m:nor/>
            <m:sty m:val="p"/>
          </m:rPr>
          <m:t>LayerNorm</m:t>
        </m:r>
        <m:d>
          <m:dPr>
            <m:begChr m:val="("/>
            <m:endChr m:val=")"/>
            <m:sepChr m:val=""/>
            <m:grow/>
          </m:dPr>
          <m:e>
            <m:r>
              <m:t>x</m:t>
            </m:r>
            <m:r>
              <m:rPr>
                <m:sty m:val="p"/>
              </m:rPr>
              <m:t>+</m:t>
            </m:r>
            <m:r>
              <m:rPr>
                <m:nor/>
                <m:sty m:val="p"/>
              </m:rPr>
              <m:t>MultiHead</m:t>
            </m:r>
            <m:d>
              <m:dPr>
                <m:begChr m:val="("/>
                <m:endChr m:val=")"/>
                <m:sepChr m:val=""/>
                <m:grow/>
              </m:dPr>
              <m:e>
                <m:r>
                  <m:t>x</m:t>
                </m:r>
                <m:r>
                  <m:rPr>
                    <m:sty m:val="p"/>
                  </m:rPr>
                  <m:t>,</m:t>
                </m:r>
                <m:r>
                  <m:t>x</m:t>
                </m:r>
                <m:r>
                  <m:rPr>
                    <m:sty m:val="p"/>
                  </m:rPr>
                  <m:t>,</m:t>
                </m:r>
                <m:r>
                  <m:t>x</m:t>
                </m:r>
              </m:e>
            </m:d>
          </m:e>
        </m:d>
      </m:oMath>
      <w:r>
        <w:t xml:space="preserve"> </w:t>
      </w:r>
      <w:r>
        <w:t xml:space="preserve">2. 前馈网络子层：</w:t>
      </w:r>
      <m:oMath>
        <m:r>
          <m:rPr>
            <m:nor/>
            <m:sty m:val="p"/>
          </m:rPr>
          <m:t>LayerNorm</m:t>
        </m:r>
        <m:d>
          <m:dPr>
            <m:begChr m:val="("/>
            <m:endChr m:val=")"/>
            <m:sepChr m:val=""/>
            <m:grow/>
          </m:dPr>
          <m:e>
            <m:r>
              <m:t>x</m:t>
            </m:r>
            <m:r>
              <m:rPr>
                <m:sty m:val="p"/>
              </m:rPr>
              <m:t>+</m:t>
            </m:r>
            <m:r>
              <m:rPr>
                <m:nor/>
                <m:sty m:val="p"/>
              </m:rPr>
              <m:t>FFN</m:t>
            </m:r>
            <m:d>
              <m:dPr>
                <m:begChr m:val="("/>
                <m:endChr m:val=")"/>
                <m:sepChr m:val=""/>
                <m:grow/>
              </m:dPr>
              <m:e>
                <m:r>
                  <m:t>x</m:t>
                </m:r>
              </m:e>
            </m:d>
          </m:e>
        </m:d>
      </m:oMath>
    </w:p>
    <w:p>
      <w:pPr>
        <w:pStyle w:val="BodyText"/>
      </w:pPr>
      <w:r>
        <w:t xml:space="preserve">其中前馈网络定义为：</w:t>
      </w:r>
    </w:p>
    <w:p>
      <w:pPr>
        <w:pStyle w:val="BodyText"/>
      </w:pPr>
      <m:oMathPara>
        <m:oMathParaPr>
          <m:jc m:val="center"/>
        </m:oMathParaPr>
        <m:oMath>
          <m:r>
            <m:rPr>
              <m:nor/>
              <m:sty m:val="p"/>
            </m:rPr>
            <m:t>FFN</m:t>
          </m:r>
          <m:d>
            <m:dPr>
              <m:begChr m:val="("/>
              <m:endChr m:val=")"/>
              <m:sepChr m:val=""/>
              <m:grow/>
            </m:dPr>
            <m:e>
              <m:r>
                <m:t>x</m:t>
              </m:r>
            </m:e>
          </m:d>
          <m:r>
            <m:rPr>
              <m:sty m:val="p"/>
            </m:rPr>
            <m:t>=</m:t>
          </m:r>
          <m:r>
            <m:rPr>
              <m:sty m:val="p"/>
            </m:rPr>
            <m:t>max</m:t>
          </m:r>
          <m:d>
            <m:dPr>
              <m:begChr m:val="("/>
              <m:endChr m:val=")"/>
              <m:sepChr m:val=""/>
              <m:grow/>
            </m:dPr>
            <m:e>
              <m:r>
                <m:t>0</m:t>
              </m:r>
              <m:r>
                <m:rPr>
                  <m:sty m:val="p"/>
                </m:rPr>
                <m:t>,</m:t>
              </m:r>
              <m:r>
                <m:t>x</m:t>
              </m:r>
              <m:sSub>
                <m:e>
                  <m:r>
                    <m:t>W</m:t>
                  </m:r>
                </m:e>
                <m:sub>
                  <m:r>
                    <m:t>1</m:t>
                  </m:r>
                </m:sub>
              </m:sSub>
              <m:r>
                <m:rPr>
                  <m:sty m:val="p"/>
                </m:rPr>
                <m:t>+</m:t>
              </m:r>
              <m:sSub>
                <m:e>
                  <m:r>
                    <m:t>b</m:t>
                  </m:r>
                </m:e>
                <m:sub>
                  <m:r>
                    <m:t>1</m:t>
                  </m:r>
                </m:sub>
              </m:sSub>
            </m:e>
          </m:d>
          <m:sSub>
            <m:e>
              <m:r>
                <m:t>W</m:t>
              </m:r>
            </m:e>
            <m:sub>
              <m:r>
                <m:t>2</m:t>
              </m:r>
            </m:sub>
          </m:sSub>
          <m:r>
            <m:rPr>
              <m:sty m:val="p"/>
            </m:rPr>
            <m:t>+</m:t>
          </m:r>
          <m:sSub>
            <m:e>
              <m:r>
                <m:t>b</m:t>
              </m:r>
            </m:e>
            <m:sub>
              <m:r>
                <m:t>2</m:t>
              </m:r>
            </m:sub>
          </m:sSub>
        </m:oMath>
      </m:oMathPara>
    </w:p>
    <w:p>
      <w:pPr>
        <w:pStyle w:val="FirstParagraph"/>
      </w:pPr>
      <w:r>
        <w:rPr>
          <w:bCs/>
          <w:b/>
        </w:rPr>
        <w:t xml:space="preserve">Transformer解码器</w:t>
      </w:r>
      <w:r>
        <w:t xml:space="preserve">在编码器的基础上增加了掩码自注意力机制，确保位置</w:t>
      </w:r>
      <m:oMath>
        <m:r>
          <m:t>i</m:t>
        </m:r>
      </m:oMath>
      <w:r>
        <w:t xml:space="preserve">只能关注位置</w:t>
      </w:r>
      <m:oMath>
        <m:r>
          <m:t>1</m:t>
        </m:r>
        <m:r>
          <m:rPr>
            <m:sty m:val="p"/>
          </m:rPr>
          <m:t>,</m:t>
        </m:r>
        <m:r>
          <m:t>2</m:t>
        </m:r>
        <m:r>
          <m:rPr>
            <m:sty m:val="p"/>
          </m:rPr>
          <m:t>,</m:t>
        </m:r>
        <m:r>
          <m:rPr>
            <m:sty m:val="p"/>
          </m:rPr>
          <m:t>…</m:t>
        </m:r>
        <m:r>
          <m:rPr>
            <m:sty m:val="p"/>
          </m:rPr>
          <m:t>,</m:t>
        </m:r>
        <m:r>
          <m:t>i</m:t>
        </m:r>
      </m:oMath>
      <w:r>
        <w:t xml:space="preserve">的信息，实现自回归生成。</w:t>
      </w:r>
    </w:p>
    <w:p>
      <w:pPr>
        <w:pStyle w:val="BodyText"/>
      </w:pPr>
      <w:r>
        <w:t xml:space="preserve">在论辩挖掘任务中，自注意力机制使模型能够捕捉论辩组件之间的长距离语义关联，为关系预测提供全局上下文信息[37]。例如，文章开头提出的主要主张与结尾的总结性前提之间可能存在支持关系，这种长距离依赖需要自注意力机制才能有效捕捉。</w:t>
      </w:r>
    </w:p>
    <w:bookmarkEnd w:id="49"/>
    <w:bookmarkStart w:id="50" w:name="自回归生成与json结构化输出"/>
    <w:p>
      <w:pPr>
        <w:pStyle w:val="Heading4"/>
      </w:pPr>
      <w:r>
        <w:t xml:space="preserve">2.2.2 自回归生成与JSON结构化输出</w:t>
      </w:r>
    </w:p>
    <w:p>
      <w:pPr>
        <w:pStyle w:val="FirstParagraph"/>
      </w:pPr>
      <w:r>
        <w:t xml:space="preserve">大语言模型采用自回归（Autoregressive）生成范式，逐token预测输出序列。给定输入序列</w:t>
      </w:r>
      <m:oMath>
        <m: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w:r>
        <w:t xml:space="preserve">和已生成的部分输出</w:t>
      </w:r>
      <m:oMath>
        <m:sSub>
          <m:e>
            <m:r>
              <m:t>y</m:t>
            </m:r>
          </m:e>
          <m:sub>
            <m:r>
              <m:rPr>
                <m:sty m:val="p"/>
              </m:rPr>
              <m:t>&lt;</m:t>
            </m:r>
            <m:r>
              <m:t>t</m:t>
            </m:r>
          </m:sub>
        </m:sSub>
        <m:r>
          <m:rPr>
            <m:sty m:val="p"/>
          </m:rPr>
          <m:t>=</m:t>
        </m:r>
        <m:d>
          <m:dPr>
            <m:begChr m:val="("/>
            <m:endChr m:val=")"/>
            <m:sepChr m:val=""/>
            <m:grow/>
          </m:dPr>
          <m:e>
            <m:sSub>
              <m:e>
                <m:r>
                  <m:t>y</m:t>
                </m:r>
              </m:e>
              <m:sub>
                <m:r>
                  <m:t>1</m:t>
                </m:r>
              </m:sub>
            </m:sSub>
            <m:r>
              <m:rPr>
                <m:sty m:val="p"/>
              </m:rPr>
              <m:t>,</m:t>
            </m:r>
            <m:r>
              <m:rPr>
                <m:sty m:val="p"/>
              </m:rPr>
              <m:t>…</m:t>
            </m:r>
            <m:r>
              <m:rPr>
                <m:sty m:val="p"/>
              </m:rPr>
              <m:t>,</m:t>
            </m:r>
            <m:sSub>
              <m:e>
                <m:r>
                  <m:t>y</m:t>
                </m:r>
              </m:e>
              <m:sub>
                <m:r>
                  <m:t>t</m:t>
                </m:r>
                <m:r>
                  <m:rPr>
                    <m:sty m:val="p"/>
                  </m:rPr>
                  <m:t>−</m:t>
                </m:r>
                <m:r>
                  <m:t>1</m:t>
                </m:r>
              </m:sub>
            </m:sSub>
          </m:e>
        </m:d>
      </m:oMath>
      <w:r>
        <w:t xml:space="preserve">，模型预测下一个token的概率分布[20]：</w:t>
      </w:r>
    </w:p>
    <w:p>
      <w:pPr>
        <w:pStyle w:val="BodyText"/>
      </w:pPr>
      <m:oMathPara>
        <m:oMathParaPr>
          <m:jc m:val="center"/>
        </m:oMathParaPr>
        <m:oMath>
          <m:r>
            <m:t>P</m:t>
          </m:r>
          <m:d>
            <m:dPr>
              <m:begChr m:val="("/>
              <m:endChr m:val=")"/>
              <m:sepChr m:val=""/>
              <m:grow/>
            </m:dPr>
            <m:e>
              <m:sSub>
                <m:e>
                  <m:r>
                    <m:t>y</m:t>
                  </m:r>
                </m:e>
                <m:sub>
                  <m:r>
                    <m:t>t</m:t>
                  </m:r>
                </m:sub>
              </m:sSub>
              <m:r>
                <m:rPr>
                  <m:sty m:val="p"/>
                </m:rPr>
                <m:t>|</m:t>
              </m:r>
              <m:r>
                <m:t>x</m:t>
              </m:r>
              <m:r>
                <m:rPr>
                  <m:sty m:val="p"/>
                </m:rPr>
                <m:t>,</m:t>
              </m:r>
              <m:sSub>
                <m:e>
                  <m:r>
                    <m:t>y</m:t>
                  </m:r>
                </m:e>
                <m:sub>
                  <m:r>
                    <m:rPr>
                      <m:sty m:val="p"/>
                    </m:rPr>
                    <m:t>&lt;</m:t>
                  </m:r>
                  <m:r>
                    <m:t>t</m:t>
                  </m:r>
                </m:sub>
              </m:sSub>
              <m:r>
                <m:rPr>
                  <m:sty m:val="p"/>
                </m:rPr>
                <m:t>;</m:t>
              </m:r>
              <m:r>
                <m:t>θ</m:t>
              </m:r>
            </m:e>
          </m:d>
          <m:r>
            <m:rPr>
              <m:sty m:val="p"/>
            </m:rPr>
            <m:t>=</m:t>
          </m:r>
          <m:r>
            <m:rPr>
              <m:nor/>
              <m:sty m:val="p"/>
            </m:rPr>
            <m:t>softmax</m:t>
          </m:r>
          <m:d>
            <m:dPr>
              <m:begChr m:val="("/>
              <m:endChr m:val=")"/>
              <m:sepChr m:val=""/>
              <m:grow/>
            </m:dPr>
            <m:e>
              <m:sSub>
                <m:e>
                  <m:r>
                    <m:t>W</m:t>
                  </m:r>
                </m:e>
                <m:sub>
                  <m:r>
                    <m:t>o</m:t>
                  </m:r>
                </m:sub>
              </m:sSub>
              <m:sSub>
                <m:e>
                  <m:r>
                    <m:t>h</m:t>
                  </m:r>
                </m:e>
                <m:sub>
                  <m:r>
                    <m:t>t</m:t>
                  </m:r>
                </m:sub>
              </m:sSub>
              <m:r>
                <m:rPr>
                  <m:sty m:val="p"/>
                </m:rPr>
                <m:t>+</m:t>
              </m:r>
              <m:sSub>
                <m:e>
                  <m:r>
                    <m:t>b</m:t>
                  </m:r>
                </m:e>
                <m:sub>
                  <m:r>
                    <m:t>o</m:t>
                  </m:r>
                </m:sub>
              </m:sSub>
            </m:e>
          </m:d>
        </m:oMath>
      </m:oMathPara>
    </w:p>
    <w:p>
      <w:pPr>
        <w:pStyle w:val="FirstParagraph"/>
      </w:pPr>
      <w:r>
        <w:t xml:space="preserve">其中</w:t>
      </w:r>
      <m:oMath>
        <m:sSub>
          <m:e>
            <m:r>
              <m:t>h</m:t>
            </m:r>
          </m:e>
          <m:sub>
            <m:r>
              <m:t>t</m:t>
            </m:r>
          </m:sub>
        </m:sSub>
      </m:oMath>
      <w:r>
        <w:t xml:space="preserve">为解码器在位置</w:t>
      </w:r>
      <m:oMath>
        <m:r>
          <m:t>t</m:t>
        </m:r>
      </m:oMath>
      <w:r>
        <w:t xml:space="preserve">的隐藏状态，</w:t>
      </w:r>
      <m:oMath>
        <m:sSub>
          <m:e>
            <m:r>
              <m:t>W</m:t>
            </m:r>
          </m:e>
          <m:sub>
            <m:r>
              <m:t>o</m:t>
            </m:r>
          </m:sub>
        </m:sSub>
        <m:r>
          <m:rPr>
            <m:sty m:val="p"/>
          </m:rPr>
          <m:t>∈</m:t>
        </m:r>
        <m:sSup>
          <m:e>
            <m:r>
              <m:rPr>
                <m:sty m:val="p"/>
                <m:scr m:val="double-struck"/>
              </m:rPr>
              <m:t>R</m:t>
            </m:r>
          </m:e>
          <m:sup>
            <m:d>
              <m:dPr>
                <m:begChr m:val="|"/>
                <m:endChr m:val="|"/>
                <m:sepChr m:val=""/>
                <m:grow/>
              </m:dPr>
              <m:e>
                <m:r>
                  <m:t>V</m:t>
                </m:r>
              </m:e>
            </m:d>
            <m:r>
              <m:rPr>
                <m:sty m:val="p"/>
              </m:rPr>
              <m:t>×</m:t>
            </m:r>
            <m:r>
              <m:t>d</m:t>
            </m:r>
          </m:sup>
        </m:sSup>
      </m:oMath>
      <w:r>
        <w:t xml:space="preserve">和</w:t>
      </w:r>
      <m:oMath>
        <m:sSub>
          <m:e>
            <m:r>
              <m:t>b</m:t>
            </m:r>
          </m:e>
          <m:sub>
            <m:r>
              <m:t>o</m:t>
            </m:r>
          </m:sub>
        </m:sSub>
        <m:r>
          <m:rPr>
            <m:sty m:val="p"/>
          </m:rPr>
          <m:t>∈</m:t>
        </m:r>
        <m:sSup>
          <m:e>
            <m:r>
              <m:rPr>
                <m:sty m:val="p"/>
                <m:scr m:val="double-struck"/>
              </m:rPr>
              <m:t>R</m:t>
            </m:r>
          </m:e>
          <m:sup>
            <m:d>
              <m:dPr>
                <m:begChr m:val="|"/>
                <m:endChr m:val="|"/>
                <m:sepChr m:val=""/>
                <m:grow/>
              </m:dPr>
              <m:e>
                <m:r>
                  <m:t>V</m:t>
                </m:r>
              </m:e>
            </m:d>
          </m:sup>
        </m:sSup>
      </m:oMath>
      <w:r>
        <w:t xml:space="preserve">为输出投影参数，</w:t>
      </w:r>
      <m:oMath>
        <m:d>
          <m:dPr>
            <m:begChr m:val="|"/>
            <m:endChr m:val="|"/>
            <m:sepChr m:val=""/>
            <m:grow/>
          </m:dPr>
          <m:e>
            <m:r>
              <m:t>V</m:t>
            </m:r>
          </m:e>
        </m:d>
      </m:oMath>
      <w:r>
        <w:t xml:space="preserve">为词表大小。完整输出序列的概率为各步条件概率的乘积：</w:t>
      </w:r>
    </w:p>
    <w:p>
      <w:pPr>
        <w:pStyle w:val="BodyText"/>
      </w:pPr>
      <m:oMathPara>
        <m:oMathParaPr>
          <m:jc m:val="center"/>
        </m:oMathParaPr>
        <m:oMath>
          <m:r>
            <m:t>P</m:t>
          </m:r>
          <m:d>
            <m:dPr>
              <m:begChr m:val="("/>
              <m:endChr m:val=")"/>
              <m:sepChr m:val=""/>
              <m:grow/>
            </m:dPr>
            <m:e>
              <m:r>
                <m:t>y</m:t>
              </m:r>
              <m:r>
                <m:rPr>
                  <m:sty m:val="p"/>
                </m:rPr>
                <m:t>|</m:t>
              </m:r>
              <m:r>
                <m:t>x</m:t>
              </m:r>
              <m:r>
                <m:rPr>
                  <m:sty m:val="p"/>
                </m:rPr>
                <m:t>;</m:t>
              </m:r>
              <m:r>
                <m:t>θ</m:t>
              </m:r>
            </m:e>
          </m:d>
          <m:r>
            <m:rPr>
              <m:sty m:val="p"/>
            </m:rPr>
            <m:t>=</m:t>
          </m:r>
          <m:nary>
            <m:naryPr>
              <m:chr m:val="∏"/>
              <m:limLoc m:val="undOvr"/>
              <m:subHide m:val="off"/>
              <m:supHide m:val="off"/>
            </m:naryPr>
            <m:sub>
              <m:r>
                <m:t>t</m:t>
              </m:r>
              <m:r>
                <m:rPr>
                  <m:sty m:val="p"/>
                </m:rPr>
                <m:t>=</m:t>
              </m:r>
              <m:r>
                <m:t>1</m:t>
              </m:r>
            </m:sub>
            <m:sup>
              <m:r>
                <m:t>T</m:t>
              </m:r>
            </m:sup>
            <m:e>
              <m:r>
                <m:t>P</m:t>
              </m:r>
            </m:e>
          </m:nary>
          <m:d>
            <m:dPr>
              <m:begChr m:val="("/>
              <m:endChr m:val=")"/>
              <m:sepChr m:val=""/>
              <m:grow/>
            </m:dPr>
            <m:e>
              <m:sSub>
                <m:e>
                  <m:r>
                    <m:t>y</m:t>
                  </m:r>
                </m:e>
                <m:sub>
                  <m:r>
                    <m:t>t</m:t>
                  </m:r>
                </m:sub>
              </m:sSub>
              <m:r>
                <m:rPr>
                  <m:sty m:val="p"/>
                </m:rPr>
                <m:t>|</m:t>
              </m:r>
              <m:r>
                <m:t>x</m:t>
              </m:r>
              <m:r>
                <m:rPr>
                  <m:sty m:val="p"/>
                </m:rPr>
                <m:t>,</m:t>
              </m:r>
              <m:sSub>
                <m:e>
                  <m:r>
                    <m:t>y</m:t>
                  </m:r>
                </m:e>
                <m:sub>
                  <m:r>
                    <m:rPr>
                      <m:sty m:val="p"/>
                    </m:rPr>
                    <m:t>&lt;</m:t>
                  </m:r>
                  <m:r>
                    <m:t>t</m:t>
                  </m:r>
                </m:sub>
              </m:sSub>
              <m:r>
                <m:rPr>
                  <m:sty m:val="p"/>
                </m:rPr>
                <m:t>;</m:t>
              </m:r>
              <m:r>
                <m:t>θ</m:t>
              </m:r>
            </m:e>
          </m:d>
        </m:oMath>
      </m:oMathPara>
    </w:p>
    <w:p>
      <w:pPr>
        <w:pStyle w:val="FirstParagraph"/>
      </w:pPr>
      <w:r>
        <w:t xml:space="preserve">训练时采用负对数似然损失：</w:t>
      </w:r>
    </w:p>
    <w:p>
      <w:pPr>
        <w:pStyle w:val="BodyText"/>
      </w:pPr>
      <m:oMathPara>
        <m:oMathParaPr>
          <m:jc m:val="center"/>
        </m:oMathParaPr>
        <m:oMath>
          <m:sSub>
            <m:e>
              <m:r>
                <m:rPr>
                  <m:sty m:val="p"/>
                  <m:scr m:val="script"/>
                </m:rPr>
                <m:t>L</m:t>
              </m:r>
            </m:e>
            <m:sub>
              <m:r>
                <m:t>N</m:t>
              </m:r>
              <m:r>
                <m:t>L</m:t>
              </m:r>
              <m:r>
                <m:t>L</m:t>
              </m:r>
            </m:sub>
          </m:sSub>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r>
            <m:t>P</m:t>
          </m:r>
          <m:d>
            <m:dPr>
              <m:begChr m:val="("/>
              <m:endChr m:val=")"/>
              <m:sepChr m:val=""/>
              <m:grow/>
            </m:dPr>
            <m:e>
              <m:sSub>
                <m:e>
                  <m:r>
                    <m:t>y</m:t>
                  </m:r>
                </m:e>
                <m:sub>
                  <m:r>
                    <m:t>t</m:t>
                  </m:r>
                </m:sub>
              </m:sSub>
              <m:r>
                <m:rPr>
                  <m:sty m:val="p"/>
                </m:rPr>
                <m:t>|</m:t>
              </m:r>
              <m:r>
                <m:t>x</m:t>
              </m:r>
              <m:r>
                <m:rPr>
                  <m:sty m:val="p"/>
                </m:rPr>
                <m:t>,</m:t>
              </m:r>
              <m:sSub>
                <m:e>
                  <m:r>
                    <m:t>y</m:t>
                  </m:r>
                </m:e>
                <m:sub>
                  <m:r>
                    <m:rPr>
                      <m:sty m:val="p"/>
                    </m:rPr>
                    <m:t>&lt;</m:t>
                  </m:r>
                  <m:r>
                    <m:t>t</m:t>
                  </m:r>
                </m:sub>
              </m:sSub>
              <m:r>
                <m:rPr>
                  <m:sty m:val="p"/>
                </m:rPr>
                <m:t>;</m:t>
              </m:r>
              <m:r>
                <m:t>θ</m:t>
              </m:r>
            </m:e>
          </m:d>
        </m:oMath>
      </m:oMathPara>
    </w:p>
    <w:p>
      <w:pPr>
        <w:pStyle w:val="FirstParagraph"/>
      </w:pPr>
      <w:r>
        <w:t xml:space="preserve">在论辩挖掘的生成式方法中，模型输出被设计为JSON格式的结构化文本，包含组件和关系的索引表示。这种序列化方案将图结构展平为线性序列，使得标准的序列到序列模型能够处理论辩图生成任务。</w:t>
      </w:r>
    </w:p>
    <w:p>
      <w:pPr>
        <w:pStyle w:val="BodyText"/>
      </w:pPr>
      <w:r>
        <w:t xml:space="preserve">然而，自回归生成的固有特性——前文token一旦生成就无法修改——导致了错误传播问题。上游的组件识别错误会影响后续的关系预测，形成级联效应。例如，如果模型在生成组件列表时遗漏了一个关键的主张组件，那么在后续生成关系列表时，所有指向该组件的关系都将成为无效引用。</w:t>
      </w:r>
    </w:p>
    <w:p>
      <w:pPr>
        <w:pStyle w:val="BodyText"/>
      </w:pPr>
      <w:r>
        <w:rPr>
          <w:bCs/>
          <w:b/>
        </w:rPr>
        <w:t xml:space="preserve">解码策略</w:t>
      </w:r>
      <w:r>
        <w:t xml:space="preserve">对生成质量有重要影响。常用的解码策略包括：</w:t>
      </w:r>
      <w:r>
        <w:t xml:space="preserve"> </w:t>
      </w:r>
      <w:r>
        <w:t xml:space="preserve">-</w:t>
      </w:r>
      <w:r>
        <w:t xml:space="preserve"> </w:t>
      </w:r>
      <w:r>
        <w:rPr>
          <w:bCs/>
          <w:b/>
        </w:rPr>
        <w:t xml:space="preserve">贪心解码</w:t>
      </w:r>
      <w:r>
        <w:t xml:space="preserve">：每步选择概率最高的token，计算效率高但可能陷入局部最优</w:t>
      </w:r>
      <w:r>
        <w:t xml:space="preserve"> </w:t>
      </w:r>
      <w:r>
        <w:t xml:space="preserve">-</w:t>
      </w:r>
      <w:r>
        <w:t xml:space="preserve"> </w:t>
      </w:r>
      <w:r>
        <w:rPr>
          <w:bCs/>
          <w:b/>
        </w:rPr>
        <w:t xml:space="preserve">束搜索（Beam Search）</w:t>
      </w:r>
      <w:r>
        <w:t xml:space="preserve">：保留概率最高的k个候选序列，平衡质量与效率</w:t>
      </w:r>
      <w:r>
        <w:t xml:space="preserve"> </w:t>
      </w:r>
      <w:r>
        <w:t xml:space="preserve">-</w:t>
      </w:r>
      <w:r>
        <w:t xml:space="preserve"> </w:t>
      </w:r>
      <w:r>
        <w:rPr>
          <w:bCs/>
          <w:b/>
        </w:rPr>
        <w:t xml:space="preserve">采样解码</w:t>
      </w:r>
      <w:r>
        <w:t xml:space="preserve">：按概率分布随机采样，引入多样性</w:t>
      </w:r>
      <w:r>
        <w:t xml:space="preserve"> </w:t>
      </w:r>
      <w:r>
        <w:t xml:space="preserve">-</w:t>
      </w:r>
      <w:r>
        <w:t xml:space="preserve"> </w:t>
      </w:r>
      <w:r>
        <w:rPr>
          <w:bCs/>
          <w:b/>
        </w:rPr>
        <w:t xml:space="preserve">温度采样</w:t>
      </w:r>
      <w:r>
        <w:t xml:space="preserve">：调整softmax温度参数</w:t>
      </w:r>
      <m:oMath>
        <m:r>
          <m:t>τ</m:t>
        </m:r>
      </m:oMath>
      <w:r>
        <w:t xml:space="preserve">控制输出的随机性</w:t>
      </w:r>
    </w:p>
    <w:p>
      <w:pPr>
        <w:pStyle w:val="BodyText"/>
      </w:pPr>
      <m:oMathPara>
        <m:oMathParaPr>
          <m:jc m:val="center"/>
        </m:oMathParaPr>
        <m:oMath>
          <m:r>
            <m:t>p</m:t>
          </m:r>
          <m:sSub>
            <m:e>
              <m:r>
                <m:rPr>
                  <m:sty m:val="p"/>
                </m:rPr>
                <m:t>′</m:t>
              </m:r>
            </m:e>
            <m:sub>
              <m:r>
                <m:t>i</m:t>
              </m:r>
            </m:sub>
          </m:sSub>
          <m:r>
            <m:rPr>
              <m:sty m:val="p"/>
            </m:rPr>
            <m:t>=</m:t>
          </m:r>
          <m:f>
            <m:fPr>
              <m:type m:val="bar"/>
            </m:fPr>
            <m:num>
              <m:r>
                <m:rPr>
                  <m:sty m:val="p"/>
                </m:rPr>
                <m:t>exp</m:t>
              </m:r>
              <m:d>
                <m:dPr>
                  <m:begChr m:val="("/>
                  <m:endChr m:val=")"/>
                  <m:sepChr m:val=""/>
                  <m:grow/>
                </m:dPr>
                <m:e>
                  <m:r>
                    <m:rPr>
                      <m:sty m:val="p"/>
                    </m:rPr>
                    <m:t>log</m:t>
                  </m:r>
                  <m:sSub>
                    <m:e>
                      <m:r>
                        <m:t>p</m:t>
                      </m:r>
                    </m:e>
                    <m:sub>
                      <m:r>
                        <m:t>i</m:t>
                      </m:r>
                    </m:sub>
                  </m:sSub>
                  <m:r>
                    <m:rPr>
                      <m:sty m:val="p"/>
                    </m:rPr>
                    <m:t>/</m:t>
                  </m:r>
                  <m:r>
                    <m:t>τ</m:t>
                  </m:r>
                </m:e>
              </m:d>
            </m:num>
            <m:den>
              <m:nary>
                <m:naryPr>
                  <m:chr m:val="∑"/>
                  <m:limLoc m:val="undOvr"/>
                  <m:subHide m:val="off"/>
                  <m:supHide m:val="on"/>
                </m:naryPr>
                <m:sub>
                  <m:r>
                    <m:t>j</m:t>
                  </m:r>
                </m:sub>
                <m:sup>
                  <m:r>
                    <m:t>​</m:t>
                  </m:r>
                </m:sup>
                <m:e>
                  <m:r>
                    <m:rPr>
                      <m:sty m:val="p"/>
                    </m:rPr>
                    <m:t>exp</m:t>
                  </m:r>
                </m:e>
              </m:nary>
              <m:d>
                <m:dPr>
                  <m:begChr m:val="("/>
                  <m:endChr m:val=")"/>
                  <m:sepChr m:val=""/>
                  <m:grow/>
                </m:dPr>
                <m:e>
                  <m:r>
                    <m:rPr>
                      <m:sty m:val="p"/>
                    </m:rPr>
                    <m:t>log</m:t>
                  </m:r>
                  <m:sSub>
                    <m:e>
                      <m:r>
                        <m:t>p</m:t>
                      </m:r>
                    </m:e>
                    <m:sub>
                      <m:r>
                        <m:t>j</m:t>
                      </m:r>
                    </m:sub>
                  </m:sSub>
                  <m:r>
                    <m:rPr>
                      <m:sty m:val="p"/>
                    </m:rPr>
                    <m:t>/</m:t>
                  </m:r>
                  <m:r>
                    <m:t>τ</m:t>
                  </m:r>
                </m:e>
              </m:d>
            </m:den>
          </m:f>
        </m:oMath>
      </m:oMathPara>
    </w:p>
    <w:p>
      <w:pPr>
        <w:pStyle w:val="FirstParagraph"/>
      </w:pPr>
      <w:r>
        <w:t xml:space="preserve">当</w:t>
      </w:r>
      <m:oMath>
        <m:r>
          <m:t>τ</m:t>
        </m:r>
        <m:r>
          <m:rPr>
            <m:sty m:val="p"/>
          </m:rPr>
          <m:t>&gt;</m:t>
        </m:r>
        <m:r>
          <m:t>1</m:t>
        </m:r>
      </m:oMath>
      <w:r>
        <w:t xml:space="preserve">时，概率分布趋于均匀，增加输出的多样性；当</w:t>
      </w:r>
      <m:oMath>
        <m:r>
          <m:t>τ</m:t>
        </m:r>
        <m:r>
          <m:rPr>
            <m:sty m:val="p"/>
          </m:rPr>
          <m:t>&lt;</m:t>
        </m:r>
        <m:r>
          <m:t>1</m:t>
        </m:r>
      </m:oMath>
      <w:r>
        <w:t xml:space="preserve">时，概率分布趋于集中，增加输出的确定性。</w:t>
      </w:r>
    </w:p>
    <w:bookmarkEnd w:id="50"/>
    <w:bookmarkStart w:id="51" w:name="约束解码技术"/>
    <w:p>
      <w:pPr>
        <w:pStyle w:val="Heading4"/>
      </w:pPr>
      <w:r>
        <w:t xml:space="preserve">2.2.3 约束解码技术</w:t>
      </w:r>
    </w:p>
    <w:p>
      <w:pPr>
        <w:pStyle w:val="FirstParagraph"/>
      </w:pPr>
      <w:r>
        <w:t xml:space="preserve">约束解码（Constrained Decoding）技术通过在解码阶段对token概率施加语法约束，确保模型输出符合预定义的结构化格式[25]。</w:t>
      </w:r>
    </w:p>
    <w:p>
      <w:pPr>
        <w:pStyle w:val="BodyText"/>
      </w:pPr>
      <w:r>
        <w:rPr>
          <w:bCs/>
          <w:b/>
        </w:rPr>
        <w:t xml:space="preserve">定义2.14（语法约束解码）</w:t>
      </w:r>
      <w:r>
        <w:t xml:space="preserve">：给定目标语法</w:t>
      </w:r>
      <m:oMath>
        <m:r>
          <m:rPr>
            <m:sty m:val="p"/>
            <m:scr m:val="script"/>
          </m:rPr>
          <m:t>G</m:t>
        </m:r>
      </m:oMath>
      <w:r>
        <w:t xml:space="preserve">（如JSON语法），约束解码在每一步生成时，将不符合语法的token概率置零：</w:t>
      </w:r>
    </w:p>
    <w:p>
      <w:pPr>
        <w:pStyle w:val="BodyText"/>
      </w:pPr>
      <m:oMathPara>
        <m:oMathParaPr>
          <m:jc m:val="center"/>
        </m:oMathParaPr>
        <m:oMath>
          <m:r>
            <m:t>P</m:t>
          </m:r>
          <m:r>
            <m:rPr>
              <m:sty m:val="p"/>
            </m:rPr>
            <m:t>′</m:t>
          </m:r>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t>P</m:t>
                    </m:r>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r>
                      <m:rPr>
                        <m:sty m:val="p"/>
                      </m:rPr>
                      <m:t>/</m:t>
                    </m:r>
                    <m:r>
                      <m:t>Z</m:t>
                    </m:r>
                  </m:e>
                  <m:e>
                    <m:r>
                      <m:rPr>
                        <m:nor/>
                        <m:sty m:val="p"/>
                      </m:rPr>
                      <m:t>if </m:t>
                    </m:r>
                    <m:sSub>
                      <m:e>
                        <m:r>
                          <m:t>y</m:t>
                        </m:r>
                      </m:e>
                      <m:sub>
                        <m:r>
                          <m:rPr>
                            <m:sty m:val="p"/>
                          </m:rPr>
                          <m:t>&lt;</m:t>
                        </m:r>
                        <m:r>
                          <m:t>t</m:t>
                        </m:r>
                      </m:sub>
                    </m:sSub>
                    <m:r>
                      <m:rPr>
                        <m:sty m:val="p"/>
                      </m:rPr>
                      <m:t>∘</m:t>
                    </m:r>
                    <m:sSub>
                      <m:e>
                        <m:r>
                          <m:t>y</m:t>
                        </m:r>
                      </m:e>
                      <m:sub>
                        <m:r>
                          <m:t>t</m:t>
                        </m:r>
                      </m:sub>
                    </m:sSub>
                    <m:r>
                      <m:rPr>
                        <m:sty m:val="p"/>
                      </m:rPr>
                      <m:t>∈</m:t>
                    </m:r>
                    <m:r>
                      <m:rPr>
                        <m:nor/>
                        <m:sty m:val="p"/>
                      </m:rPr>
                      <m:t>Prefix</m:t>
                    </m:r>
                    <m:d>
                      <m:dPr>
                        <m:begChr m:val="("/>
                        <m:endChr m:val=")"/>
                        <m:sepChr m:val=""/>
                        <m:grow/>
                      </m:dPr>
                      <m:e>
                        <m:r>
                          <m:rPr>
                            <m:sty m:val="p"/>
                            <m:scr m:val="script"/>
                          </m:rPr>
                          <m:t>G</m:t>
                        </m:r>
                      </m:e>
                    </m:d>
                  </m:e>
                </m:mr>
                <m:mr>
                  <m:e>
                    <m:r>
                      <m:t>0</m:t>
                    </m:r>
                  </m:e>
                  <m:e>
                    <m:r>
                      <m:rPr>
                        <m:nor/>
                        <m:sty m:val="p"/>
                      </m:rPr>
                      <m:t>otherwise</m:t>
                    </m:r>
                  </m:e>
                </m:mr>
              </m:m>
            </m:e>
          </m:d>
        </m:oMath>
      </m:oMathPara>
    </w:p>
    <w:p>
      <w:pPr>
        <w:pStyle w:val="FirstParagraph"/>
      </w:pPr>
      <w:r>
        <w:t xml:space="preserve">其中</w:t>
      </w:r>
      <m:oMath>
        <m:r>
          <m:rPr>
            <m:nor/>
            <m:sty m:val="p"/>
          </m:rPr>
          <m:t>Prefix</m:t>
        </m:r>
        <m:d>
          <m:dPr>
            <m:begChr m:val="("/>
            <m:endChr m:val=")"/>
            <m:sepChr m:val=""/>
            <m:grow/>
          </m:dPr>
          <m:e>
            <m:r>
              <m:rPr>
                <m:sty m:val="p"/>
                <m:scr m:val="script"/>
              </m:rPr>
              <m:t>G</m:t>
            </m:r>
          </m:e>
        </m:d>
      </m:oMath>
      <w:r>
        <w:t xml:space="preserve">为语法</w:t>
      </w:r>
      <m:oMath>
        <m:r>
          <m:rPr>
            <m:sty m:val="p"/>
            <m:scr m:val="script"/>
          </m:rPr>
          <m:t>G</m:t>
        </m:r>
      </m:oMath>
      <w:r>
        <w:t xml:space="preserve">的所有合法前缀集合，</w:t>
      </w:r>
      <m:oMath>
        <m:r>
          <m:t>Z</m:t>
        </m:r>
        <m:r>
          <m:rPr>
            <m:sty m:val="p"/>
          </m:rPr>
          <m:t>=</m:t>
        </m:r>
        <m:nary>
          <m:naryPr>
            <m:chr m:val="∑"/>
            <m:limLoc m:val="undOvr"/>
            <m:subHide m:val="off"/>
            <m:supHide m:val="on"/>
          </m:naryPr>
          <m:sub>
            <m:sSub>
              <m:e>
                <m:r>
                  <m:t>y</m:t>
                </m:r>
              </m:e>
              <m:sub>
                <m:r>
                  <m:t>t</m:t>
                </m:r>
              </m:sub>
            </m:sSub>
            <m:r>
              <m:rPr>
                <m:sty m:val="p"/>
              </m:rPr>
              <m:t>:</m:t>
            </m:r>
            <m:sSub>
              <m:e>
                <m:r>
                  <m:t>y</m:t>
                </m:r>
              </m:e>
              <m:sub>
                <m:r>
                  <m:rPr>
                    <m:sty m:val="p"/>
                  </m:rPr>
                  <m:t>&lt;</m:t>
                </m:r>
                <m:r>
                  <m:t>t</m:t>
                </m:r>
              </m:sub>
            </m:sSub>
            <m:r>
              <m:rPr>
                <m:sty m:val="p"/>
              </m:rPr>
              <m:t>∘</m:t>
            </m:r>
            <m:sSub>
              <m:e>
                <m:r>
                  <m:t>y</m:t>
                </m:r>
              </m:e>
              <m:sub>
                <m:r>
                  <m:t>t</m:t>
                </m:r>
              </m:sub>
            </m:sSub>
            <m:r>
              <m:rPr>
                <m:sty m:val="p"/>
              </m:rPr>
              <m:t>∈</m:t>
            </m:r>
            <m:r>
              <m:rPr>
                <m:nor/>
                <m:sty m:val="p"/>
              </m:rPr>
              <m:t>Prefix</m:t>
            </m:r>
            <m:d>
              <m:dPr>
                <m:begChr m:val="("/>
                <m:endChr m:val=")"/>
                <m:sepChr m:val=""/>
                <m:grow/>
              </m:dPr>
              <m:e>
                <m:r>
                  <m:rPr>
                    <m:sty m:val="p"/>
                    <m:scr m:val="script"/>
                  </m:rPr>
                  <m:t>G</m:t>
                </m:r>
              </m:e>
            </m:d>
          </m:sub>
          <m:sup>
            <m:r>
              <m:t>​</m:t>
            </m:r>
          </m:sup>
          <m:e>
            <m:r>
              <m:t>P</m:t>
            </m:r>
          </m:e>
        </m:nary>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oMath>
      <w:r>
        <w:t xml:space="preserve">为归一化常数，</w:t>
      </w:r>
      <m:oMath>
        <m:r>
          <m:rPr>
            <m:sty m:val="p"/>
          </m:rPr>
          <m:t>∘</m:t>
        </m:r>
      </m:oMath>
      <w:r>
        <w:t xml:space="preserve">表示字符串连接。</w:t>
      </w:r>
    </w:p>
    <w:p>
      <w:pPr>
        <w:pStyle w:val="BodyText"/>
      </w:pPr>
      <w:r>
        <w:t xml:space="preserve">约束解码的实现通常基于有限状态自动机（FSA）或上下文无关文法（CFG）。对于JSON语法，可以构建一个解析器，在每一步解码时判断当前前缀是否为合法的JSON前缀，并据此掩码非法token。</w:t>
      </w:r>
    </w:p>
    <w:p>
      <w:pPr>
        <w:pStyle w:val="BodyText"/>
      </w:pPr>
      <w:r>
        <w:t xml:space="preserve">语法约束解码能够有效消除格式错误，如JSON语法错误、括号不匹配、引号缺失等。然而，约束解码无法保证输出内容的语义正确性，如组件跨度越界、关系引用不存在的组件等[25][26]。在MCR-BR框架中，约束解码作为基础保障，配合后续的一致性评估机制共同确保输出质量。</w:t>
      </w:r>
    </w:p>
    <w:p>
      <w:pPr>
        <w:pStyle w:val="BodyText"/>
      </w:pPr>
      <w:r>
        <w:t xml:space="preserve">近期研究进一步提出了灵活高效的语法约束解码框架，通过增量式语法解析和高效的掩码计算，在保证输出格式正确性的同时最小化对生成效率的影响[26]。</w:t>
      </w:r>
    </w:p>
    <w:bookmarkEnd w:id="51"/>
    <w:bookmarkStart w:id="52" w:name="lora微调与参数高效适配"/>
    <w:p>
      <w:pPr>
        <w:pStyle w:val="Heading4"/>
      </w:pPr>
      <w:r>
        <w:t xml:space="preserve">2.2.4 LoRA微调与参数高效适配</w:t>
      </w:r>
    </w:p>
    <w:p>
      <w:pPr>
        <w:pStyle w:val="FirstParagraph"/>
      </w:pPr>
      <w:r>
        <w:t xml:space="preserve">低秩适配（Low-Rank Adaptation, LoRA）是一种参数高效微调方法，通过在预训练权重旁注入可训练的低秩分解矩阵，实现高效的模型定制[27]。</w:t>
      </w:r>
    </w:p>
    <w:p>
      <w:pPr>
        <w:pStyle w:val="BodyText"/>
      </w:pPr>
      <w:r>
        <w:rPr>
          <w:bCs/>
          <w:b/>
        </w:rPr>
        <w:t xml:space="preserve">定义2.15（LoRA参数化）</w:t>
      </w:r>
      <w:r>
        <w:t xml:space="preserve">：对于预训练权重矩阵</w:t>
      </w:r>
      <m:oMath>
        <m:sSub>
          <m:e>
            <m:r>
              <m:t>W</m:t>
            </m:r>
          </m:e>
          <m:sub>
            <m:r>
              <m:t>0</m:t>
            </m:r>
          </m:sub>
        </m:sSub>
        <m:r>
          <m:rPr>
            <m:sty m:val="p"/>
          </m:rPr>
          <m:t>∈</m:t>
        </m:r>
        <m:sSup>
          <m:e>
            <m:r>
              <m:rPr>
                <m:sty m:val="p"/>
                <m:scr m:val="double-struck"/>
              </m:rPr>
              <m:t>R</m:t>
            </m:r>
          </m:e>
          <m:sup>
            <m:r>
              <m:t>d</m:t>
            </m:r>
            <m:r>
              <m:rPr>
                <m:sty m:val="p"/>
              </m:rPr>
              <m:t>×</m:t>
            </m:r>
            <m:r>
              <m:t>k</m:t>
            </m:r>
          </m:sup>
        </m:sSup>
      </m:oMath>
      <w:r>
        <w:t xml:space="preserve">，LoRA引入低秩增量：</w:t>
      </w:r>
    </w:p>
    <w:p>
      <w:pPr>
        <w:pStyle w:val="BodyText"/>
      </w:pPr>
      <m:oMathPara>
        <m:oMathParaPr>
          <m:jc m:val="center"/>
        </m:oMathParaPr>
        <m:oMath>
          <m:r>
            <m:t>W</m:t>
          </m:r>
          <m:r>
            <m:rPr>
              <m:sty m:val="p"/>
            </m:rPr>
            <m:t>=</m:t>
          </m:r>
          <m:sSub>
            <m:e>
              <m:r>
                <m:t>W</m:t>
              </m:r>
            </m:e>
            <m:sub>
              <m:r>
                <m:t>0</m:t>
              </m:r>
            </m:sub>
          </m:sSub>
          <m:r>
            <m:rPr>
              <m:sty m:val="p"/>
            </m:rPr>
            <m:t>+</m:t>
          </m:r>
          <m:r>
            <m:t>Δ</m:t>
          </m:r>
          <m:r>
            <m:t>W</m:t>
          </m:r>
          <m:r>
            <m:rPr>
              <m:sty m:val="p"/>
            </m:rPr>
            <m:t>=</m:t>
          </m:r>
          <m:sSub>
            <m:e>
              <m:r>
                <m:t>W</m:t>
              </m:r>
            </m:e>
            <m:sub>
              <m:r>
                <m:t>0</m:t>
              </m:r>
            </m:sub>
          </m:sSub>
          <m:r>
            <m:rPr>
              <m:sty m:val="p"/>
            </m:rPr>
            <m:t>+</m:t>
          </m:r>
          <m:r>
            <m:t>B</m:t>
          </m:r>
          <m:r>
            <m:t>A</m:t>
          </m:r>
        </m:oMath>
      </m:oMathPara>
    </w:p>
    <w:p>
      <w:pPr>
        <w:pStyle w:val="FirstParagraph"/>
      </w:pPr>
      <w:r>
        <w:t xml:space="preserve">其中</w:t>
      </w:r>
      <m:oMath>
        <m:r>
          <m:t>B</m:t>
        </m:r>
        <m:r>
          <m:rPr>
            <m:sty m:val="p"/>
          </m:rPr>
          <m:t>∈</m:t>
        </m:r>
        <m:sSup>
          <m:e>
            <m:r>
              <m:rPr>
                <m:sty m:val="p"/>
                <m:scr m:val="double-struck"/>
              </m:rPr>
              <m:t>R</m:t>
            </m:r>
          </m:e>
          <m:sup>
            <m:r>
              <m:t>d</m:t>
            </m:r>
            <m:r>
              <m:rPr>
                <m:sty m:val="p"/>
              </m:rPr>
              <m:t>×</m:t>
            </m:r>
            <m:r>
              <m:t>r</m:t>
            </m:r>
          </m:sup>
        </m:sSup>
      </m:oMath>
      <w:r>
        <w:t xml:space="preserve">，</w:t>
      </w:r>
      <m:oMath>
        <m:r>
          <m:t>A</m:t>
        </m:r>
        <m:r>
          <m:rPr>
            <m:sty m:val="p"/>
          </m:rPr>
          <m:t>∈</m:t>
        </m:r>
        <m:sSup>
          <m:e>
            <m:r>
              <m:rPr>
                <m:sty m:val="p"/>
                <m:scr m:val="double-struck"/>
              </m:rPr>
              <m:t>R</m:t>
            </m:r>
          </m:e>
          <m:sup>
            <m:r>
              <m:t>r</m:t>
            </m:r>
            <m:r>
              <m:rPr>
                <m:sty m:val="p"/>
              </m:rPr>
              <m:t>×</m:t>
            </m:r>
            <m:r>
              <m:t>k</m:t>
            </m:r>
          </m:sup>
        </m:sSup>
      </m:oMath>
      <w:r>
        <w:t xml:space="preserve">，</w:t>
      </w:r>
      <m:oMath>
        <m:r>
          <m:t>r</m:t>
        </m:r>
        <m:r>
          <m:rPr>
            <m:sty m:val="p"/>
          </m:rPr>
          <m:t>≪</m:t>
        </m:r>
        <m:r>
          <m:rPr>
            <m:sty m:val="p"/>
          </m:rPr>
          <m:t>min</m:t>
        </m:r>
        <m:d>
          <m:dPr>
            <m:begChr m:val="("/>
            <m:endChr m:val=")"/>
            <m:sepChr m:val=""/>
            <m:grow/>
          </m:dPr>
          <m:e>
            <m:r>
              <m:t>d</m:t>
            </m:r>
            <m:r>
              <m:rPr>
                <m:sty m:val="p"/>
              </m:rPr>
              <m:t>,</m:t>
            </m:r>
            <m:r>
              <m:t>k</m:t>
            </m:r>
          </m:e>
        </m:d>
      </m:oMath>
      <w:r>
        <w:t xml:space="preserve">为秩。训练过程中，</w:t>
      </w:r>
      <m:oMath>
        <m:sSub>
          <m:e>
            <m:r>
              <m:t>W</m:t>
            </m:r>
          </m:e>
          <m:sub>
            <m:r>
              <m:t>0</m:t>
            </m:r>
          </m:sub>
        </m:sSub>
      </m:oMath>
      <w:r>
        <w:t xml:space="preserve">保持冻结，仅更新</w:t>
      </w:r>
      <m:oMath>
        <m:r>
          <m:t>A</m:t>
        </m:r>
      </m:oMath>
      <w:r>
        <w:t xml:space="preserve">和</w:t>
      </w:r>
      <m:oMath>
        <m:r>
          <m:t>B</m:t>
        </m:r>
      </m:oMath>
      <w:r>
        <w:t xml:space="preserve">。</w:t>
      </w:r>
    </w:p>
    <w:p>
      <w:pPr>
        <w:pStyle w:val="BodyText"/>
      </w:pPr>
      <w:r>
        <w:t xml:space="preserve">LoRA的初始化策略通常为：</w:t>
      </w:r>
      <m:oMath>
        <m:r>
          <m:t>A</m:t>
        </m:r>
      </m:oMath>
      <w:r>
        <w:t xml:space="preserve">使用高斯随机初始化，</w:t>
      </w:r>
      <m:oMath>
        <m:r>
          <m:t>B</m:t>
        </m:r>
      </m:oMath>
      <w:r>
        <w:t xml:space="preserve">初始化为零矩阵，确保训练开始时</w:t>
      </w:r>
      <m:oMath>
        <m:r>
          <m:t>Δ</m:t>
        </m:r>
        <m:r>
          <m:t>W</m:t>
        </m:r>
        <m:r>
          <m:rPr>
            <m:sty m:val="p"/>
          </m:rPr>
          <m:t>=</m:t>
        </m:r>
        <m:r>
          <m:t>0</m:t>
        </m:r>
      </m:oMath>
      <w:r>
        <w:t xml:space="preserve">，即模型行为与预训练模型一致。训练过程中引入缩放因子</w:t>
      </w:r>
      <m:oMath>
        <m:r>
          <m:t>α</m:t>
        </m:r>
      </m:oMath>
      <w:r>
        <w:t xml:space="preserve">：</w:t>
      </w:r>
    </w:p>
    <w:p>
      <w:pPr>
        <w:pStyle w:val="BodyText"/>
      </w:pPr>
      <m:oMathPara>
        <m:oMathParaPr>
          <m:jc m:val="center"/>
        </m:oMathParaPr>
        <m:oMath>
          <m:r>
            <m:t>h</m:t>
          </m:r>
          <m:r>
            <m:rPr>
              <m:sty m:val="p"/>
            </m:rPr>
            <m:t>=</m:t>
          </m:r>
          <m:sSub>
            <m:e>
              <m:r>
                <m:t>W</m:t>
              </m:r>
            </m:e>
            <m:sub>
              <m:r>
                <m:t>0</m:t>
              </m:r>
            </m:sub>
          </m:sSub>
          <m:r>
            <m:t>x</m:t>
          </m:r>
          <m:r>
            <m:rPr>
              <m:sty m:val="p"/>
            </m:rPr>
            <m:t>+</m:t>
          </m:r>
          <m:f>
            <m:fPr>
              <m:type m:val="bar"/>
            </m:fPr>
            <m:num>
              <m:r>
                <m:t>α</m:t>
              </m:r>
            </m:num>
            <m:den>
              <m:r>
                <m:t>r</m:t>
              </m:r>
            </m:den>
          </m:f>
          <m:r>
            <m:t>B</m:t>
          </m:r>
          <m:r>
            <m:t>A</m:t>
          </m:r>
          <m:r>
            <m:t>x</m:t>
          </m:r>
        </m:oMath>
      </m:oMathPara>
    </w:p>
    <w:p>
      <w:pPr>
        <w:pStyle w:val="FirstParagraph"/>
      </w:pPr>
      <w:r>
        <w:t xml:space="preserve">缩放因子</w:t>
      </w:r>
      <m:oMath>
        <m:r>
          <m:t>α</m:t>
        </m:r>
      </m:oMath>
      <w:r>
        <w:t xml:space="preserve">控制低秩更新的幅度，通常设为与秩</w:t>
      </w:r>
      <m:oMath>
        <m:r>
          <m:t>r</m:t>
        </m:r>
      </m:oMath>
      <w:r>
        <w:t xml:space="preserve">相当的值。</w:t>
      </w:r>
    </w:p>
    <w:p>
      <w:pPr>
        <w:pStyle w:val="BodyText"/>
      </w:pPr>
      <w:r>
        <w:t xml:space="preserve">LoRA的优势在于：</w:t>
      </w:r>
      <w:r>
        <w:t xml:space="preserve"> </w:t>
      </w:r>
      <w:r>
        <w:t xml:space="preserve">1.</w:t>
      </w:r>
      <w:r>
        <w:t xml:space="preserve"> </w:t>
      </w:r>
      <w:r>
        <w:rPr>
          <w:bCs/>
          <w:b/>
        </w:rPr>
        <w:t xml:space="preserve">参数效率</w:t>
      </w:r>
      <w:r>
        <w:t xml:space="preserve">：可训练参数量从</w:t>
      </w:r>
      <m:oMath>
        <m:r>
          <m:t>O</m:t>
        </m:r>
        <m:d>
          <m:dPr>
            <m:begChr m:val="("/>
            <m:endChr m:val=")"/>
            <m:sepChr m:val=""/>
            <m:grow/>
          </m:dPr>
          <m:e>
            <m:r>
              <m:t>d</m:t>
            </m:r>
            <m:r>
              <m:rPr>
                <m:sty m:val="p"/>
              </m:rPr>
              <m:t>×</m:t>
            </m:r>
            <m:r>
              <m:t>k</m:t>
            </m:r>
          </m:e>
        </m:d>
      </m:oMath>
      <w:r>
        <w:t xml:space="preserve">降至</w:t>
      </w:r>
      <m:oMath>
        <m:r>
          <m:t>O</m:t>
        </m:r>
        <m:d>
          <m:dPr>
            <m:begChr m:val="("/>
            <m:endChr m:val=")"/>
            <m:sepChr m:val=""/>
            <m:grow/>
          </m:dPr>
          <m:e>
            <m:d>
              <m:dPr>
                <m:begChr m:val="("/>
                <m:endChr m:val=")"/>
                <m:sepChr m:val=""/>
                <m:grow/>
              </m:dPr>
              <m:e>
                <m:r>
                  <m:t>d</m:t>
                </m:r>
                <m:r>
                  <m:rPr>
                    <m:sty m:val="p"/>
                  </m:rPr>
                  <m:t>+</m:t>
                </m:r>
                <m:r>
                  <m:t>k</m:t>
                </m:r>
              </m:e>
            </m:d>
            <m:r>
              <m:rPr>
                <m:sty m:val="p"/>
              </m:rPr>
              <m:t>×</m:t>
            </m:r>
            <m:r>
              <m:t>r</m:t>
            </m:r>
          </m:e>
        </m:d>
      </m:oMath>
      <w:r>
        <w:t xml:space="preserve">，当</w:t>
      </w:r>
      <m:oMath>
        <m:r>
          <m:t>r</m:t>
        </m:r>
        <m:r>
          <m:rPr>
            <m:sty m:val="p"/>
          </m:rPr>
          <m:t>≪</m:t>
        </m:r>
        <m:r>
          <m:rPr>
            <m:sty m:val="p"/>
          </m:rPr>
          <m:t>min</m:t>
        </m:r>
        <m:d>
          <m:dPr>
            <m:begChr m:val="("/>
            <m:endChr m:val=")"/>
            <m:sepChr m:val=""/>
            <m:grow/>
          </m:dPr>
          <m:e>
            <m:r>
              <m:t>d</m:t>
            </m:r>
            <m:r>
              <m:rPr>
                <m:sty m:val="p"/>
              </m:rPr>
              <m:t>,</m:t>
            </m:r>
            <m:r>
              <m:t>k</m:t>
            </m:r>
          </m:e>
        </m:d>
      </m:oMath>
      <w:r>
        <w:t xml:space="preserve">时显著减少</w:t>
      </w:r>
      <w:r>
        <w:t xml:space="preserve"> </w:t>
      </w:r>
      <w:r>
        <w:t xml:space="preserve">2.</w:t>
      </w:r>
      <w:r>
        <w:t xml:space="preserve"> </w:t>
      </w:r>
      <w:r>
        <w:rPr>
          <w:bCs/>
          <w:b/>
        </w:rPr>
        <w:t xml:space="preserve">内存效率</w:t>
      </w:r>
      <w:r>
        <w:t xml:space="preserve">：无需存储优化器状态的完整梯度，降低显存占用</w:t>
      </w:r>
      <w:r>
        <w:t xml:space="preserve"> </w:t>
      </w:r>
      <w:r>
        <w:t xml:space="preserve">3.</w:t>
      </w:r>
      <w:r>
        <w:t xml:space="preserve"> </w:t>
      </w:r>
      <w:r>
        <w:rPr>
          <w:bCs/>
          <w:b/>
        </w:rPr>
        <w:t xml:space="preserve">模块化</w:t>
      </w:r>
      <w:r>
        <w:t xml:space="preserve">：不同任务的LoRA模块可以独立训练和切换，支持多任务部署</w:t>
      </w:r>
      <w:r>
        <w:t xml:space="preserve"> </w:t>
      </w:r>
      <w:r>
        <w:t xml:space="preserve">4.</w:t>
      </w:r>
      <w:r>
        <w:t xml:space="preserve"> </w:t>
      </w:r>
      <w:r>
        <w:rPr>
          <w:bCs/>
          <w:b/>
        </w:rPr>
        <w:t xml:space="preserve">性能保持</w:t>
      </w:r>
      <w:r>
        <w:t xml:space="preserve">：在多数下游任务上与全参数微调性能相当</w:t>
      </w:r>
    </w:p>
    <w:p>
      <w:pPr>
        <w:pStyle w:val="BodyText"/>
      </w:pPr>
      <w:r>
        <w:t xml:space="preserve">在本文的结论类组件优化方案中，Claim-specific Adapter采用LoRA架构，在注意力投影层注入并行的低秩模块：</w:t>
      </w:r>
    </w:p>
    <w:p>
      <w:pPr>
        <w:pStyle w:val="BodyText"/>
      </w:pPr>
      <m:oMathPara>
        <m:oMathParaPr>
          <m:jc m:val="center"/>
        </m:oMathParaPr>
        <m:oMath>
          <m:r>
            <m:t>h</m:t>
          </m:r>
          <m:r>
            <m:rPr>
              <m:sty m:val="p"/>
            </m:rPr>
            <m:t>′</m:t>
          </m:r>
          <m:r>
            <m:rPr>
              <m:sty m:val="p"/>
            </m:rPr>
            <m:t>=</m:t>
          </m:r>
          <m:sSub>
            <m:e>
              <m:r>
                <m:t>W</m:t>
              </m:r>
            </m:e>
            <m:sub>
              <m:r>
                <m:t>0</m:t>
              </m:r>
            </m:sub>
          </m:sSub>
          <m:r>
            <m:t>h</m:t>
          </m:r>
          <m:r>
            <m:rPr>
              <m:sty m:val="p"/>
            </m:rPr>
            <m:t>+</m:t>
          </m:r>
          <m:r>
            <m:t>α</m:t>
          </m:r>
          <m:r>
            <m:rPr>
              <m:sty m:val="p"/>
            </m:rPr>
            <m:t>⋅</m:t>
          </m:r>
          <m:sSub>
            <m:e>
              <m:r>
                <m:t>B</m:t>
              </m:r>
            </m:e>
            <m:sub>
              <m:r>
                <m:t>τ</m:t>
              </m:r>
            </m:sub>
          </m:sSub>
          <m:sSub>
            <m:e>
              <m:r>
                <m:t>A</m:t>
              </m:r>
            </m:e>
            <m:sub>
              <m:r>
                <m:t>τ</m:t>
              </m:r>
            </m:sub>
          </m:sSub>
          <m:r>
            <m:t>h</m:t>
          </m:r>
        </m:oMath>
      </m:oMathPara>
    </w:p>
    <w:p>
      <w:pPr>
        <w:pStyle w:val="FirstParagraph"/>
      </w:pPr>
      <w:r>
        <w:t xml:space="preserve">其中</w:t>
      </w:r>
      <m:oMath>
        <m:r>
          <m:t>α</m:t>
        </m:r>
      </m:oMath>
      <w:r>
        <w:t xml:space="preserve">为缩放系数，</w:t>
      </w:r>
      <m:oMath>
        <m:sSub>
          <m:e>
            <m:r>
              <m:t>B</m:t>
            </m:r>
          </m:e>
          <m:sub>
            <m:r>
              <m:t>τ</m:t>
            </m:r>
          </m:sub>
        </m:sSub>
      </m:oMath>
      <w:r>
        <w:t xml:space="preserve">和</w:t>
      </w:r>
      <m:oMath>
        <m:sSub>
          <m:e>
            <m:r>
              <m:t>A</m:t>
            </m:r>
          </m:e>
          <m:sub>
            <m:r>
              <m:t>τ</m:t>
            </m:r>
          </m:sub>
        </m:sSub>
      </m:oMath>
      <w:r>
        <w:t xml:space="preserve">为针对组件类型</w:t>
      </w:r>
      <m:oMath>
        <m:r>
          <m:t>τ</m:t>
        </m:r>
      </m:oMath>
      <w:r>
        <w:t xml:space="preserve">的适配器参数。当模型解码到与结论类标签匹配的JSON键值时，该适配器被动态激活，为结论类组件提供专项的表示增强。</w:t>
      </w:r>
    </w:p>
    <w:bookmarkEnd w:id="52"/>
    <w:bookmarkStart w:id="53" w:name="思维链推理"/>
    <w:p>
      <w:pPr>
        <w:pStyle w:val="Heading4"/>
      </w:pPr>
      <w:r>
        <w:t xml:space="preserve">2.2.5 思维链推理</w:t>
      </w:r>
    </w:p>
    <w:p>
      <w:pPr>
        <w:pStyle w:val="FirstParagraph"/>
      </w:pPr>
      <w:r>
        <w:t xml:space="preserve">思维链（Chain-of-Thought, CoT）提示技术通过引导模型生成中间推理步骤，显著提升了大语言模型在复杂推理任务上的表现[23]。</w:t>
      </w:r>
    </w:p>
    <w:p>
      <w:pPr>
        <w:pStyle w:val="BodyText"/>
      </w:pPr>
      <w:r>
        <w:rPr>
          <w:bCs/>
          <w:b/>
        </w:rPr>
        <w:t xml:space="preserve">定义2.16（思维链提示）</w:t>
      </w:r>
      <w:r>
        <w:t xml:space="preserve">：给定输入问题</w:t>
      </w:r>
      <m:oMath>
        <m:r>
          <m:t>x</m:t>
        </m:r>
      </m:oMath>
      <w:r>
        <w:t xml:space="preserve">，思维链提示要求模型生成推理路径</w:t>
      </w:r>
      <m:oMath>
        <m:r>
          <m:t>r</m:t>
        </m:r>
        <m:r>
          <m:rPr>
            <m:sty m:val="p"/>
          </m:rPr>
          <m:t>=</m:t>
        </m:r>
        <m:d>
          <m:dPr>
            <m:begChr m:val="("/>
            <m:endChr m:val=")"/>
            <m:sepChr m:val=""/>
            <m:grow/>
          </m:dPr>
          <m:e>
            <m:sSub>
              <m:e>
                <m:r>
                  <m:t>r</m:t>
                </m:r>
              </m:e>
              <m:sub>
                <m:r>
                  <m:t>1</m:t>
                </m:r>
              </m:sub>
            </m:sSub>
            <m:r>
              <m:rPr>
                <m:sty m:val="p"/>
              </m:rPr>
              <m:t>,</m:t>
            </m:r>
            <m:sSub>
              <m:e>
                <m:r>
                  <m:t>r</m:t>
                </m:r>
              </m:e>
              <m:sub>
                <m:r>
                  <m:t>2</m:t>
                </m:r>
              </m:sub>
            </m:sSub>
            <m:r>
              <m:rPr>
                <m:sty m:val="p"/>
              </m:rPr>
              <m:t>,</m:t>
            </m:r>
            <m:r>
              <m:rPr>
                <m:sty m:val="p"/>
              </m:rPr>
              <m:t>…</m:t>
            </m:r>
            <m:r>
              <m:rPr>
                <m:sty m:val="p"/>
              </m:rPr>
              <m:t>,</m:t>
            </m:r>
            <m:sSub>
              <m:e>
                <m:r>
                  <m:t>r</m:t>
                </m:r>
              </m:e>
              <m:sub>
                <m:r>
                  <m:t>k</m:t>
                </m:r>
              </m:sub>
            </m:sSub>
          </m:e>
        </m:d>
      </m:oMath>
      <w:r>
        <w:t xml:space="preserve">后再输出最终答案</w:t>
      </w:r>
      <m:oMath>
        <m:r>
          <m:t>y</m:t>
        </m:r>
      </m:oMath>
      <w:r>
        <w:t xml:space="preserve">：</w:t>
      </w:r>
    </w:p>
    <w:p>
      <w:pPr>
        <w:pStyle w:val="BodyText"/>
      </w:pPr>
      <m:oMathPara>
        <m:oMathParaPr>
          <m:jc m:val="center"/>
        </m:oMathParaPr>
        <m:oMath>
          <m:r>
            <m:t>P</m:t>
          </m:r>
          <m:d>
            <m:dPr>
              <m:begChr m:val="("/>
              <m:endChr m:val=")"/>
              <m:sepChr m:val=""/>
              <m:grow/>
            </m:dPr>
            <m:e>
              <m:r>
                <m:t>y</m:t>
              </m:r>
              <m:r>
                <m:rPr>
                  <m:sty m:val="p"/>
                </m:rPr>
                <m:t>|</m:t>
              </m:r>
              <m:r>
                <m:t>x</m:t>
              </m:r>
            </m:e>
          </m:d>
          <m:r>
            <m:rPr>
              <m:sty m:val="p"/>
            </m:rPr>
            <m:t>=</m:t>
          </m:r>
          <m:nary>
            <m:naryPr>
              <m:chr m:val="∑"/>
              <m:limLoc m:val="undOvr"/>
              <m:subHide m:val="off"/>
              <m:supHide m:val="on"/>
            </m:naryPr>
            <m:sub>
              <m:r>
                <m:t>r</m:t>
              </m:r>
            </m:sub>
            <m:sup>
              <m:r>
                <m:t>​</m:t>
              </m:r>
            </m:sup>
            <m:e>
              <m:r>
                <m:t>P</m:t>
              </m:r>
            </m:e>
          </m:nary>
          <m:d>
            <m:dPr>
              <m:begChr m:val="("/>
              <m:endChr m:val=")"/>
              <m:sepChr m:val=""/>
              <m:grow/>
            </m:dPr>
            <m:e>
              <m:r>
                <m:t>r</m:t>
              </m:r>
              <m:r>
                <m:rPr>
                  <m:sty m:val="p"/>
                </m:rPr>
                <m:t>|</m:t>
              </m:r>
              <m:r>
                <m:t>x</m:t>
              </m:r>
            </m:e>
          </m:d>
          <m:r>
            <m:rPr>
              <m:sty m:val="p"/>
            </m:rPr>
            <m:t>⋅</m:t>
          </m:r>
          <m:r>
            <m:t>P</m:t>
          </m:r>
          <m:d>
            <m:dPr>
              <m:begChr m:val="("/>
              <m:endChr m:val=")"/>
              <m:sepChr m:val=""/>
              <m:grow/>
            </m:dPr>
            <m:e>
              <m:r>
                <m:t>y</m:t>
              </m:r>
              <m:r>
                <m:rPr>
                  <m:sty m:val="p"/>
                </m:rPr>
                <m:t>|</m:t>
              </m:r>
              <m:r>
                <m:t>x</m:t>
              </m:r>
              <m:r>
                <m:rPr>
                  <m:sty m:val="p"/>
                </m:rPr>
                <m:t>,</m:t>
              </m:r>
              <m:r>
                <m:t>r</m:t>
              </m:r>
            </m:e>
          </m:d>
        </m:oMath>
      </m:oMathPara>
    </w:p>
    <w:p>
      <w:pPr>
        <w:pStyle w:val="FirstParagraph"/>
      </w:pPr>
      <w:r>
        <w:t xml:space="preserve">通过在提示中提供包含推理步骤的示例（few-shot CoT）或简单添加”Let’s think step by step”提示（zero-shot CoT），模型学会模拟人类的分步推理过程。</w:t>
      </w:r>
    </w:p>
    <w:p>
      <w:pPr>
        <w:pStyle w:val="BodyText"/>
      </w:pPr>
      <w:r>
        <w:t xml:space="preserve">思维链推理的效果依赖于几个关键因素：</w:t>
      </w:r>
      <w:r>
        <w:t xml:space="preserve"> </w:t>
      </w:r>
      <w:r>
        <w:t xml:space="preserve">1.</w:t>
      </w:r>
      <w:r>
        <w:t xml:space="preserve"> </w:t>
      </w:r>
      <w:r>
        <w:rPr>
          <w:bCs/>
          <w:b/>
        </w:rPr>
        <w:t xml:space="preserve">模型规模</w:t>
      </w:r>
      <w:r>
        <w:t xml:space="preserve">：CoT主要在大规模模型（&gt;100B参数）上显现效果</w:t>
      </w:r>
      <w:r>
        <w:t xml:space="preserve"> </w:t>
      </w:r>
      <w:r>
        <w:t xml:space="preserve">2.</w:t>
      </w:r>
      <w:r>
        <w:t xml:space="preserve"> </w:t>
      </w:r>
      <w:r>
        <w:rPr>
          <w:bCs/>
          <w:b/>
        </w:rPr>
        <w:t xml:space="preserve">推理复杂度</w:t>
      </w:r>
      <w:r>
        <w:t xml:space="preserve">：对于需要多步推理的复杂问题，CoT的增益更明显</w:t>
      </w:r>
      <w:r>
        <w:t xml:space="preserve"> </w:t>
      </w:r>
      <w:r>
        <w:t xml:space="preserve">3.</w:t>
      </w:r>
      <w:r>
        <w:t xml:space="preserve"> </w:t>
      </w:r>
      <w:r>
        <w:rPr>
          <w:bCs/>
          <w:b/>
        </w:rPr>
        <w:t xml:space="preserve">示例质量</w:t>
      </w:r>
      <w:r>
        <w:t xml:space="preserve">：高质量的推理示例能够引导模型产生更准确的推理链</w:t>
      </w:r>
    </w:p>
    <w:p>
      <w:pPr>
        <w:pStyle w:val="BodyText"/>
      </w:pPr>
      <w:r>
        <w:t xml:space="preserve">在论辩挖掘任务中，思维链推理可以引导模型按照以下步骤进行论辩结构分析[24]：</w:t>
      </w:r>
      <w:r>
        <w:t xml:space="preserve"> </w:t>
      </w:r>
      <w:r>
        <w:t xml:space="preserve">1. 首先通读全文，识别文本的核心议题</w:t>
      </w:r>
      <w:r>
        <w:t xml:space="preserve"> </w:t>
      </w:r>
      <w:r>
        <w:t xml:space="preserve">2. 然后定位表达作者立场的主要主张</w:t>
      </w:r>
      <w:r>
        <w:t xml:space="preserve"> </w:t>
      </w:r>
      <w:r>
        <w:t xml:space="preserve">3. 接着识别支撑主要主张的分论点（次级主张）</w:t>
      </w:r>
      <w:r>
        <w:t xml:space="preserve"> </w:t>
      </w:r>
      <w:r>
        <w:t xml:space="preserve">4. 再识别为各主张提供证据的前提</w:t>
      </w:r>
      <w:r>
        <w:t xml:space="preserve"> </w:t>
      </w:r>
      <w:r>
        <w:t xml:space="preserve">5. 最后分析组件之间的支持或攻击关系</w:t>
      </w:r>
    </w:p>
    <w:p>
      <w:pPr>
        <w:pStyle w:val="BodyText"/>
      </w:pPr>
      <w:r>
        <w:t xml:space="preserve">这种分步骤的生成策略有助于模型理清复杂论辩结构中的逻辑层次，降低一次性生成完整结构的难度。</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技术</w:t>
            </w:r>
          </w:p>
        </w:tc>
        <w:tc>
          <w:tcPr/>
          <w:p>
            <w:pPr>
              <w:pStyle w:val="Compact"/>
              <w:jc w:val="left"/>
            </w:pPr>
            <w:r>
              <w:t xml:space="preserve">核心机制</w:t>
            </w:r>
          </w:p>
        </w:tc>
        <w:tc>
          <w:tcPr/>
          <w:p>
            <w:pPr>
              <w:pStyle w:val="Compact"/>
              <w:jc w:val="left"/>
            </w:pPr>
            <w:r>
              <w:t xml:space="preserve">在论辩挖掘中的作用</w:t>
            </w:r>
          </w:p>
        </w:tc>
      </w:tr>
      <w:tr>
        <w:tc>
          <w:tcPr/>
          <w:p>
            <w:pPr>
              <w:pStyle w:val="Compact"/>
              <w:jc w:val="left"/>
            </w:pPr>
            <w:r>
              <w:t xml:space="preserve">自注意力</w:t>
            </w:r>
          </w:p>
        </w:tc>
        <w:tc>
          <w:tcPr/>
          <w:p>
            <w:pPr>
              <w:pStyle w:val="Compact"/>
              <w:jc w:val="left"/>
            </w:pPr>
            <w:r>
              <w:t xml:space="preserve">捕捉长距离依赖</w:t>
            </w:r>
          </w:p>
        </w:tc>
        <w:tc>
          <w:tcPr/>
          <w:p>
            <w:pPr>
              <w:pStyle w:val="Compact"/>
              <w:jc w:val="left"/>
            </w:pPr>
            <w:r>
              <w:t xml:space="preserve">建模组件间语义关联</w:t>
            </w:r>
          </w:p>
        </w:tc>
      </w:tr>
      <w:tr>
        <w:tc>
          <w:tcPr/>
          <w:p>
            <w:pPr>
              <w:pStyle w:val="Compact"/>
              <w:jc w:val="left"/>
            </w:pPr>
            <w:r>
              <w:t xml:space="preserve">约束解码</w:t>
            </w:r>
          </w:p>
        </w:tc>
        <w:tc>
          <w:tcPr/>
          <w:p>
            <w:pPr>
              <w:pStyle w:val="Compact"/>
              <w:jc w:val="left"/>
            </w:pPr>
            <w:r>
              <w:t xml:space="preserve">语法掩码</w:t>
            </w:r>
          </w:p>
        </w:tc>
        <w:tc>
          <w:tcPr/>
          <w:p>
            <w:pPr>
              <w:pStyle w:val="Compact"/>
              <w:jc w:val="left"/>
            </w:pPr>
            <w:r>
              <w:t xml:space="preserve">确保JSON格式正确</w:t>
            </w:r>
          </w:p>
        </w:tc>
      </w:tr>
      <w:tr>
        <w:tc>
          <w:tcPr/>
          <w:p>
            <w:pPr>
              <w:pStyle w:val="Compact"/>
              <w:jc w:val="left"/>
            </w:pPr>
            <w:r>
              <w:t xml:space="preserve">LoRA微调</w:t>
            </w:r>
          </w:p>
        </w:tc>
        <w:tc>
          <w:tcPr/>
          <w:p>
            <w:pPr>
              <w:pStyle w:val="Compact"/>
              <w:jc w:val="left"/>
            </w:pPr>
            <w:r>
              <w:t xml:space="preserve">低秩适配</w:t>
            </w:r>
          </w:p>
        </w:tc>
        <w:tc>
          <w:tcPr/>
          <w:p>
            <w:pPr>
              <w:pStyle w:val="Compact"/>
              <w:jc w:val="left"/>
            </w:pPr>
            <w:r>
              <w:t xml:space="preserve">高效定制组件提取器</w:t>
            </w:r>
          </w:p>
        </w:tc>
      </w:tr>
      <w:tr>
        <w:tc>
          <w:tcPr/>
          <w:p>
            <w:pPr>
              <w:pStyle w:val="Compact"/>
              <w:jc w:val="left"/>
            </w:pPr>
            <w:r>
              <w:t xml:space="preserve">思维链</w:t>
            </w:r>
          </w:p>
        </w:tc>
        <w:tc>
          <w:tcPr/>
          <w:p>
            <w:pPr>
              <w:pStyle w:val="Compact"/>
              <w:jc w:val="left"/>
            </w:pPr>
            <w:r>
              <w:t xml:space="preserve">分步推理</w:t>
            </w:r>
          </w:p>
        </w:tc>
        <w:tc>
          <w:tcPr/>
          <w:p>
            <w:pPr>
              <w:pStyle w:val="Compact"/>
              <w:jc w:val="left"/>
            </w:pPr>
            <w:r>
              <w:t xml:space="preserve">理清论证逻辑层次</w:t>
            </w:r>
          </w:p>
        </w:tc>
      </w:tr>
    </w:tbl>
    <w:bookmarkEnd w:id="53"/>
    <w:bookmarkEnd w:id="54"/>
    <w:bookmarkStart w:id="60" w:name="数据增强与推理自纠错理论"/>
    <w:p>
      <w:pPr>
        <w:pStyle w:val="Heading3"/>
      </w:pPr>
      <w:r>
        <w:t xml:space="preserve">2.3 数据增强与推理自纠错理论</w:t>
      </w:r>
    </w:p>
    <w:bookmarkStart w:id="55" w:name="基于llm的数据增强策略"/>
    <w:p>
      <w:pPr>
        <w:pStyle w:val="Heading4"/>
      </w:pPr>
      <w:r>
        <w:t xml:space="preserve">2.3.1 基于LLM的数据增强策略</w:t>
      </w:r>
    </w:p>
    <w:p>
      <w:pPr>
        <w:pStyle w:val="FirstParagraph"/>
      </w:pPr>
      <w:r>
        <w:t xml:space="preserve">数据增强（Data Augmentation）通过扩充训练数据的多样性来提升模型的泛化能力。在论辩挖掘任务中，基于大语言模型的数据增强策略能够生成保持论证结构一致性的合成样本[48]。</w:t>
      </w:r>
    </w:p>
    <w:p>
      <w:pPr>
        <w:pStyle w:val="BodyText"/>
      </w:pPr>
      <w:r>
        <w:rPr>
          <w:bCs/>
          <w:b/>
        </w:rPr>
        <w:t xml:space="preserve">条件生成增强</w:t>
      </w:r>
      <w:r>
        <w:t xml:space="preserve">：给定原始样本</w:t>
      </w:r>
      <m:oMath>
        <m:d>
          <m:dPr>
            <m:begChr m:val="("/>
            <m:endChr m:val=")"/>
            <m:sepChr m:val=""/>
            <m:grow/>
          </m:dPr>
          <m:e>
            <m:r>
              <m:t>D</m:t>
            </m:r>
            <m:r>
              <m:rPr>
                <m:sty m:val="p"/>
              </m:rPr>
              <m:t>,</m:t>
            </m:r>
            <m:r>
              <m:t>G</m:t>
            </m:r>
          </m:e>
        </m:d>
      </m:oMath>
      <w:r>
        <w:t xml:space="preserve">，其中</w:t>
      </w:r>
      <m:oMath>
        <m:r>
          <m:t>D</m:t>
        </m:r>
      </m:oMath>
      <w:r>
        <w:t xml:space="preserve">为文本，</w:t>
      </w:r>
      <m:oMath>
        <m:r>
          <m:t>G</m:t>
        </m:r>
      </m:oMath>
      <w:r>
        <w:t xml:space="preserve">为对应的论辩图，利用LLM生成语义等价但表述不同的变体</w:t>
      </w:r>
      <m:oMath>
        <m:r>
          <m:t>D</m:t>
        </m:r>
        <m:r>
          <m:rPr>
            <m:sty m:val="p"/>
          </m:rPr>
          <m:t>′</m:t>
        </m:r>
      </m:oMath>
      <w:r>
        <w:t xml:space="preserve">，同时保持论辩结构</w:t>
      </w:r>
      <m:oMath>
        <m:r>
          <m:t>G</m:t>
        </m:r>
      </m:oMath>
      <w:r>
        <w:t xml:space="preserve">不变：</w:t>
      </w:r>
    </w:p>
    <w:p>
      <w:pPr>
        <w:pStyle w:val="BodyText"/>
      </w:pPr>
      <m:oMathPara>
        <m:oMathParaPr>
          <m:jc m:val="center"/>
        </m:oMathParaPr>
        <m:oMath>
          <m:r>
            <m:t>D</m:t>
          </m:r>
          <m:r>
            <m:rPr>
              <m:sty m:val="p"/>
            </m:rPr>
            <m:t>′</m:t>
          </m:r>
          <m:r>
            <m:rPr>
              <m:sty m:val="p"/>
            </m:rPr>
            <m:t>=</m:t>
          </m:r>
          <m:sSub>
            <m:e>
              <m:r>
                <m:rPr>
                  <m:nor/>
                  <m:sty m:val="p"/>
                </m:rPr>
                <m:t>LLM</m:t>
              </m:r>
            </m:e>
            <m:sub>
              <m:r>
                <m:rPr>
                  <m:nor/>
                  <m:sty m:val="p"/>
                </m:rPr>
                <m:t>paraphrase</m:t>
              </m:r>
            </m:sub>
          </m:sSub>
          <m:d>
            <m:dPr>
              <m:begChr m:val="("/>
              <m:endChr m:val=")"/>
              <m:sepChr m:val=""/>
              <m:grow/>
            </m:dPr>
            <m:e>
              <m:r>
                <m:t>D</m:t>
              </m:r>
              <m:r>
                <m:rPr>
                  <m:sty m:val="p"/>
                </m:rPr>
                <m:t>|</m:t>
              </m:r>
              <m:r>
                <m:t>G</m:t>
              </m:r>
            </m:e>
          </m:d>
        </m:oMath>
      </m:oMathPara>
    </w:p>
    <w:p>
      <w:pPr>
        <w:pStyle w:val="FirstParagraph"/>
      </w:pPr>
      <w:r>
        <w:t xml:space="preserve">这种方法的关键在于确保改写后的文本保持原有的论证逻辑和组件边界对应关系。实现时，通过在提示中明确指定每个组件的文本位置和类型，要求模型在改写时保持这些约束[49]。</w:t>
      </w:r>
    </w:p>
    <w:p>
      <w:pPr>
        <w:pStyle w:val="BodyText"/>
      </w:pPr>
      <w:r>
        <w:rPr>
          <w:bCs/>
          <w:b/>
        </w:rPr>
        <w:t xml:space="preserve">结构感知增强</w:t>
      </w:r>
      <w:r>
        <w:t xml:space="preserve">：SegMix等方法通过在保持文本结构逻辑的前提下进行片段替换，增强模型对复杂结构的鲁棒性[51]。具体而言，将文本按论辩组件分割为片段，然后在不同样本之间进行组件级别的交换和重组，生成新的训练实例。这种方法能够在保持局部语义连贯的同时引入结构级别的变化。</w:t>
      </w:r>
    </w:p>
    <w:p>
      <w:pPr>
        <w:pStyle w:val="BodyText"/>
      </w:pPr>
      <w:r>
        <w:rPr>
          <w:bCs/>
          <w:b/>
        </w:rPr>
        <w:t xml:space="preserve">标签感知生成</w:t>
      </w:r>
      <w:r>
        <w:t xml:space="preserve">：针对特定类型的组件或关系，设计定向的生成提示，扩充稀有类别的训练样本。例如，为了增强攻击关系的样本，可以提示LLM：</w:t>
      </w:r>
      <w:r>
        <w:t xml:space="preserve">“</w:t>
      </w:r>
      <w:r>
        <w:t xml:space="preserve">请基于以下主张，生成一个反驳它的论点及其支撑证据。</w:t>
      </w:r>
      <w:r>
        <w:t xml:space="preserve">”</w:t>
      </w:r>
      <w:r>
        <w:t xml:space="preserve">这种方法特别适用于缓解类别不平衡问题。</w:t>
      </w:r>
    </w:p>
    <w:p>
      <w:pPr>
        <w:pStyle w:val="BodyText"/>
      </w:pPr>
      <w:r>
        <w:t xml:space="preserve">Coda框架提出了约束生成技术，在生成合成数据时施加标签一致性约束，确保生成的文本与指定的组件类型和关系结构相匹配[49]。通过在提示中明确指定目标结构，并在生成后进行验证筛选，Coda能够生成高质量的标注数据，特别适用于低资源场景下的论辩挖掘模型训练。</w:t>
      </w:r>
    </w:p>
    <w:bookmarkEnd w:id="55"/>
    <w:bookmarkStart w:id="56" w:name="长尾分布处理方法"/>
    <w:p>
      <w:pPr>
        <w:pStyle w:val="Heading4"/>
      </w:pPr>
      <w:r>
        <w:t xml:space="preserve">2.3.2 长尾分布处理方法</w:t>
      </w:r>
    </w:p>
    <w:p>
      <w:pPr>
        <w:pStyle w:val="FirstParagraph"/>
      </w:pPr>
      <w:r>
        <w:t xml:space="preserve">论辩挖掘数据集中存在显著的类别不平衡问题：结论类组件（MajorClaim、Claim）的数量远少于前提类组件；攻击关系的数量远少于支持关系[28]。这种长尾分布导致模型在稀有类别上的表现不佳。</w:t>
      </w:r>
    </w:p>
    <w:p>
      <w:pPr>
        <w:pStyle w:val="BodyText"/>
      </w:pPr>
      <w:r>
        <w:rPr>
          <w:bCs/>
          <w:b/>
        </w:rPr>
        <w:t xml:space="preserve">定义2.17（类别不平衡比）</w:t>
      </w:r>
      <w:r>
        <w:t xml:space="preserve">：对于组件类型集合</w:t>
      </w:r>
      <m:oMath>
        <m:r>
          <m:rPr>
            <m:sty m:val="p"/>
            <m:scr m:val="script"/>
          </m:rPr>
          <m:t>T</m:t>
        </m:r>
      </m:oMath>
      <w:r>
        <w:t xml:space="preserve">，不平衡比定义为：</w:t>
      </w:r>
    </w:p>
    <w:p>
      <w:pPr>
        <w:pStyle w:val="BodyText"/>
      </w:pPr>
      <m:oMathPara>
        <m:oMathParaPr>
          <m:jc m:val="center"/>
        </m:oMathParaPr>
        <m:oMath>
          <m:r>
            <m:rPr>
              <m:nor/>
              <m:sty m:val="p"/>
            </m:rPr>
            <m:t>IR</m:t>
          </m:r>
          <m:r>
            <m:rPr>
              <m:sty m:val="p"/>
            </m:rPr>
            <m:t>=</m:t>
          </m:r>
          <m:f>
            <m:fPr>
              <m:type m:val="bar"/>
            </m:fPr>
            <m:num>
              <m:limLow>
                <m:e>
                  <m:r>
                    <m:rPr>
                      <m:sty m:val="p"/>
                    </m:rPr>
                    <m:t>max</m:t>
                  </m:r>
                </m:e>
                <m:lim>
                  <m:r>
                    <m:t>τ</m:t>
                  </m:r>
                  <m:r>
                    <m:rPr>
                      <m:sty m:val="p"/>
                    </m:rPr>
                    <m:t>∈</m:t>
                  </m:r>
                  <m:r>
                    <m:rPr>
                      <m:sty m:val="p"/>
                      <m:scr m:val="script"/>
                    </m:rPr>
                    <m:t>T</m:t>
                  </m:r>
                </m:lim>
              </m:limLow>
              <m:sSub>
                <m:e>
                  <m:r>
                    <m:t>n</m:t>
                  </m:r>
                </m:e>
                <m:sub>
                  <m:r>
                    <m:t>τ</m:t>
                  </m:r>
                </m:sub>
              </m:sSub>
            </m:num>
            <m:den>
              <m:limLow>
                <m:e>
                  <m:r>
                    <m:rPr>
                      <m:sty m:val="p"/>
                    </m:rPr>
                    <m:t>min</m:t>
                  </m:r>
                </m:e>
                <m:lim>
                  <m:r>
                    <m:t>τ</m:t>
                  </m:r>
                  <m:r>
                    <m:rPr>
                      <m:sty m:val="p"/>
                    </m:rPr>
                    <m:t>∈</m:t>
                  </m:r>
                  <m:r>
                    <m:rPr>
                      <m:sty m:val="p"/>
                      <m:scr m:val="script"/>
                    </m:rPr>
                    <m:t>T</m:t>
                  </m:r>
                </m:lim>
              </m:limLow>
              <m:sSub>
                <m:e>
                  <m:r>
                    <m:t>n</m:t>
                  </m:r>
                </m:e>
                <m:sub>
                  <m:r>
                    <m:t>τ</m:t>
                  </m:r>
                </m:sub>
              </m:sSub>
            </m:den>
          </m:f>
        </m:oMath>
      </m:oMathPara>
    </w:p>
    <w:p>
      <w:pPr>
        <w:pStyle w:val="FirstParagraph"/>
      </w:pPr>
      <w:r>
        <w:t xml:space="preserve">其中</w:t>
      </w:r>
      <m:oMath>
        <m:sSub>
          <m:e>
            <m:r>
              <m:t>n</m:t>
            </m:r>
          </m:e>
          <m:sub>
            <m:r>
              <m:t>τ</m:t>
            </m:r>
          </m:sub>
        </m:sSub>
      </m:oMath>
      <w:r>
        <w:t xml:space="preserve">为类型</w:t>
      </w:r>
      <m:oMath>
        <m:r>
          <m:t>τ</m:t>
        </m:r>
      </m:oMath>
      <w:r>
        <w:t xml:space="preserve">的样本数量。在AAEC数据集中，Premise与MajorClaim的不平衡比通常超过10:1。</w:t>
      </w:r>
    </w:p>
    <w:p>
      <w:pPr>
        <w:pStyle w:val="BodyText"/>
      </w:pPr>
      <w:r>
        <w:t xml:space="preserve">针对长尾分布问题，主要的处理策略包括：</w:t>
      </w:r>
    </w:p>
    <w:p>
      <w:pPr>
        <w:pStyle w:val="BodyText"/>
      </w:pPr>
      <w:r>
        <w:rPr>
          <w:bCs/>
          <w:b/>
        </w:rPr>
        <w:t xml:space="preserve">重采样策略</w:t>
      </w:r>
      <w:r>
        <w:t xml:space="preserve">：通过过采样（oversampling）稀有类别或欠采样（undersampling）高频类别来平衡训练数据分布。然而，简单的重复采样容易导致过拟合，而随机欠采样则会丢失有价值的训练信息。SMOTE等合成样本方法通过在特征空间插值生成新样本，在一定程度上缓解了过拟合问题[50]。</w:t>
      </w:r>
    </w:p>
    <w:p>
      <w:pPr>
        <w:pStyle w:val="BodyText"/>
      </w:pPr>
      <w:r>
        <w:rPr>
          <w:bCs/>
          <w:b/>
        </w:rPr>
        <w:t xml:space="preserve">损失函数重加权</w:t>
      </w:r>
      <w:r>
        <w:t xml:space="preserve">：在训练损失中对稀有类别赋予更高的权重，使模型更加关注这些类别的学习：</w:t>
      </w:r>
    </w:p>
    <w:p>
      <w:pPr>
        <w:pStyle w:val="BodyText"/>
      </w:pPr>
      <m:oMathPara>
        <m:oMathParaPr>
          <m:jc m:val="center"/>
        </m:oMathParaPr>
        <m:oMath>
          <m:sSub>
            <m:e>
              <m:r>
                <m:rPr>
                  <m:sty m:val="p"/>
                  <m:scr m:val="script"/>
                </m:rPr>
                <m:t>L</m:t>
              </m:r>
            </m:e>
            <m:sub>
              <m:r>
                <m:rPr>
                  <m:nor/>
                  <m:sty m:val="p"/>
                </m:rPr>
                <m:t>weighted</m:t>
              </m:r>
            </m:sub>
          </m:sSub>
          <m:r>
            <m:rPr>
              <m:sty m:val="p"/>
            </m:rPr>
            <m:t>=</m:t>
          </m:r>
          <m:nary>
            <m:naryPr>
              <m:chr m:val="∑"/>
              <m:limLoc m:val="undOvr"/>
              <m:subHide m:val="off"/>
              <m:supHide m:val="on"/>
            </m:naryPr>
            <m:sub>
              <m:r>
                <m:t>τ</m:t>
              </m:r>
              <m:r>
                <m:rPr>
                  <m:sty m:val="p"/>
                </m:rPr>
                <m:t>∈</m:t>
              </m:r>
              <m:r>
                <m:rPr>
                  <m:sty m:val="p"/>
                  <m:scr m:val="script"/>
                </m:rPr>
                <m:t>T</m:t>
              </m:r>
            </m:sub>
            <m:sup>
              <m:r>
                <m:t>​</m:t>
              </m:r>
            </m:sup>
            <m:e>
              <m:sSub>
                <m:e>
                  <m:r>
                    <m:t>w</m:t>
                  </m:r>
                </m:e>
                <m:sub>
                  <m:r>
                    <m:t>τ</m:t>
                  </m:r>
                </m:sub>
              </m:sSub>
            </m:e>
          </m:nary>
          <m:r>
            <m:rPr>
              <m:sty m:val="p"/>
            </m:rPr>
            <m:t>⋅</m:t>
          </m:r>
          <m:sSub>
            <m:e>
              <m:r>
                <m:rPr>
                  <m:sty m:val="p"/>
                  <m:scr m:val="script"/>
                </m:rPr>
                <m:t>L</m:t>
              </m:r>
            </m:e>
            <m:sub>
              <m:r>
                <m:t>τ</m:t>
              </m:r>
            </m:sub>
          </m:sSub>
        </m:oMath>
      </m:oMathPara>
    </w:p>
    <w:p>
      <w:pPr>
        <w:pStyle w:val="FirstParagraph"/>
      </w:pPr>
      <w:r>
        <w:t xml:space="preserve">其中</w:t>
      </w:r>
      <m:oMath>
        <m:sSub>
          <m:e>
            <m:r>
              <m:t>w</m:t>
            </m:r>
          </m:e>
          <m:sub>
            <m:r>
              <m:t>τ</m:t>
            </m:r>
          </m:sub>
        </m:sSub>
      </m:oMath>
      <w:r>
        <w:t xml:space="preserve">通常与类别频率的倒数相关。Focal Loss进一步引入了难易样本的动态权重调整：</w:t>
      </w:r>
    </w:p>
    <w:p>
      <w:pPr>
        <w:pStyle w:val="BodyText"/>
      </w:pPr>
      <m:oMathPara>
        <m:oMathParaPr>
          <m:jc m:val="center"/>
        </m:oMathParaPr>
        <m:oMath>
          <m:r>
            <m:rPr>
              <m:nor/>
              <m:sty m:val="p"/>
            </m:rPr>
            <m:t>FL</m:t>
          </m:r>
          <m:d>
            <m:dPr>
              <m:begChr m:val="("/>
              <m:endChr m:val=")"/>
              <m:sepChr m:val=""/>
              <m:grow/>
            </m:dPr>
            <m:e>
              <m:sSub>
                <m:e>
                  <m:r>
                    <m:t>p</m:t>
                  </m:r>
                </m:e>
                <m:sub>
                  <m:r>
                    <m:t>t</m:t>
                  </m:r>
                </m:sub>
              </m:sSub>
            </m:e>
          </m:d>
          <m:r>
            <m:rPr>
              <m:sty m:val="p"/>
            </m:rPr>
            <m:t>=</m:t>
          </m:r>
          <m:r>
            <m:rPr>
              <m:sty m:val="p"/>
            </m:rPr>
            <m:t>−</m:t>
          </m:r>
          <m:sSub>
            <m:e>
              <m:r>
                <m:t>α</m:t>
              </m:r>
            </m:e>
            <m:sub>
              <m:r>
                <m:t>t</m:t>
              </m:r>
            </m:sub>
          </m:sSub>
          <m:sSup>
            <m:e>
              <m:d>
                <m:dPr>
                  <m:begChr m:val="("/>
                  <m:endChr m:val=")"/>
                  <m:sepChr m:val=""/>
                  <m:grow/>
                </m:dPr>
                <m:e>
                  <m:r>
                    <m:t>1</m:t>
                  </m:r>
                  <m:r>
                    <m:rPr>
                      <m:sty m:val="p"/>
                    </m:rPr>
                    <m:t>−</m:t>
                  </m:r>
                  <m:sSub>
                    <m:e>
                      <m:r>
                        <m:t>p</m:t>
                      </m:r>
                    </m:e>
                    <m:sub>
                      <m:r>
                        <m:t>t</m:t>
                      </m:r>
                    </m:sub>
                  </m:sSub>
                </m:e>
              </m:d>
            </m:e>
            <m:sup>
              <m:r>
                <m:t>γ</m:t>
              </m:r>
            </m:sup>
          </m:sSup>
          <m:r>
            <m:rPr>
              <m:sty m:val="p"/>
            </m:rPr>
            <m:t>log</m:t>
          </m:r>
          <m:d>
            <m:dPr>
              <m:begChr m:val="("/>
              <m:endChr m:val=")"/>
              <m:sepChr m:val=""/>
              <m:grow/>
            </m:dPr>
            <m:e>
              <m:sSub>
                <m:e>
                  <m:r>
                    <m:t>p</m:t>
                  </m:r>
                </m:e>
                <m:sub>
                  <m:r>
                    <m:t>t</m:t>
                  </m:r>
                </m:sub>
              </m:sSub>
            </m:e>
          </m:d>
        </m:oMath>
      </m:oMathPara>
    </w:p>
    <w:p>
      <w:pPr>
        <w:pStyle w:val="FirstParagraph"/>
      </w:pPr>
      <w:r>
        <w:t xml:space="preserve">其中</w:t>
      </w:r>
      <m:oMath>
        <m:sSup>
          <m:e>
            <m:d>
              <m:dPr>
                <m:begChr m:val="("/>
                <m:endChr m:val=")"/>
                <m:sepChr m:val=""/>
                <m:grow/>
              </m:dPr>
              <m:e>
                <m:r>
                  <m:t>1</m:t>
                </m:r>
                <m:r>
                  <m:rPr>
                    <m:sty m:val="p"/>
                  </m:rPr>
                  <m:t>−</m:t>
                </m:r>
                <m:sSub>
                  <m:e>
                    <m:r>
                      <m:t>p</m:t>
                    </m:r>
                  </m:e>
                  <m:sub>
                    <m:r>
                      <m:t>t</m:t>
                    </m:r>
                  </m:sub>
                </m:sSub>
              </m:e>
            </m:d>
          </m:e>
          <m:sup>
            <m:r>
              <m:t>γ</m:t>
            </m:r>
          </m:sup>
        </m:sSup>
      </m:oMath>
      <w:r>
        <w:t xml:space="preserve">为调制因子，使模型聚焦于难分类样本。</w:t>
      </w:r>
    </w:p>
    <w:p>
      <w:pPr>
        <w:pStyle w:val="BodyText"/>
      </w:pPr>
      <w:r>
        <w:rPr>
          <w:bCs/>
          <w:b/>
        </w:rPr>
        <w:t xml:space="preserve">分布平衡损失</w:t>
      </w:r>
      <w:r>
        <w:t xml:space="preserve">：Distribution-balanced Loss通过考虑类别间的重叠程度和样本难度，设计更精细的损失权重[50]。</w:t>
      </w:r>
    </w:p>
    <w:p>
      <w:pPr>
        <w:pStyle w:val="BodyText"/>
      </w:pPr>
      <w:r>
        <w:rPr>
          <w:bCs/>
          <w:b/>
        </w:rPr>
        <w:t xml:space="preserve">标签特定特征增强</w:t>
      </w:r>
      <w:r>
        <w:t xml:space="preserve">：针对稀有类别进行定向的数据生成，通过过采样或合成样本来平衡类别分布[28]。DEALT框架利用LLM的多样性增强能力，专门为长尾类别生成高质量的训练样本[52]。</w:t>
      </w:r>
    </w:p>
    <w:p>
      <w:pPr>
        <w:pStyle w:val="BodyText"/>
      </w:pPr>
      <w:r>
        <w:rPr>
          <w:bCs/>
          <w:b/>
        </w:rPr>
        <w:t xml:space="preserve">多目标训练</w:t>
      </w:r>
      <w:r>
        <w:t xml:space="preserve">：在主任务损失之外引入辅助任务，专门强化对稀有类别的识别能力。本文采用的多目标训练策略即属于此类：</w:t>
      </w:r>
    </w:p>
    <w:p>
      <w:pPr>
        <w:pStyle w:val="BodyText"/>
      </w:pPr>
      <m:oMathPara>
        <m:oMathParaPr>
          <m:jc m:val="center"/>
        </m:oMathParaPr>
        <m:oMath>
          <m:sSub>
            <m:e>
              <m:r>
                <m:rPr>
                  <m:sty m:val="p"/>
                  <m:scr m:val="script"/>
                </m:rPr>
                <m:t>L</m:t>
              </m:r>
            </m:e>
            <m:sub>
              <m:r>
                <m:t>c</m:t>
              </m:r>
              <m:r>
                <m:t>o</m:t>
              </m:r>
              <m:r>
                <m:t>m</m:t>
              </m:r>
              <m:r>
                <m:t>p</m:t>
              </m:r>
            </m:sub>
          </m:sSub>
          <m:r>
            <m:rPr>
              <m:sty m:val="p"/>
            </m:rPr>
            <m:t>=</m:t>
          </m:r>
          <m:sSub>
            <m:e>
              <m:r>
                <m:rPr>
                  <m:sty m:val="p"/>
                  <m:scr m:val="script"/>
                </m:rPr>
                <m:t>L</m:t>
              </m:r>
            </m:e>
            <m:sub>
              <m:r>
                <m:t>g</m:t>
              </m:r>
              <m:r>
                <m:t>e</m:t>
              </m:r>
              <m:r>
                <m:t>n</m:t>
              </m:r>
            </m:sub>
          </m:sSub>
          <m:r>
            <m:rPr>
              <m:sty m:val="p"/>
            </m:rPr>
            <m:t>+</m:t>
          </m:r>
          <m:r>
            <m:t>λ</m:t>
          </m:r>
          <m:sSub>
            <m:e>
              <m:r>
                <m:rPr>
                  <m:sty m:val="p"/>
                  <m:scr m:val="script"/>
                </m:rPr>
                <m:t>L</m:t>
              </m:r>
            </m:e>
            <m:sub>
              <m:r>
                <m:t>s</m:t>
              </m:r>
              <m:r>
                <m:t>a</m:t>
              </m:r>
              <m:r>
                <m:t>t</m:t>
              </m:r>
            </m:sub>
          </m:sSub>
        </m:oMath>
      </m:oMathPara>
    </w:p>
    <w:p>
      <w:pPr>
        <w:pStyle w:val="FirstParagraph"/>
      </w:pPr>
      <w:r>
        <w:t xml:space="preserve">其中</w:t>
      </w:r>
      <m:oMath>
        <m:sSub>
          <m:e>
            <m:r>
              <m:rPr>
                <m:sty m:val="p"/>
                <m:scr m:val="script"/>
              </m:rPr>
              <m:t>L</m:t>
            </m:r>
          </m:e>
          <m:sub>
            <m:r>
              <m:t>g</m:t>
            </m:r>
            <m:r>
              <m:t>e</m:t>
            </m:r>
            <m:r>
              <m:t>n</m:t>
            </m:r>
          </m:sub>
        </m:sSub>
      </m:oMath>
      <w:r>
        <w:t xml:space="preserve">为标准的负对数似然生成损失，</w:t>
      </w:r>
      <m:oMath>
        <m:sSub>
          <m:e>
            <m:r>
              <m:rPr>
                <m:sty m:val="p"/>
                <m:scr m:val="script"/>
              </m:rPr>
              <m:t>L</m:t>
            </m:r>
          </m:e>
          <m:sub>
            <m:r>
              <m:t>s</m:t>
            </m:r>
            <m:r>
              <m:t>a</m:t>
            </m:r>
            <m:r>
              <m:t>t</m:t>
            </m:r>
          </m:sub>
        </m:sSub>
      </m:oMath>
      <w:r>
        <w:t xml:space="preserve">为辅助的二元交叉熵损失，用于预测句子是否包含结论类组件，</w:t>
      </w:r>
      <m:oMath>
        <m:r>
          <m:t>λ</m:t>
        </m:r>
        <m:r>
          <m:rPr>
            <m:sty m:val="p"/>
          </m:rPr>
          <m:t>=</m:t>
        </m:r>
        <m:r>
          <m:t>0.5</m:t>
        </m:r>
      </m:oMath>
      <w:r>
        <w:t xml:space="preserve">为平衡系数。辅助任务通过引入显式的结论组件存在性监督信号，促使模型在编码阶段就形成对结论类内容的敏感表示。</w:t>
      </w:r>
    </w:p>
    <w:bookmarkEnd w:id="56"/>
    <w:bookmarkStart w:id="57" w:name="self-refine迭代精炼框架"/>
    <w:p>
      <w:pPr>
        <w:pStyle w:val="Heading4"/>
      </w:pPr>
      <w:r>
        <w:t xml:space="preserve">2.3.3 Self-Refine迭代精炼框架</w:t>
      </w:r>
    </w:p>
    <w:p>
      <w:pPr>
        <w:pStyle w:val="FirstParagraph"/>
      </w:pPr>
      <w:r>
        <w:t xml:space="preserve">Self-Refine是一种推理时自我改进框架，通过”生成-反馈-修正”的迭代循环提升模型输出质量[30]。</w:t>
      </w:r>
    </w:p>
    <w:p>
      <w:pPr>
        <w:pStyle w:val="BodyText"/>
      </w:pPr>
      <w:r>
        <w:rPr>
          <w:bCs/>
          <w:b/>
        </w:rPr>
        <w:t xml:space="preserve">定义2.18（Self-Refine迭代）</w:t>
      </w:r>
      <w:r>
        <w:t xml:space="preserve">：给定初始输出</w:t>
      </w:r>
      <m:oMath>
        <m:sSub>
          <m:e>
            <m:r>
              <m:t>y</m:t>
            </m:r>
          </m:e>
          <m:sub>
            <m:r>
              <m:t>0</m:t>
            </m:r>
          </m:sub>
        </m:sSub>
        <m:r>
          <m:rPr>
            <m:sty m:val="p"/>
          </m:rPr>
          <m:t>=</m:t>
        </m:r>
        <m:r>
          <m:rPr>
            <m:nor/>
            <m:sty m:val="p"/>
          </m:rPr>
          <m:t>LLM</m:t>
        </m:r>
        <m:d>
          <m:dPr>
            <m:begChr m:val="("/>
            <m:endChr m:val=")"/>
            <m:sepChr m:val=""/>
            <m:grow/>
          </m:dPr>
          <m:e>
            <m:r>
              <m:t>x</m:t>
            </m:r>
          </m:e>
        </m:d>
      </m:oMath>
      <w:r>
        <w:t xml:space="preserve">，Self-Refine执行以下迭代：</w:t>
      </w:r>
    </w:p>
    <w:p>
      <w:pPr>
        <w:pStyle w:val="BodyText"/>
      </w:pPr>
      <m:oMathPara>
        <m:oMathParaPr>
          <m:jc m:val="center"/>
        </m:oMathParaPr>
        <m:oMath>
          <m:sSub>
            <m:e>
              <m:r>
                <m:t>f</m:t>
              </m:r>
            </m:e>
            <m:sub>
              <m:r>
                <m:t>t</m:t>
              </m:r>
            </m:sub>
          </m:sSub>
          <m:r>
            <m:rPr>
              <m:sty m:val="p"/>
            </m:rPr>
            <m:t>=</m:t>
          </m:r>
          <m:r>
            <m:rPr>
              <m:nor/>
              <m:sty m:val="p"/>
            </m:rPr>
            <m:t>Feedback</m:t>
          </m:r>
          <m:d>
            <m:dPr>
              <m:begChr m:val="("/>
              <m:endChr m:val=")"/>
              <m:sepChr m:val=""/>
              <m:grow/>
            </m:dPr>
            <m:e>
              <m:r>
                <m:t>x</m:t>
              </m:r>
              <m:r>
                <m:rPr>
                  <m:sty m:val="p"/>
                </m:rPr>
                <m:t>,</m:t>
              </m:r>
              <m:sSub>
                <m:e>
                  <m:r>
                    <m:t>y</m:t>
                  </m:r>
                </m:e>
                <m:sub>
                  <m:r>
                    <m:t>t</m:t>
                  </m:r>
                </m:sub>
              </m:sSub>
            </m:e>
          </m:d>
        </m:oMath>
      </m:oMathPara>
    </w:p>
    <w:p>
      <w:pPr>
        <w:pStyle w:val="FirstParagraph"/>
      </w:pPr>
      <m:oMathPara>
        <m:oMathParaPr>
          <m:jc m:val="center"/>
        </m:oMathParaPr>
        <m:oMath>
          <m:sSub>
            <m:e>
              <m:r>
                <m:t>y</m:t>
              </m:r>
            </m:e>
            <m:sub>
              <m:r>
                <m:t>t</m:t>
              </m:r>
              <m:r>
                <m:rPr>
                  <m:sty m:val="p"/>
                </m:rPr>
                <m:t>+</m:t>
              </m:r>
              <m:r>
                <m:t>1</m:t>
              </m:r>
            </m:sub>
          </m:sSub>
          <m:r>
            <m:rPr>
              <m:sty m:val="p"/>
            </m:rPr>
            <m:t>=</m:t>
          </m:r>
          <m:r>
            <m:rPr>
              <m:nor/>
              <m:sty m:val="p"/>
            </m:rPr>
            <m:t>Refine</m:t>
          </m:r>
          <m:d>
            <m:dPr>
              <m:begChr m:val="("/>
              <m:endChr m:val=")"/>
              <m:sepChr m:val=""/>
              <m:grow/>
            </m:dPr>
            <m:e>
              <m:r>
                <m:t>x</m:t>
              </m:r>
              <m:r>
                <m:rPr>
                  <m:sty m:val="p"/>
                </m:rPr>
                <m:t>,</m:t>
              </m:r>
              <m:sSub>
                <m:e>
                  <m:r>
                    <m:t>y</m:t>
                  </m:r>
                </m:e>
                <m:sub>
                  <m:r>
                    <m:t>t</m:t>
                  </m:r>
                </m:sub>
              </m:sSub>
              <m:r>
                <m:rPr>
                  <m:sty m:val="p"/>
                </m:rPr>
                <m:t>,</m:t>
              </m:r>
              <m:sSub>
                <m:e>
                  <m:r>
                    <m:t>f</m:t>
                  </m:r>
                </m:e>
                <m:sub>
                  <m:r>
                    <m:t>t</m:t>
                  </m:r>
                </m:sub>
              </m:sSub>
            </m:e>
          </m:d>
        </m:oMath>
      </m:oMathPara>
    </w:p>
    <w:p>
      <w:pPr>
        <w:pStyle w:val="FirstParagraph"/>
      </w:pPr>
      <w:r>
        <w:t xml:space="preserve">其中</w:t>
      </w:r>
      <m:oMath>
        <m:r>
          <m:rPr>
            <m:nor/>
            <m:sty m:val="p"/>
          </m:rPr>
          <m:t>Feedback</m:t>
        </m:r>
      </m:oMath>
      <w:r>
        <w:t xml:space="preserve">函数识别</w:t>
      </w:r>
      <m:oMath>
        <m:sSub>
          <m:e>
            <m:r>
              <m:t>y</m:t>
            </m:r>
          </m:e>
          <m:sub>
            <m:r>
              <m:t>t</m:t>
            </m:r>
          </m:sub>
        </m:sSub>
      </m:oMath>
      <w:r>
        <w:t xml:space="preserve">中的问题，</w:t>
      </w:r>
      <m:oMath>
        <m:r>
          <m:rPr>
            <m:nor/>
            <m:sty m:val="p"/>
          </m:rPr>
          <m:t>Refine</m:t>
        </m:r>
      </m:oMath>
      <w:r>
        <w:t xml:space="preserve">函数根据反馈进行修正。迭代直到满足终止条件（如反馈为空或达到最大轮次）。</w:t>
      </w:r>
    </w:p>
    <w:p>
      <w:pPr>
        <w:pStyle w:val="BodyText"/>
      </w:pPr>
      <w:r>
        <w:t xml:space="preserve">Self-Refine的核心假设是模型能够识别并纠正自身输出中的错误。具体实现中，反馈和修正通常由同一个LLM执行，通过不同的提示模板引导模型扮演”评审者”和”修正者”的角色。</w:t>
      </w:r>
    </w:p>
    <w:p>
      <w:pPr>
        <w:pStyle w:val="BodyText"/>
      </w:pPr>
      <w:r>
        <w:t xml:space="preserve">然而，研究表明，在缺乏外部验证信号的情况下，LLM难以有效进行推理自纠错[31]。Huang等人的研究发现，LLM往往无法准确判断自身输出的正确性，甚至可能将正确的答案修改为错误的。这一发现促使研究者设计结构化的验证机制来提供明确的反馈信号。</w:t>
      </w:r>
    </w:p>
    <w:p>
      <w:pPr>
        <w:pStyle w:val="BodyText"/>
      </w:pPr>
      <w:r>
        <w:t xml:space="preserve">在论辩挖掘任务中，纯粹依赖模型自身的反馈存在局限性：模型可能无法检测到微妙的逻辑不一致或结构违规[31]。因此，本文的MCR-BR框架引入了基于多维度一致性评分的结构化反馈机制，为修正过程提供客观、可量化的指导信号。</w:t>
      </w:r>
    </w:p>
    <w:bookmarkEnd w:id="57"/>
    <w:bookmarkStart w:id="58" w:name="自一致性解码"/>
    <w:p>
      <w:pPr>
        <w:pStyle w:val="Heading4"/>
      </w:pPr>
      <w:r>
        <w:t xml:space="preserve">2.3.4 自一致性解码</w:t>
      </w:r>
    </w:p>
    <w:p>
      <w:pPr>
        <w:pStyle w:val="FirstParagraph"/>
      </w:pPr>
      <w:r>
        <w:t xml:space="preserve">自一致性（Self-Consistency）是一种利用多样性采样来提升推理可靠性的解码策略[47]。</w:t>
      </w:r>
    </w:p>
    <w:p>
      <w:pPr>
        <w:pStyle w:val="BodyText"/>
      </w:pPr>
      <w:r>
        <w:rPr>
          <w:bCs/>
          <w:b/>
        </w:rPr>
        <w:t xml:space="preserve">定义2.19（自一致性解码）</w:t>
      </w:r>
      <w:r>
        <w:t xml:space="preserve">：给定输入</w:t>
      </w:r>
      <m:oMath>
        <m:r>
          <m:t>x</m:t>
        </m:r>
      </m:oMath>
      <w:r>
        <w:t xml:space="preserve">，自一致性解码首先采样</w:t>
      </w:r>
      <m:oMath>
        <m:r>
          <m:t>K</m:t>
        </m:r>
      </m:oMath>
      <w:r>
        <w:t xml:space="preserve">个独立的推理路径：</w:t>
      </w:r>
    </w:p>
    <w:p>
      <w:pPr>
        <w:pStyle w:val="BodyText"/>
      </w:pPr>
      <m:oMathPara>
        <m:oMathParaPr>
          <m:jc m:val="center"/>
        </m:oMathParaPr>
        <m:oMath>
          <m:r>
            <m:rPr>
              <m:sty m:val="p"/>
            </m:rPr>
            <m:t>{</m:t>
          </m:r>
          <m:d>
            <m:dPr>
              <m:begChr m:val="("/>
              <m:endChr m:val=")"/>
              <m:sepChr m:val=""/>
              <m:grow/>
            </m:dPr>
            <m:e>
              <m:sSup>
                <m:e>
                  <m:r>
                    <m:t>r</m:t>
                  </m:r>
                </m:e>
                <m:sup>
                  <m:d>
                    <m:dPr>
                      <m:begChr m:val="("/>
                      <m:endChr m:val=")"/>
                      <m:sepChr m:val=""/>
                      <m:grow/>
                    </m:dPr>
                    <m:e>
                      <m:r>
                        <m:t>1</m:t>
                      </m:r>
                    </m:e>
                  </m:d>
                </m:sup>
              </m:sSup>
              <m:r>
                <m:rPr>
                  <m:sty m:val="p"/>
                </m:rPr>
                <m:t>,</m:t>
              </m:r>
              <m:sSup>
                <m:e>
                  <m:r>
                    <m:t>y</m:t>
                  </m:r>
                </m:e>
                <m:sup>
                  <m:d>
                    <m:dPr>
                      <m:begChr m:val="("/>
                      <m:endChr m:val=")"/>
                      <m:sepChr m:val=""/>
                      <m:grow/>
                    </m:dPr>
                    <m:e>
                      <m:r>
                        <m:t>1</m:t>
                      </m:r>
                    </m:e>
                  </m:d>
                </m:sup>
              </m:sSup>
            </m:e>
          </m:d>
          <m:r>
            <m:rPr>
              <m:sty m:val="p"/>
            </m:rPr>
            <m:t>,</m:t>
          </m:r>
          <m:d>
            <m:dPr>
              <m:begChr m:val="("/>
              <m:endChr m:val=")"/>
              <m:sepChr m:val=""/>
              <m:grow/>
            </m:dPr>
            <m:e>
              <m:sSup>
                <m:e>
                  <m:r>
                    <m:t>r</m:t>
                  </m:r>
                </m:e>
                <m:sup>
                  <m:d>
                    <m:dPr>
                      <m:begChr m:val="("/>
                      <m:endChr m:val=")"/>
                      <m:sepChr m:val=""/>
                      <m:grow/>
                    </m:dPr>
                    <m:e>
                      <m:r>
                        <m:t>2</m:t>
                      </m:r>
                    </m:e>
                  </m:d>
                </m:sup>
              </m:sSup>
              <m:r>
                <m:rPr>
                  <m:sty m:val="p"/>
                </m:rPr>
                <m:t>,</m:t>
              </m:r>
              <m:sSup>
                <m:e>
                  <m:r>
                    <m:t>y</m:t>
                  </m:r>
                </m:e>
                <m:sup>
                  <m:d>
                    <m:dPr>
                      <m:begChr m:val="("/>
                      <m:endChr m:val=")"/>
                      <m:sepChr m:val=""/>
                      <m:grow/>
                    </m:dPr>
                    <m:e>
                      <m:r>
                        <m:t>2</m:t>
                      </m:r>
                    </m:e>
                  </m:d>
                </m:sup>
              </m:sSup>
            </m:e>
          </m:d>
          <m:r>
            <m:rPr>
              <m:sty m:val="p"/>
            </m:rPr>
            <m:t>,</m:t>
          </m:r>
          <m:r>
            <m:rPr>
              <m:sty m:val="p"/>
            </m:rPr>
            <m:t>…</m:t>
          </m:r>
          <m:r>
            <m:rPr>
              <m:sty m:val="p"/>
            </m:rPr>
            <m:t>,</m:t>
          </m:r>
          <m:d>
            <m:dPr>
              <m:begChr m:val="("/>
              <m:endChr m:val=")"/>
              <m:sepChr m:val=""/>
              <m:grow/>
            </m:dPr>
            <m:e>
              <m:sSup>
                <m:e>
                  <m:r>
                    <m:t>r</m:t>
                  </m:r>
                </m:e>
                <m:sup>
                  <m:d>
                    <m:dPr>
                      <m:begChr m:val="("/>
                      <m:endChr m:val=")"/>
                      <m:sepChr m:val=""/>
                      <m:grow/>
                    </m:dPr>
                    <m:e>
                      <m:r>
                        <m:t>K</m:t>
                      </m:r>
                    </m:e>
                  </m:d>
                </m:sup>
              </m:sSup>
              <m:r>
                <m:rPr>
                  <m:sty m:val="p"/>
                </m:rPr>
                <m:t>,</m:t>
              </m:r>
              <m:sSup>
                <m:e>
                  <m:r>
                    <m:t>y</m:t>
                  </m:r>
                </m:e>
                <m:sup>
                  <m:d>
                    <m:dPr>
                      <m:begChr m:val="("/>
                      <m:endChr m:val=")"/>
                      <m:sepChr m:val=""/>
                      <m:grow/>
                    </m:dPr>
                    <m:e>
                      <m:r>
                        <m:t>K</m:t>
                      </m:r>
                    </m:e>
                  </m:d>
                </m:sup>
              </m:sSup>
            </m:e>
          </m:d>
          <m:r>
            <m:rPr>
              <m:sty m:val="p"/>
            </m:rPr>
            <m:t>}</m:t>
          </m:r>
          <m:r>
            <m:rPr>
              <m:sty m:val="p"/>
            </m:rPr>
            <m:t>∼</m:t>
          </m:r>
          <m:r>
            <m:t>P</m:t>
          </m:r>
          <m:d>
            <m:dPr>
              <m:begChr m:val="("/>
              <m:endChr m:val=")"/>
              <m:sepChr m:val=""/>
              <m:grow/>
            </m:dPr>
            <m:e>
              <m:r>
                <m:t>r</m:t>
              </m:r>
              <m:r>
                <m:rPr>
                  <m:sty m:val="p"/>
                </m:rPr>
                <m:t>,</m:t>
              </m:r>
              <m:r>
                <m:t>y</m:t>
              </m:r>
              <m:r>
                <m:rPr>
                  <m:sty m:val="p"/>
                </m:rPr>
                <m:t>|</m:t>
              </m:r>
              <m:r>
                <m:t>x</m:t>
              </m:r>
            </m:e>
          </m:d>
        </m:oMath>
      </m:oMathPara>
    </w:p>
    <w:p>
      <w:pPr>
        <w:pStyle w:val="FirstParagraph"/>
      </w:pPr>
      <w:r>
        <w:t xml:space="preserve">然后通过多数投票或加权聚合确定最终答案：</w:t>
      </w:r>
    </w:p>
    <w:p>
      <w:pPr>
        <w:pStyle w:val="BodyText"/>
      </w:pPr>
      <m:oMathPara>
        <m:oMathParaPr>
          <m:jc m:val="center"/>
        </m:oMathParaPr>
        <m:oMath>
          <m:sSup>
            <m:e>
              <m:r>
                <m:t>y</m:t>
              </m:r>
            </m:e>
            <m:sup>
              <m:r>
                <m:rPr>
                  <m:sty m:val="p"/>
                </m:rPr>
                <m:t>*</m:t>
              </m:r>
            </m:sup>
          </m:sSup>
          <m:r>
            <m:rPr>
              <m:sty m:val="p"/>
            </m:rPr>
            <m:t>=</m:t>
          </m:r>
          <m:r>
            <m:rPr>
              <m:sty m:val="p"/>
            </m:rPr>
            <m:t>arg</m:t>
          </m:r>
          <m:limLow>
            <m:e>
              <m:r>
                <m:rPr>
                  <m:sty m:val="p"/>
                </m:rPr>
                <m:t>max</m:t>
              </m:r>
            </m:e>
            <m:lim>
              <m:r>
                <m:t>y</m:t>
              </m:r>
            </m:lim>
          </m:limLow>
          <m:nary>
            <m:naryPr>
              <m:chr m:val="∑"/>
              <m:limLoc m:val="undOvr"/>
              <m:subHide m:val="off"/>
              <m:supHide m:val="off"/>
            </m:naryPr>
            <m:sub>
              <m:r>
                <m:t>k</m:t>
              </m:r>
              <m:r>
                <m:rPr>
                  <m:sty m:val="p"/>
                </m:rPr>
                <m:t>=</m:t>
              </m:r>
              <m:r>
                <m:t>1</m:t>
              </m:r>
            </m:sub>
            <m:sup>
              <m:r>
                <m:t>K</m:t>
              </m:r>
            </m:sup>
            <m:e>
              <m:r>
                <m:rPr>
                  <m:sty m:val="p"/>
                  <m:scr m:val="double-struck"/>
                </m:rPr>
                <m:t>1</m:t>
              </m:r>
            </m:e>
          </m:nary>
          <m:d>
            <m:dPr>
              <m:begChr m:val="["/>
              <m:endChr m:val="]"/>
              <m:sepChr m:val=""/>
              <m:grow/>
            </m:dPr>
            <m:e>
              <m:sSup>
                <m:e>
                  <m:r>
                    <m:t>y</m:t>
                  </m:r>
                </m:e>
                <m:sup>
                  <m:d>
                    <m:dPr>
                      <m:begChr m:val="("/>
                      <m:endChr m:val=")"/>
                      <m:sepChr m:val=""/>
                      <m:grow/>
                    </m:dPr>
                    <m:e>
                      <m:r>
                        <m:t>k</m:t>
                      </m:r>
                    </m:e>
                  </m:d>
                </m:sup>
              </m:sSup>
              <m:r>
                <m:rPr>
                  <m:sty m:val="p"/>
                </m:rPr>
                <m:t>=</m:t>
              </m:r>
              <m:r>
                <m:t>y</m:t>
              </m:r>
            </m:e>
          </m:d>
        </m:oMath>
      </m:oMathPara>
    </w:p>
    <w:p>
      <w:pPr>
        <w:pStyle w:val="FirstParagraph"/>
      </w:pPr>
      <w:r>
        <w:t xml:space="preserve">自一致性的理论基础是：正确的推理路径更可能在多次独立采样中重复出现。通过边缘化掉推理路径的变化，自一致性能够识别出最稳定、最一致的答案。</w:t>
      </w:r>
    </w:p>
    <w:p>
      <w:pPr>
        <w:pStyle w:val="BodyText"/>
      </w:pPr>
      <w:r>
        <w:t xml:space="preserve">在结构化任务中，直接应用多数投票面临挑战，因为生成的结构化输出（如论辩图）之间难以进行精确匹配。因此，自一致性原理被推广为结构级别的一致性评估[47]：不要求输出完全相同，而是评估输出之间的结构相似度或一致性程度。</w:t>
      </w:r>
    </w:p>
    <w:bookmarkEnd w:id="58"/>
    <w:bookmarkStart w:id="59" w:name="多候选生成与重排序机制"/>
    <w:p>
      <w:pPr>
        <w:pStyle w:val="Heading4"/>
      </w:pPr>
      <w:r>
        <w:t xml:space="preserve">2.3.5 多候选生成与重排序机制</w:t>
      </w:r>
    </w:p>
    <w:p>
      <w:pPr>
        <w:pStyle w:val="FirstParagraph"/>
      </w:pPr>
      <w:r>
        <w:t xml:space="preserve">多候选生成与重排序（Multi-Candidate Generation and Reranking）是解决单次生成脆弱性的有效策略。该机制通过生成多个候选输出并使用独立的评分函数进行选择，降低对单次采样的依赖[55]。</w:t>
      </w:r>
    </w:p>
    <w:p>
      <w:pPr>
        <w:pStyle w:val="BodyText"/>
      </w:pPr>
      <w:r>
        <w:rPr>
          <w:bCs/>
          <w:b/>
        </w:rPr>
        <w:t xml:space="preserve">定义2.20（多候选重排序）</w:t>
      </w:r>
      <w:r>
        <w:t xml:space="preserve">：给定输入</w:t>
      </w:r>
      <m:oMath>
        <m:r>
          <m:t>x</m:t>
        </m:r>
      </m:oMath>
      <w:r>
        <w:t xml:space="preserve">和评分函数</w:t>
      </w:r>
      <m:oMath>
        <m:r>
          <m:t>E</m:t>
        </m:r>
        <m:r>
          <m:rPr>
            <m:sty m:val="p"/>
          </m:rPr>
          <m:t>:</m:t>
        </m:r>
        <m:r>
          <m:rPr>
            <m:sty m:val="p"/>
            <m:scr m:val="script"/>
          </m:rPr>
          <m:t>Y</m:t>
        </m:r>
        <m:r>
          <m:rPr>
            <m:sty m:val="p"/>
          </m:rPr>
          <m:t>→</m:t>
        </m:r>
        <m:r>
          <m:rPr>
            <m:sty m:val="p"/>
            <m:scr m:val="double-struck"/>
          </m:rPr>
          <m:t>R</m:t>
        </m:r>
      </m:oMath>
      <w:r>
        <w:t xml:space="preserve">，多候选重排序执行以下步骤：</w:t>
      </w:r>
    </w:p>
    <w:p>
      <w:pPr>
        <w:numPr>
          <w:ilvl w:val="0"/>
          <w:numId w:val="1004"/>
        </w:numPr>
        <w:pStyle w:val="Compact"/>
      </w:pPr>
      <w:r>
        <w:rPr>
          <w:bCs/>
          <w:b/>
        </w:rPr>
        <w:t xml:space="preserve">候选生成</w:t>
      </w:r>
      <w:r>
        <w:t xml:space="preserve">：采样</w:t>
      </w:r>
      <m:oMath>
        <m:r>
          <m:t>K</m:t>
        </m:r>
      </m:oMath>
      <w:r>
        <w:t xml:space="preserve">个候选输出</w:t>
      </w:r>
      <m:oMath>
        <m:r>
          <m:rPr>
            <m:sty m:val="p"/>
          </m:rPr>
          <m:t>{</m:t>
        </m:r>
        <m:sSup>
          <m:e>
            <m:r>
              <m:t>y</m:t>
            </m:r>
          </m:e>
          <m:sup>
            <m:d>
              <m:dPr>
                <m:begChr m:val="("/>
                <m:endChr m:val=")"/>
                <m:sepChr m:val=""/>
                <m:grow/>
              </m:dPr>
              <m:e>
                <m:r>
                  <m:t>1</m:t>
                </m:r>
              </m:e>
            </m:d>
          </m:sup>
        </m:sSup>
        <m:r>
          <m:rPr>
            <m:sty m:val="p"/>
          </m:rPr>
          <m:t>,</m:t>
        </m:r>
        <m:sSup>
          <m:e>
            <m:r>
              <m:t>y</m:t>
            </m:r>
          </m:e>
          <m:sup>
            <m:d>
              <m:dPr>
                <m:begChr m:val="("/>
                <m:endChr m:val=")"/>
                <m:sepChr m:val=""/>
                <m:grow/>
              </m:dPr>
              <m:e>
                <m:r>
                  <m:t>2</m:t>
                </m:r>
              </m:e>
            </m:d>
          </m:sup>
        </m:sSup>
        <m:r>
          <m:rPr>
            <m:sty m:val="p"/>
          </m:rPr>
          <m:t>,</m:t>
        </m:r>
        <m:r>
          <m:rPr>
            <m:sty m:val="p"/>
          </m:rPr>
          <m:t>…</m:t>
        </m:r>
        <m:r>
          <m:rPr>
            <m:sty m:val="p"/>
          </m:rPr>
          <m:t>,</m:t>
        </m:r>
        <m:sSup>
          <m:e>
            <m:r>
              <m:t>y</m:t>
            </m:r>
          </m:e>
          <m:sup>
            <m:d>
              <m:dPr>
                <m:begChr m:val="("/>
                <m:endChr m:val=")"/>
                <m:sepChr m:val=""/>
                <m:grow/>
              </m:dPr>
              <m:e>
                <m:r>
                  <m:t>K</m:t>
                </m:r>
              </m:e>
            </m:d>
          </m:sup>
        </m:sSup>
        <m:r>
          <m:rPr>
            <m:sty m:val="p"/>
          </m:rPr>
          <m:t>}</m:t>
        </m:r>
      </m:oMath>
    </w:p>
    <w:p>
      <w:pPr>
        <w:numPr>
          <w:ilvl w:val="0"/>
          <w:numId w:val="1004"/>
        </w:numPr>
        <w:pStyle w:val="Compact"/>
      </w:pPr>
      <w:r>
        <w:rPr>
          <w:bCs/>
          <w:b/>
        </w:rPr>
        <w:t xml:space="preserve">候选评分</w:t>
      </w:r>
      <w:r>
        <w:t xml:space="preserve">：计算每个候选的质量分数</w:t>
      </w:r>
      <m:oMath>
        <m:r>
          <m:t>E</m:t>
        </m:r>
        <m:d>
          <m:dPr>
            <m:begChr m:val="("/>
            <m:endChr m:val=")"/>
            <m:sepChr m:val=""/>
            <m:grow/>
          </m:dPr>
          <m:e>
            <m:sSup>
              <m:e>
                <m:r>
                  <m:t>y</m:t>
                </m:r>
              </m:e>
              <m:sup>
                <m:d>
                  <m:dPr>
                    <m:begChr m:val="("/>
                    <m:endChr m:val=")"/>
                    <m:sepChr m:val=""/>
                    <m:grow/>
                  </m:dPr>
                  <m:e>
                    <m:r>
                      <m:t>k</m:t>
                    </m:r>
                  </m:e>
                </m:d>
              </m:sup>
            </m:sSup>
          </m:e>
        </m:d>
      </m:oMath>
    </w:p>
    <w:p>
      <w:pPr>
        <w:numPr>
          <w:ilvl w:val="0"/>
          <w:numId w:val="1004"/>
        </w:numPr>
        <w:pStyle w:val="Compact"/>
      </w:pPr>
      <w:r>
        <w:rPr>
          <w:bCs/>
          <w:b/>
        </w:rPr>
        <w:t xml:space="preserve">候选选择</w:t>
      </w:r>
      <w:r>
        <w:t xml:space="preserve">：选择得分最高的候选作为最终输出</w:t>
      </w:r>
      <m:oMath>
        <m:sSup>
          <m:e>
            <m:r>
              <m:t>y</m:t>
            </m:r>
          </m:e>
          <m:sup>
            <m:r>
              <m:rPr>
                <m:sty m:val="p"/>
              </m:rPr>
              <m:t>*</m:t>
            </m:r>
          </m:sup>
        </m:sSup>
        <m:r>
          <m:rPr>
            <m:sty m:val="p"/>
          </m:rPr>
          <m:t>=</m:t>
        </m:r>
        <m:r>
          <m:rPr>
            <m:sty m:val="p"/>
          </m:rPr>
          <m:t>arg</m:t>
        </m:r>
        <m:sSub>
          <m:e>
            <m:r>
              <m:rPr>
                <m:sty m:val="p"/>
              </m:rPr>
              <m:t>max</m:t>
            </m:r>
          </m:e>
          <m:sub>
            <m:r>
              <m:t>k</m:t>
            </m:r>
          </m:sub>
        </m:sSub>
        <m:r>
          <m:t>E</m:t>
        </m:r>
        <m:d>
          <m:dPr>
            <m:begChr m:val="("/>
            <m:endChr m:val=")"/>
            <m:sepChr m:val=""/>
            <m:grow/>
          </m:dPr>
          <m:e>
            <m:sSup>
              <m:e>
                <m:r>
                  <m:t>y</m:t>
                </m:r>
              </m:e>
              <m:sup>
                <m:d>
                  <m:dPr>
                    <m:begChr m:val="("/>
                    <m:endChr m:val=")"/>
                    <m:sepChr m:val=""/>
                    <m:grow/>
                  </m:dPr>
                  <m:e>
                    <m:r>
                      <m:t>k</m:t>
                    </m:r>
                  </m:e>
                </m:d>
              </m:sup>
            </m:sSup>
          </m:e>
        </m:d>
      </m:oMath>
    </w:p>
    <w:p>
      <w:pPr>
        <w:pStyle w:val="FirstParagraph"/>
      </w:pPr>
      <w:r>
        <w:t xml:space="preserve">多候选生成的多样性可以通过多种技术实现：温度采样、Top-p采样、提示改写、模型集成等。评分函数的设计是多候选重排序的核心，需要能够准确区分高质量和低质量的输出。</w:t>
      </w:r>
    </w:p>
    <w:p>
      <w:pPr>
        <w:pStyle w:val="BodyText"/>
      </w:pPr>
      <w:r>
        <w:t xml:space="preserve">在本文的MCR框架中，评分函数</w:t>
      </w:r>
      <m:oMath>
        <m:r>
          <m:t>E</m:t>
        </m:r>
        <m:d>
          <m:dPr>
            <m:begChr m:val="("/>
            <m:endChr m:val=")"/>
            <m:sepChr m:val=""/>
            <m:grow/>
          </m:dPr>
          <m:e>
            <m:sSub>
              <m:e>
                <m:r>
                  <m:t>S</m:t>
                </m:r>
              </m:e>
              <m:sub>
                <m:r>
                  <m:t>k</m:t>
                </m:r>
              </m:sub>
            </m:sSub>
          </m:e>
        </m:d>
      </m:oMath>
      <w:r>
        <w:t xml:space="preserve">整合了三个正交维度的一致性信号：</w:t>
      </w:r>
    </w:p>
    <w:p>
      <w:pPr>
        <w:pStyle w:val="BodyText"/>
      </w:pPr>
      <m:oMathPara>
        <m:oMathParaPr>
          <m:jc m:val="center"/>
        </m:oMathParaPr>
        <m:oMath>
          <m:r>
            <m:t>E</m:t>
          </m:r>
          <m:d>
            <m:dPr>
              <m:begChr m:val="("/>
              <m:endChr m:val=")"/>
              <m:sepChr m:val=""/>
              <m:grow/>
            </m:dPr>
            <m:e>
              <m:sSub>
                <m:e>
                  <m:r>
                    <m:t>S</m:t>
                  </m:r>
                </m:e>
                <m:sub>
                  <m:r>
                    <m:t>k</m:t>
                  </m:r>
                </m:sub>
              </m:sSub>
            </m:e>
          </m:d>
          <m:r>
            <m:rPr>
              <m:sty m:val="p"/>
            </m:rPr>
            <m:t>=</m:t>
          </m:r>
          <m:r>
            <m:t>α</m:t>
          </m:r>
          <m:r>
            <m:rPr>
              <m:sty m:val="p"/>
            </m:rPr>
            <m:t>⋅</m:t>
          </m:r>
          <m:sSub>
            <m:e>
              <m:r>
                <m:t>E</m:t>
              </m:r>
            </m:e>
            <m:sub>
              <m:r>
                <m:t>d</m:t>
              </m:r>
              <m:r>
                <m:t>e</m:t>
              </m:r>
              <m:r>
                <m:t>n</m:t>
              </m:r>
              <m:r>
                <m:t>s</m:t>
              </m:r>
            </m:sub>
          </m:sSub>
          <m:d>
            <m:dPr>
              <m:begChr m:val="("/>
              <m:endChr m:val=")"/>
              <m:sepChr m:val=""/>
              <m:grow/>
            </m:dPr>
            <m:e>
              <m:sSub>
                <m:e>
                  <m:r>
                    <m:t>S</m:t>
                  </m:r>
                </m:e>
                <m:sub>
                  <m:r>
                    <m:t>k</m:t>
                  </m:r>
                </m:sub>
              </m:sSub>
            </m:e>
          </m:d>
          <m:r>
            <m:rPr>
              <m:sty m:val="p"/>
            </m:rPr>
            <m:t>+</m:t>
          </m:r>
          <m:r>
            <m:t>β</m:t>
          </m:r>
          <m:r>
            <m:rPr>
              <m:sty m:val="p"/>
            </m:rPr>
            <m:t>⋅</m:t>
          </m:r>
          <m:sSub>
            <m:e>
              <m:r>
                <m:t>E</m:t>
              </m:r>
            </m:e>
            <m:sub>
              <m:r>
                <m:t>c</m:t>
              </m:r>
              <m:r>
                <m:t>o</m:t>
              </m:r>
              <m:r>
                <m:t>h</m:t>
              </m:r>
            </m:sub>
          </m:sSub>
          <m:d>
            <m:dPr>
              <m:begChr m:val="("/>
              <m:endChr m:val=")"/>
              <m:sepChr m:val=""/>
              <m:grow/>
            </m:dPr>
            <m:e>
              <m:sSub>
                <m:e>
                  <m:r>
                    <m:t>S</m:t>
                  </m:r>
                </m:e>
                <m:sub>
                  <m:r>
                    <m:t>k</m:t>
                  </m:r>
                </m:sub>
              </m:sSub>
            </m:e>
          </m:d>
          <m:r>
            <m:rPr>
              <m:sty m:val="p"/>
            </m:rPr>
            <m:t>+</m:t>
          </m:r>
          <m:r>
            <m:t>γ</m:t>
          </m:r>
          <m:r>
            <m:rPr>
              <m:sty m:val="p"/>
            </m:rPr>
            <m:t>⋅</m:t>
          </m:r>
          <m:sSub>
            <m:e>
              <m:r>
                <m:t>E</m:t>
              </m:r>
            </m:e>
            <m:sub>
              <m:r>
                <m:t>v</m:t>
              </m:r>
              <m:r>
                <m:t>a</m:t>
              </m:r>
              <m:r>
                <m:t>l</m:t>
              </m:r>
            </m:sub>
          </m:sSub>
          <m:d>
            <m:dPr>
              <m:begChr m:val="("/>
              <m:endChr m:val=")"/>
              <m:sepChr m:val=""/>
              <m:grow/>
            </m:dPr>
            <m:e>
              <m:sSub>
                <m:e>
                  <m:r>
                    <m:t>S</m:t>
                  </m:r>
                </m:e>
                <m:sub>
                  <m:r>
                    <m:t>k</m:t>
                  </m:r>
                </m:sub>
              </m:sSub>
            </m:e>
          </m:d>
        </m:oMath>
      </m:oMathPara>
    </w:p>
    <w:p>
      <w:pPr>
        <w:pStyle w:val="FirstParagraph"/>
      </w:pPr>
      <w:r>
        <w:t xml:space="preserve">其中：</w:t>
      </w:r>
      <w:r>
        <w:t xml:space="preserve"> </w:t>
      </w:r>
      <w:r>
        <w:t xml:space="preserve">-</w:t>
      </w:r>
      <w:r>
        <w:t xml:space="preserve"> </w:t>
      </w:r>
      <m:oMath>
        <m:sSub>
          <m:e>
            <m:r>
              <m:t>E</m:t>
            </m:r>
          </m:e>
          <m:sub>
            <m:r>
              <m:t>d</m:t>
            </m:r>
            <m:r>
              <m:t>e</m:t>
            </m:r>
            <m:r>
              <m:t>n</m:t>
            </m:r>
            <m:r>
              <m:t>s</m:t>
            </m:r>
          </m:sub>
        </m:sSub>
      </m:oMath>
      <w:r>
        <w:t xml:space="preserve">（结构完整性）：评估结论类组件是否具有足够的支持结构，计算结论类组件的入度满足率</w:t>
      </w:r>
      <w:r>
        <w:t xml:space="preserve"> </w:t>
      </w:r>
      <w:r>
        <w:t xml:space="preserve">-</w:t>
      </w:r>
      <w:r>
        <w:t xml:space="preserve"> </w:t>
      </w:r>
      <m:oMath>
        <m:sSub>
          <m:e>
            <m:r>
              <m:t>E</m:t>
            </m:r>
          </m:e>
          <m:sub>
            <m:r>
              <m:t>c</m:t>
            </m:r>
            <m:r>
              <m:t>o</m:t>
            </m:r>
            <m:r>
              <m:t>h</m:t>
            </m:r>
          </m:sub>
        </m:sSub>
      </m:oMath>
      <w:r>
        <w:t xml:space="preserve">（语义连贯性）：利用独立验证器判断每条边的逻辑合理性，计算被验证器认可的边的比例</w:t>
      </w:r>
      <w:r>
        <w:t xml:space="preserve"> </w:t>
      </w:r>
      <w:r>
        <w:t xml:space="preserve">-</w:t>
      </w:r>
      <w:r>
        <w:t xml:space="preserve"> </w:t>
      </w:r>
      <m:oMath>
        <m:sSub>
          <m:e>
            <m:r>
              <m:t>E</m:t>
            </m:r>
          </m:e>
          <m:sub>
            <m:r>
              <m:t>v</m:t>
            </m:r>
            <m:r>
              <m:t>a</m:t>
            </m:r>
            <m:r>
              <m:t>l</m:t>
            </m:r>
          </m:sub>
        </m:sSub>
      </m:oMath>
      <w:r>
        <w:t xml:space="preserve">（格式有效性）：检查JSON格式、token跨度边界和DAG约束，执行确定性的结构验证</w:t>
      </w:r>
    </w:p>
    <w:p>
      <w:pPr>
        <w:pStyle w:val="BodyText"/>
      </w:pPr>
      <w:r>
        <w:t xml:space="preserve">权重参数</w:t>
      </w:r>
      <m:oMath>
        <m:r>
          <m:t>α</m:t>
        </m:r>
        <m:r>
          <m:rPr>
            <m:sty m:val="p"/>
          </m:rPr>
          <m:t>=</m:t>
        </m:r>
        <m:r>
          <m:t>0.4</m:t>
        </m:r>
      </m:oMath>
      <w:r>
        <w:t xml:space="preserve">、</w:t>
      </w:r>
      <m:oMath>
        <m:r>
          <m:t>β</m:t>
        </m:r>
        <m:r>
          <m:rPr>
            <m:sty m:val="p"/>
          </m:rPr>
          <m:t>=</m:t>
        </m:r>
        <m:r>
          <m:t>0.4</m:t>
        </m:r>
      </m:oMath>
      <w:r>
        <w:t xml:space="preserve">、</w:t>
      </w:r>
      <m:oMath>
        <m:r>
          <m:t>γ</m:t>
        </m:r>
        <m:r>
          <m:rPr>
            <m:sty m:val="p"/>
          </m:rPr>
          <m:t>=</m:t>
        </m:r>
        <m:r>
          <m:t>0.2</m:t>
        </m:r>
      </m:oMath>
      <w:r>
        <w:t xml:space="preserve">分别控制三个维度的贡献。实验表明，使用不同的模型（如Llama-3-8B-Instruct）替换默认验证器时，候选选择的Top-1一致率达到94.2%，证明该评分机制捕获的是客观的语义兼容性而非特定模型的偏见。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核心思想</w:t>
            </w:r>
          </w:p>
        </w:tc>
        <w:tc>
          <w:tcPr/>
          <w:p>
            <w:pPr>
              <w:pStyle w:val="Compact"/>
              <w:jc w:val="left"/>
            </w:pPr>
            <w:r>
              <w:t xml:space="preserve">优势</w:t>
            </w:r>
          </w:p>
        </w:tc>
        <w:tc>
          <w:tcPr/>
          <w:p>
            <w:pPr>
              <w:pStyle w:val="Compact"/>
              <w:jc w:val="left"/>
            </w:pPr>
            <w:r>
              <w:t xml:space="preserve">局限性</w:t>
            </w:r>
          </w:p>
        </w:tc>
      </w:tr>
      <w:tr>
        <w:tc>
          <w:tcPr/>
          <w:p>
            <w:pPr>
              <w:pStyle w:val="Compact"/>
              <w:jc w:val="left"/>
            </w:pPr>
            <w:r>
              <w:t xml:space="preserve">Self-Refine</w:t>
            </w:r>
          </w:p>
        </w:tc>
        <w:tc>
          <w:tcPr/>
          <w:p>
            <w:pPr>
              <w:pStyle w:val="Compact"/>
              <w:jc w:val="left"/>
            </w:pPr>
            <w:r>
              <w:t xml:space="preserve">迭代自我修正</w:t>
            </w:r>
          </w:p>
        </w:tc>
        <w:tc>
          <w:tcPr/>
          <w:p>
            <w:pPr>
              <w:pStyle w:val="Compact"/>
              <w:jc w:val="left"/>
            </w:pPr>
            <w:r>
              <w:t xml:space="preserve">无需额外模型</w:t>
            </w:r>
          </w:p>
        </w:tc>
        <w:tc>
          <w:tcPr/>
          <w:p>
            <w:pPr>
              <w:pStyle w:val="Compact"/>
              <w:jc w:val="left"/>
            </w:pPr>
            <w:r>
              <w:t xml:space="preserve">依赖模型自纠错能力</w:t>
            </w:r>
          </w:p>
        </w:tc>
      </w:tr>
      <w:tr>
        <w:tc>
          <w:tcPr/>
          <w:p>
            <w:pPr>
              <w:pStyle w:val="Compact"/>
              <w:jc w:val="left"/>
            </w:pPr>
            <w:r>
              <w:t xml:space="preserve">自一致性</w:t>
            </w:r>
          </w:p>
        </w:tc>
        <w:tc>
          <w:tcPr/>
          <w:p>
            <w:pPr>
              <w:pStyle w:val="Compact"/>
              <w:jc w:val="left"/>
            </w:pPr>
            <w:r>
              <w:t xml:space="preserve">多数投票</w:t>
            </w:r>
          </w:p>
        </w:tc>
        <w:tc>
          <w:tcPr/>
          <w:p>
            <w:pPr>
              <w:pStyle w:val="Compact"/>
              <w:jc w:val="left"/>
            </w:pPr>
            <w:r>
              <w:t xml:space="preserve">简单有效</w:t>
            </w:r>
          </w:p>
        </w:tc>
        <w:tc>
          <w:tcPr/>
          <w:p>
            <w:pPr>
              <w:pStyle w:val="Compact"/>
              <w:jc w:val="left"/>
            </w:pPr>
            <w:r>
              <w:t xml:space="preserve">无法处理结构化输出</w:t>
            </w:r>
          </w:p>
        </w:tc>
      </w:tr>
      <w:tr>
        <w:tc>
          <w:tcPr/>
          <w:p>
            <w:pPr>
              <w:pStyle w:val="Compact"/>
              <w:jc w:val="left"/>
            </w:pPr>
            <w:r>
              <w:t xml:space="preserve">多候选重排序</w:t>
            </w:r>
          </w:p>
        </w:tc>
        <w:tc>
          <w:tcPr/>
          <w:p>
            <w:pPr>
              <w:pStyle w:val="Compact"/>
              <w:jc w:val="left"/>
            </w:pPr>
            <w:r>
              <w:t xml:space="preserve">独立评分选择</w:t>
            </w:r>
          </w:p>
        </w:tc>
        <w:tc>
          <w:tcPr/>
          <w:p>
            <w:pPr>
              <w:pStyle w:val="Compact"/>
              <w:jc w:val="left"/>
            </w:pPr>
            <w:r>
              <w:t xml:space="preserve">可融合多维度信号</w:t>
            </w:r>
          </w:p>
        </w:tc>
        <w:tc>
          <w:tcPr/>
          <w:p>
            <w:pPr>
              <w:pStyle w:val="Compact"/>
              <w:jc w:val="left"/>
            </w:pPr>
            <w:r>
              <w:t xml:space="preserve">增加计算开销</w:t>
            </w:r>
          </w:p>
        </w:tc>
      </w:tr>
    </w:tbl>
    <w:bookmarkEnd w:id="59"/>
    <w:bookmarkEnd w:id="60"/>
    <w:bookmarkStart w:id="61" w:name="本章小结"/>
    <w:p>
      <w:pPr>
        <w:pStyle w:val="Heading3"/>
      </w:pPr>
      <w:r>
        <w:t xml:space="preserve">2.4 本章小结</w:t>
      </w:r>
    </w:p>
    <w:p>
      <w:pPr>
        <w:pStyle w:val="FirstParagraph"/>
      </w:pPr>
      <w:r>
        <w:t xml:space="preserve">本章系统介绍了论辩挖掘任务的理论基础与大语言模型结构化生成的关键技术，为后续章节的方法设计奠定了理论基础。主要内容总结如下：</w:t>
      </w:r>
    </w:p>
    <w:p>
      <w:pPr>
        <w:pStyle w:val="BodyText"/>
      </w:pPr>
      <w:r>
        <w:t xml:space="preserve">在论辩挖掘理论基础方面，本章详细阐述了Toulmin论辩模型的六要素框架（主张、数据、保证、支撑、限定词、反驳），以及其在计算建模中的简化形式。本章给出了论辩组件（MajorClaim、Claim、Premise）、论辩关系（Support、Attack）和论辩图的形式化定义，将端到端论辩挖掘建模为从文本到DAG结构的映射问题。论辩图的有向无环约束确保了论证结构的逻辑一致性，而子任务之间的紧密耦合性则是导致错误传播的根本原因。</w:t>
      </w:r>
    </w:p>
    <w:p>
      <w:pPr>
        <w:pStyle w:val="BodyText"/>
      </w:pPr>
      <w:r>
        <w:t xml:space="preserve">在大语言模型结构化生成技术方面，本章深入介绍了Transformer架构的自注意力机制及其数学形式化，阐述了自回归生成的JSON结构化输出设计，详细讲解了约束解码技术的语法掩码机制，介绍了LoRA参数高效微调的低秩分解原理，以及思维链推理的分步生成策略。这些技术为基于LLM的端到端论辩挖掘提供了技术基础，同时也揭示了自回归生成模式在处理结构化任务时的固有局限——一旦上游生成错误，错误将不可逆地传播至下游。</w:t>
      </w:r>
    </w:p>
    <w:p>
      <w:pPr>
        <w:pStyle w:val="BodyText"/>
      </w:pPr>
      <w:r>
        <w:t xml:space="preserve">在数据增强与推理自纠错理论方面，本章系统阐述了基于LLM的条件生成增强和结构感知增强策略，详细介绍了长尾分布的处理方法（重采样、重加权、多目标训练），深入分析了Self-Refine迭代精炼框架的原理与局限，介绍了自一致性解码的多数投票机制，并详细推导了多候选重排序的综合评分函数</w:t>
      </w:r>
      <m:oMath>
        <m:r>
          <m:t>E</m:t>
        </m:r>
        <m:d>
          <m:dPr>
            <m:begChr m:val="("/>
            <m:endChr m:val=")"/>
            <m:sepChr m:val=""/>
            <m:grow/>
          </m:dPr>
          <m:e>
            <m:sSub>
              <m:e>
                <m:r>
                  <m:t>S</m:t>
                </m:r>
              </m:e>
              <m:sub>
                <m:r>
                  <m:t>k</m:t>
                </m:r>
              </m:sub>
            </m:sSub>
          </m:e>
        </m:d>
        <m:r>
          <m:rPr>
            <m:sty m:val="p"/>
          </m:rPr>
          <m:t>=</m:t>
        </m:r>
        <m:r>
          <m:t>α</m:t>
        </m:r>
        <m:sSub>
          <m:e>
            <m:r>
              <m:t>E</m:t>
            </m:r>
          </m:e>
          <m:sub>
            <m:r>
              <m:t>d</m:t>
            </m:r>
            <m:r>
              <m:t>e</m:t>
            </m:r>
            <m:r>
              <m:t>n</m:t>
            </m:r>
            <m:r>
              <m:t>s</m:t>
            </m:r>
          </m:sub>
        </m:sSub>
        <m:r>
          <m:rPr>
            <m:sty m:val="p"/>
          </m:rPr>
          <m:t>+</m:t>
        </m:r>
        <m:r>
          <m:t>β</m:t>
        </m:r>
        <m:sSub>
          <m:e>
            <m:r>
              <m:t>E</m:t>
            </m:r>
          </m:e>
          <m:sub>
            <m:r>
              <m:t>c</m:t>
            </m:r>
            <m:r>
              <m:t>o</m:t>
            </m:r>
            <m:r>
              <m:t>h</m:t>
            </m:r>
          </m:sub>
        </m:sSub>
        <m:r>
          <m:rPr>
            <m:sty m:val="p"/>
          </m:rPr>
          <m:t>+</m:t>
        </m:r>
        <m:r>
          <m:t>γ</m:t>
        </m:r>
        <m:sSub>
          <m:e>
            <m:r>
              <m:t>E</m:t>
            </m:r>
          </m:e>
          <m:sub>
            <m:r>
              <m:t>v</m:t>
            </m:r>
            <m:r>
              <m:t>a</m:t>
            </m:r>
            <m:r>
              <m:t>l</m:t>
            </m:r>
          </m:sub>
        </m:sSub>
      </m:oMath>
      <w:r>
        <w:t xml:space="preserve">。这些理论为后续章节中的结论类组件优化和有界修正算法提供了方法论支撑。</w:t>
      </w:r>
    </w:p>
    <w:p>
      <w:pPr>
        <w:pStyle w:val="BodyText"/>
      </w:pPr>
      <w:r>
        <w:t xml:space="preserve">本章的理论梳理揭示了现有方法的关键局限：单次生成的脆弱性、结论组件的长尾分布、缺乏结构化反馈信号。第三章将利用数据增强和多目标训练理论优化结论类组件的提取；第四章将基于多候选重排序和推理时修正理论设计论辩图生成与恢复框架；第五章将在跨领域泛化分析中验证这些技术的鲁棒性。</w:t>
      </w:r>
    </w:p>
    <w:bookmarkEnd w:id="61"/>
    <w:bookmarkEnd w:id="62"/>
    <w:bookmarkStart w:id="70" w:name="第三章-融合大模型数据增强的结论性组件提取优化"/>
    <w:p>
      <w:pPr>
        <w:pStyle w:val="Heading2"/>
      </w:pPr>
      <w:r>
        <w:t xml:space="preserve">第三章 融合大模型数据增强的结论性组件提取优化</w:t>
      </w:r>
    </w:p>
    <w:p>
      <w:pPr>
        <w:pStyle w:val="FirstParagraph"/>
      </w:pPr>
      <w:r>
        <w:t xml:space="preserve">端到端论辩挖掘任务要求系统同时完成组件识别与关系预测，而结论类组件（MajorClaim和Claim）作为论证结构的”锚点”，其提取准确性直接制约下游关系预测的质量。本章聚焦于训练期的”节点”优化，深入分析论辩组件的长尾分布特性及其导致的提取瓶颈，提出基于大语言模型的结构感知数据增强策略，并设计面向结论组件的表示增强机制，从数据层和模型层两个维度协同提升结论类组件的提取能力。</w:t>
      </w:r>
    </w:p>
    <w:bookmarkStart w:id="65" w:name="论辩组件的长尾分布特性与提取瓶颈分析"/>
    <w:p>
      <w:pPr>
        <w:pStyle w:val="Heading3"/>
      </w:pPr>
      <w:r>
        <w:t xml:space="preserve">3.1 论辩组件的长尾分布特性与提取瓶颈分析</w:t>
      </w:r>
    </w:p>
    <w:bookmarkStart w:id="63" w:name="论辩文本中的组件分布不平衡现象"/>
    <w:p>
      <w:pPr>
        <w:pStyle w:val="Heading4"/>
      </w:pPr>
      <w:r>
        <w:t xml:space="preserve">3.1.1 论辩文本中的组件分布不平衡现象</w:t>
      </w:r>
    </w:p>
    <w:p>
      <w:pPr>
        <w:pStyle w:val="FirstParagraph"/>
      </w:pPr>
      <w:r>
        <w:t xml:space="preserve">在典型的论辩文本中，不同类型的论辩组件在数量分布上呈现显著的不平衡特性。以AAEC数据集为例，一篇完整的说服性论文通常包含1个主要主张、3-5个次级主张以及10-20个支撑前提。这种分布模式符合论证的逻辑结构——核心论点需要多层次、多角度的证据支撑，因此支撑性组件在数量上必然远超结论性组件。</w:t>
      </w:r>
    </w:p>
    <w:p>
      <w:pPr>
        <w:pStyle w:val="BodyText"/>
      </w:pPr>
      <w:r>
        <w:t xml:space="preserve">从统计学角度分析，论辩组件的类型分布呈现典型的长尾分布特征。设</w:t>
      </w:r>
      <m:oMath>
        <m:sSub>
          <m:e>
            <m:r>
              <m:t>N</m:t>
            </m:r>
          </m:e>
          <m:sub>
            <m:r>
              <m:t>m</m:t>
            </m:r>
            <m:r>
              <m:t>c</m:t>
            </m:r>
          </m:sub>
        </m:sSub>
      </m:oMath>
      <w:r>
        <w:t xml:space="preserve">、</w:t>
      </w:r>
      <m:oMath>
        <m:sSub>
          <m:e>
            <m:r>
              <m:t>N</m:t>
            </m:r>
          </m:e>
          <m:sub>
            <m:r>
              <m:t>c</m:t>
            </m:r>
          </m:sub>
        </m:sSub>
      </m:oMath>
      <w:r>
        <w:t xml:space="preserve">、</w:t>
      </w:r>
      <m:oMath>
        <m:sSub>
          <m:e>
            <m:r>
              <m:t>N</m:t>
            </m:r>
          </m:e>
          <m:sub>
            <m:r>
              <m:t>p</m:t>
            </m:r>
          </m:sub>
        </m:sSub>
      </m:oMath>
      <w:r>
        <w:t xml:space="preserve">分别表示数据集中MajorClaim、Claim和Premise的实例数量，则有</w:t>
      </w:r>
      <m:oMath>
        <m:sSub>
          <m:e>
            <m:r>
              <m:t>N</m:t>
            </m:r>
          </m:e>
          <m:sub>
            <m:r>
              <m:t>p</m:t>
            </m:r>
          </m:sub>
        </m:sSub>
        <m:r>
          <m:rPr>
            <m:sty m:val="p"/>
          </m:rPr>
          <m:t>≫</m:t>
        </m:r>
        <m:sSub>
          <m:e>
            <m:r>
              <m:t>N</m:t>
            </m:r>
          </m:e>
          <m:sub>
            <m:r>
              <m:t>c</m:t>
            </m:r>
          </m:sub>
        </m:sSub>
        <m:r>
          <m:rPr>
            <m:sty m:val="p"/>
          </m:rPr>
          <m:t>&gt;</m:t>
        </m:r>
        <m:sSub>
          <m:e>
            <m:r>
              <m:t>N</m:t>
            </m:r>
          </m:e>
          <m:sub>
            <m:r>
              <m:t>m</m:t>
            </m:r>
            <m:r>
              <m:t>c</m:t>
            </m:r>
          </m:sub>
        </m:sSub>
      </m:oMath>
      <w:r>
        <w:t xml:space="preserve">。在AAEC数据集中，Premise类组件约占总组件数量的65%-70%，而MajorClaim仅占5%-8%，Claim占25%-30%。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组件类型</w:t>
            </w:r>
          </w:p>
        </w:tc>
        <w:tc>
          <w:tcPr/>
          <w:p>
            <w:pPr>
              <w:pStyle w:val="Compact"/>
              <w:jc w:val="left"/>
            </w:pPr>
            <w:r>
              <w:t xml:space="preserve">典型占比</w:t>
            </w:r>
          </w:p>
        </w:tc>
        <w:tc>
          <w:tcPr/>
          <w:p>
            <w:pPr>
              <w:pStyle w:val="Compact"/>
              <w:jc w:val="left"/>
            </w:pPr>
            <w:r>
              <w:t xml:space="preserve">特征</w:t>
            </w:r>
          </w:p>
        </w:tc>
        <w:tc>
          <w:tcPr/>
          <w:p>
            <w:pPr>
              <w:pStyle w:val="Compact"/>
              <w:jc w:val="left"/>
            </w:pPr>
            <w:r>
              <w:t xml:space="preserve">训练挑战</w:t>
            </w:r>
          </w:p>
        </w:tc>
      </w:tr>
      <w:tr>
        <w:tc>
          <w:tcPr/>
          <w:p>
            <w:pPr>
              <w:pStyle w:val="Compact"/>
              <w:jc w:val="left"/>
            </w:pPr>
            <w:r>
              <w:t xml:space="preserve">MajorClaim</w:t>
            </w:r>
          </w:p>
        </w:tc>
        <w:tc>
          <w:tcPr/>
          <w:p>
            <w:pPr>
              <w:pStyle w:val="Compact"/>
              <w:jc w:val="left"/>
            </w:pPr>
            <w:r>
              <w:t xml:space="preserve">5%-8%</w:t>
            </w:r>
          </w:p>
        </w:tc>
        <w:tc>
          <w:tcPr/>
          <w:p>
            <w:pPr>
              <w:pStyle w:val="Compact"/>
              <w:jc w:val="left"/>
            </w:pPr>
            <w:r>
              <w:t xml:space="preserve">核心论点，全文唯一或极少</w:t>
            </w:r>
          </w:p>
        </w:tc>
        <w:tc>
          <w:tcPr/>
          <w:p>
            <w:pPr>
              <w:pStyle w:val="Compact"/>
              <w:jc w:val="left"/>
            </w:pPr>
            <w:r>
              <w:t xml:space="preserve">样本极度稀疏，特征学习困难</w:t>
            </w:r>
          </w:p>
        </w:tc>
      </w:tr>
      <w:tr>
        <w:tc>
          <w:tcPr/>
          <w:p>
            <w:pPr>
              <w:pStyle w:val="Compact"/>
              <w:jc w:val="left"/>
            </w:pPr>
            <w:r>
              <w:t xml:space="preserve">Claim</w:t>
            </w:r>
          </w:p>
        </w:tc>
        <w:tc>
          <w:tcPr/>
          <w:p>
            <w:pPr>
              <w:pStyle w:val="Compact"/>
              <w:jc w:val="left"/>
            </w:pPr>
            <w:r>
              <w:t xml:space="preserve">25%-30%</w:t>
            </w:r>
          </w:p>
        </w:tc>
        <w:tc>
          <w:tcPr/>
          <w:p>
            <w:pPr>
              <w:pStyle w:val="Compact"/>
              <w:jc w:val="left"/>
            </w:pPr>
            <w:r>
              <w:t xml:space="preserve">中间论点，承上启下</w:t>
            </w:r>
          </w:p>
        </w:tc>
        <w:tc>
          <w:tcPr/>
          <w:p>
            <w:pPr>
              <w:pStyle w:val="Compact"/>
              <w:jc w:val="left"/>
            </w:pPr>
            <w:r>
              <w:t xml:space="preserve">样本相对稀疏，边界模糊</w:t>
            </w:r>
          </w:p>
        </w:tc>
      </w:tr>
      <w:tr>
        <w:tc>
          <w:tcPr/>
          <w:p>
            <w:pPr>
              <w:pStyle w:val="Compact"/>
              <w:jc w:val="left"/>
            </w:pPr>
            <w:r>
              <w:t xml:space="preserve">Premise</w:t>
            </w:r>
          </w:p>
        </w:tc>
        <w:tc>
          <w:tcPr/>
          <w:p>
            <w:pPr>
              <w:pStyle w:val="Compact"/>
              <w:jc w:val="left"/>
            </w:pPr>
            <w:r>
              <w:t xml:space="preserve">65%-70%</w:t>
            </w:r>
          </w:p>
        </w:tc>
        <w:tc>
          <w:tcPr/>
          <w:p>
            <w:pPr>
              <w:pStyle w:val="Compact"/>
              <w:jc w:val="left"/>
            </w:pPr>
            <w:r>
              <w:t xml:space="preserve">支撑证据，形式多样</w:t>
            </w:r>
          </w:p>
        </w:tc>
        <w:tc>
          <w:tcPr/>
          <w:p>
            <w:pPr>
              <w:pStyle w:val="Compact"/>
              <w:jc w:val="left"/>
            </w:pPr>
            <w:r>
              <w:t xml:space="preserve">样本充足，但类内方差大</w:t>
            </w:r>
          </w:p>
        </w:tc>
      </w:tr>
    </w:tbl>
    <w:bookmarkEnd w:id="63"/>
    <w:bookmarkStart w:id="64" w:name="长尾分布对组件提取的影响机制"/>
    <w:p>
      <w:pPr>
        <w:pStyle w:val="Heading4"/>
      </w:pPr>
      <w:r>
        <w:t xml:space="preserve">3.1.2 长尾分布对组件提取的影响机制</w:t>
      </w:r>
    </w:p>
    <w:p>
      <w:pPr>
        <w:pStyle w:val="FirstParagraph"/>
      </w:pPr>
      <w:r>
        <w:t xml:space="preserve">长尾分布对论辩组件提取任务的影响主要体现在特征表示偏差、损失函数失衡和错误传播放大三个层面。在特征表示层面，由于结论类组件的训练样本稀少，其对应的特征表示在嵌入空间中往往缺乏足够的区分度，聚类往往被高频类别的大量样本”淹没”。在损失函数层面，标准交叉熵损失的梯度主要来源于头部类别，尾部类别对参数更新的贡献被严重稀释。在错误传播层面，结论类组件的召回率每下降1个百分点，下游关系预测的F1值平均下降1.5-2个百分点，使得结论类组件成为论辩挖掘系统的性能瓶颈。</w:t>
      </w:r>
    </w:p>
    <w:bookmarkEnd w:id="64"/>
    <w:bookmarkEnd w:id="65"/>
    <w:bookmarkStart w:id="66" w:name="基于大模型的结构感知数据增强策略"/>
    <w:p>
      <w:pPr>
        <w:pStyle w:val="Heading3"/>
      </w:pPr>
      <w:r>
        <w:t xml:space="preserve">3.2 基于大模型的结构感知数据增强策略</w:t>
      </w:r>
    </w:p>
    <w:p>
      <w:pPr>
        <w:pStyle w:val="FirstParagraph"/>
      </w:pPr>
      <w:r>
        <w:t xml:space="preserve">针对论辩组件长尾分布带来的训练数据稀缺问题，本节提出一种基于大语言模型的结构感知数据增强策略。该策略强调在保持论证逻辑结构完整性的前提下，生成多样化的结论类组件及其支撑结构。</w:t>
      </w:r>
    </w:p>
    <w:p>
      <w:pPr>
        <w:pStyle w:val="BodyText"/>
      </w:pPr>
      <w:r>
        <w:t xml:space="preserve">数据增强的总体框架包含三个阶段：（1）候选结构提取，从原始数据中识别以结论类组件为根节点的局部论证子图；（2）条件生成，利用LLM在保持结构约束的条件下生成变体；（3）质量筛选，通过格式有效性、结构约束和语义一致性三层检验过滤低质量样本。实验表明，约68%的LLM生成样本能够通过全部质量检验。</w:t>
      </w:r>
    </w:p>
    <w:bookmarkEnd w:id="66"/>
    <w:bookmarkStart w:id="67" w:name="面向结论组件的表示增强机制"/>
    <w:p>
      <w:pPr>
        <w:pStyle w:val="Heading3"/>
      </w:pPr>
      <w:r>
        <w:t xml:space="preserve">3.3 面向结论组件的表示增强机制</w:t>
      </w:r>
    </w:p>
    <w:p>
      <w:pPr>
        <w:pStyle w:val="FirstParagraph"/>
      </w:pPr>
      <w:r>
        <w:t xml:space="preserve">本节提出面向结论组件的表示增强机制，包含</w:t>
      </w:r>
      <w:r>
        <w:rPr>
          <w:bCs/>
          <w:b/>
        </w:rPr>
        <w:t xml:space="preserve">Claim-specific Adapter</w:t>
      </w:r>
      <w:r>
        <w:t xml:space="preserve">和</w:t>
      </w:r>
      <w:r>
        <w:rPr>
          <w:bCs/>
          <w:b/>
        </w:rPr>
        <w:t xml:space="preserve">Cue-aware Soft Prompting</w:t>
      </w:r>
      <w:r>
        <w:t xml:space="preserve">两个互补模块。</w:t>
      </w:r>
    </w:p>
    <w:p>
      <w:pPr>
        <w:pStyle w:val="BodyText"/>
      </w:pPr>
      <w:r>
        <w:t xml:space="preserve">Claim-specific Adapter采用条件激活策略，在组件提取器的注意力投影层注入并行的LoRA模块。当模型解码到与结论类标签匹配的JSON键值时，适配器被动态激活：</w:t>
      </w:r>
      <m:oMath>
        <m:r>
          <m:rPr>
            <m:sty m:val="b"/>
          </m:rPr>
          <m:t>W</m:t>
        </m:r>
        <m:sSub>
          <m:e>
            <m:r>
              <m:rPr>
                <m:sty m:val="p"/>
              </m:rPr>
              <m:t>′</m:t>
            </m:r>
          </m:e>
          <m:sub>
            <m:r>
              <m:t>q</m:t>
            </m:r>
          </m:sub>
        </m:sSub>
        <m:r>
          <m:rPr>
            <m:sty m:val="p"/>
          </m:rPr>
          <m:t>=</m:t>
        </m:r>
        <m:sSub>
          <m:e>
            <m:r>
              <m:rPr>
                <m:sty m:val="b"/>
              </m:rPr>
              <m:t>W</m:t>
            </m:r>
          </m:e>
          <m:sub>
            <m:r>
              <m:t>q</m:t>
            </m:r>
          </m:sub>
        </m:sSub>
        <m:r>
          <m:rPr>
            <m:sty m:val="p"/>
          </m:rPr>
          <m:t>+</m:t>
        </m:r>
        <m:r>
          <m:t>α</m:t>
        </m:r>
        <m:r>
          <m:rPr>
            <m:sty m:val="p"/>
          </m:rPr>
          <m:t>⋅</m:t>
        </m:r>
        <m:sSub>
          <m:e>
            <m:r>
              <m:rPr>
                <m:sty m:val="b"/>
              </m:rPr>
              <m:t>B</m:t>
            </m:r>
          </m:e>
          <m:sub>
            <m:r>
              <m:t>q</m:t>
            </m:r>
          </m:sub>
        </m:sSub>
        <m:sSub>
          <m:e>
            <m:r>
              <m:rPr>
                <m:sty m:val="b"/>
              </m:rPr>
              <m:t>A</m:t>
            </m:r>
          </m:e>
          <m:sub>
            <m:r>
              <m:t>q</m:t>
            </m:r>
          </m:sub>
        </m:sSub>
      </m:oMath>
      <w:r>
        <w:t xml:space="preserve">，其中秩参数</w:t>
      </w:r>
      <m:oMath>
        <m:r>
          <m:t>r</m:t>
        </m:r>
        <m:r>
          <m:rPr>
            <m:sty m:val="p"/>
          </m:rPr>
          <m:t>=</m:t>
        </m:r>
        <m:r>
          <m:t>16</m:t>
        </m:r>
      </m:oMath>
      <w:r>
        <w:t xml:space="preserve">，缩放因子</w:t>
      </w:r>
      <m:oMath>
        <m:r>
          <m:t>α</m:t>
        </m:r>
        <m:r>
          <m:rPr>
            <m:sty m:val="p"/>
          </m:rPr>
          <m:t>=</m:t>
        </m:r>
        <m:r>
          <m:t>32</m:t>
        </m:r>
      </m:oMath>
      <w:r>
        <w:t xml:space="preserve">。</w:t>
      </w:r>
    </w:p>
    <w:p>
      <w:pPr>
        <w:pStyle w:val="BodyText"/>
      </w:pPr>
      <w:r>
        <w:t xml:space="preserve">Cue-aware Soft Prompting模块检测论证线索词（如”therefore”、</w:t>
      </w:r>
      <w:r>
        <w:t xml:space="preserve">“</w:t>
      </w:r>
      <w:r>
        <w:t xml:space="preserve">in conclusion</w:t>
      </w:r>
      <w:r>
        <w:t xml:space="preserve">”</w:t>
      </w:r>
      <w:r>
        <w:t xml:space="preserve">），在相应位置添加</w:t>
      </w:r>
      <m:oMath>
        <m:r>
          <m:t>m</m:t>
        </m:r>
        <m:r>
          <m:rPr>
            <m:sty m:val="p"/>
          </m:rPr>
          <m:t>=</m:t>
        </m:r>
        <m:r>
          <m:t>4</m:t>
        </m:r>
      </m:oMath>
      <w:r>
        <w:t xml:space="preserve">个可学习的连续前缀token，引导模型关注结构信号。</w:t>
      </w:r>
    </w:p>
    <w:p>
      <w:pPr>
        <w:pStyle w:val="BodyText"/>
      </w:pPr>
      <w:r>
        <w:t xml:space="preserve">多目标训练策略采用联合损失函数</w:t>
      </w:r>
      <m:oMath>
        <m:sSub>
          <m:e>
            <m:r>
              <m:rPr>
                <m:sty m:val="p"/>
                <m:scr m:val="script"/>
              </m:rPr>
              <m:t>L</m:t>
            </m:r>
          </m:e>
          <m:sub>
            <m:r>
              <m:t>c</m:t>
            </m:r>
            <m:r>
              <m:t>o</m:t>
            </m:r>
            <m:r>
              <m:t>m</m:t>
            </m:r>
            <m:r>
              <m:t>p</m:t>
            </m:r>
          </m:sub>
        </m:sSub>
        <m:r>
          <m:rPr>
            <m:sty m:val="p"/>
          </m:rPr>
          <m:t>=</m:t>
        </m:r>
        <m:sSub>
          <m:e>
            <m:r>
              <m:rPr>
                <m:sty m:val="p"/>
                <m:scr m:val="script"/>
              </m:rPr>
              <m:t>L</m:t>
            </m:r>
          </m:e>
          <m:sub>
            <m:r>
              <m:t>g</m:t>
            </m:r>
            <m:r>
              <m:t>e</m:t>
            </m:r>
            <m:r>
              <m:t>n</m:t>
            </m:r>
          </m:sub>
        </m:sSub>
        <m:r>
          <m:rPr>
            <m:sty m:val="p"/>
          </m:rPr>
          <m:t>+</m:t>
        </m:r>
        <m:r>
          <m:t>λ</m:t>
        </m:r>
        <m:sSub>
          <m:e>
            <m:r>
              <m:rPr>
                <m:sty m:val="p"/>
                <m:scr m:val="script"/>
              </m:rPr>
              <m:t>L</m:t>
            </m:r>
          </m:e>
          <m:sub>
            <m:r>
              <m:t>s</m:t>
            </m:r>
            <m:r>
              <m:t>a</m:t>
            </m:r>
            <m:r>
              <m:t>t</m:t>
            </m:r>
          </m:sub>
        </m:sSub>
      </m:oMath>
      <w:r>
        <w:t xml:space="preserve">，其中</w:t>
      </w:r>
      <m:oMath>
        <m:r>
          <m:t>λ</m:t>
        </m:r>
        <m:r>
          <m:rPr>
            <m:sty m:val="p"/>
          </m:rPr>
          <m:t>=</m:t>
        </m:r>
        <m:r>
          <m:t>0.5</m:t>
        </m:r>
      </m:oMath>
      <w:r>
        <w:t xml:space="preserve">，</w:t>
      </w:r>
      <m:oMath>
        <m:sSub>
          <m:e>
            <m:r>
              <m:rPr>
                <m:sty m:val="p"/>
                <m:scr m:val="script"/>
              </m:rPr>
              <m:t>L</m:t>
            </m:r>
          </m:e>
          <m:sub>
            <m:r>
              <m:t>s</m:t>
            </m:r>
            <m:r>
              <m:t>a</m:t>
            </m:r>
            <m:r>
              <m:t>t</m:t>
            </m:r>
          </m:sub>
        </m:sSub>
      </m:oMath>
      <w:r>
        <w:t xml:space="preserve">为句子级结论组件存在性的二元分类损失。</w:t>
      </w:r>
    </w:p>
    <w:bookmarkEnd w:id="67"/>
    <w:bookmarkStart w:id="68" w:name="实验设置与结果分析"/>
    <w:p>
      <w:pPr>
        <w:pStyle w:val="Heading3"/>
      </w:pPr>
      <w:r>
        <w:t xml:space="preserve">3.4 实验设置与结果分析</w:t>
      </w:r>
    </w:p>
    <w:p>
      <w:pPr>
        <w:pStyle w:val="FirstParagraph"/>
      </w:pPr>
      <w:r>
        <w:t xml:space="preserve">实验在AAEC数据集上进行，采用Qwen2.5-7B-Instruct作为骨干模型。数据增强将MajorClaim样本量提升了150%，MajorClaim与Premise的比例从1:14.5改善为1:7.0。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MajorClaim-F1</w:t>
            </w:r>
          </w:p>
        </w:tc>
        <w:tc>
          <w:tcPr/>
          <w:p>
            <w:pPr>
              <w:pStyle w:val="Compact"/>
              <w:jc w:val="left"/>
            </w:pPr>
            <w:r>
              <w:t xml:space="preserve">Claim-F1</w:t>
            </w:r>
          </w:p>
        </w:tc>
        <w:tc>
          <w:tcPr/>
          <w:p>
            <w:pPr>
              <w:pStyle w:val="Compact"/>
              <w:jc w:val="left"/>
            </w:pPr>
            <w:r>
              <w:t xml:space="preserve">Comp-F1</w:t>
            </w:r>
          </w:p>
        </w:tc>
      </w:tr>
      <w:tr>
        <w:tc>
          <w:tcPr/>
          <w:p>
            <w:pPr>
              <w:pStyle w:val="Compact"/>
              <w:jc w:val="left"/>
            </w:pPr>
            <w:r>
              <w:t xml:space="preserve">FLAN-T5(XXL)</w:t>
            </w:r>
          </w:p>
        </w:tc>
        <w:tc>
          <w:tcPr/>
          <w:p>
            <w:pPr>
              <w:pStyle w:val="Compact"/>
              <w:jc w:val="left"/>
            </w:pPr>
            <w:r>
              <w:t xml:space="preserve">71.23</w:t>
            </w:r>
          </w:p>
        </w:tc>
        <w:tc>
          <w:tcPr/>
          <w:p>
            <w:pPr>
              <w:pStyle w:val="Compact"/>
              <w:jc w:val="left"/>
            </w:pPr>
            <w:r>
              <w:t xml:space="preserve">76.45</w:t>
            </w:r>
          </w:p>
        </w:tc>
        <w:tc>
          <w:tcPr/>
          <w:p>
            <w:pPr>
              <w:pStyle w:val="Compact"/>
              <w:jc w:val="left"/>
            </w:pPr>
            <w:r>
              <w:t xml:space="preserve">80.15</w:t>
            </w:r>
          </w:p>
        </w:tc>
      </w:tr>
      <w:tr>
        <w:tc>
          <w:tcPr/>
          <w:p>
            <w:pPr>
              <w:pStyle w:val="Compact"/>
              <w:jc w:val="left"/>
            </w:pPr>
            <w:r>
              <w:t xml:space="preserve">LLM Single-Pass</w:t>
            </w:r>
          </w:p>
        </w:tc>
        <w:tc>
          <w:tcPr/>
          <w:p>
            <w:pPr>
              <w:pStyle w:val="Compact"/>
              <w:jc w:val="left"/>
            </w:pPr>
            <w:r>
              <w:t xml:space="preserve">73.45</w:t>
            </w:r>
          </w:p>
        </w:tc>
        <w:tc>
          <w:tcPr/>
          <w:p>
            <w:pPr>
              <w:pStyle w:val="Compact"/>
              <w:jc w:val="left"/>
            </w:pPr>
            <w:r>
              <w:t xml:space="preserve">78.21</w:t>
            </w:r>
          </w:p>
        </w:tc>
        <w:tc>
          <w:tcPr/>
          <w:p>
            <w:pPr>
              <w:pStyle w:val="Compact"/>
              <w:jc w:val="left"/>
            </w:pPr>
            <w:r>
              <w:t xml:space="preserve">81.67</w:t>
            </w:r>
          </w:p>
        </w:tc>
      </w:tr>
      <w:tr>
        <w:tc>
          <w:tcPr/>
          <w:p>
            <w:pPr>
              <w:pStyle w:val="Compact"/>
              <w:jc w:val="left"/>
            </w:pPr>
            <w:r>
              <w:rPr>
                <w:bCs/>
                <w:b/>
              </w:rPr>
              <w:t xml:space="preserve">Ours(Full)</w:t>
            </w:r>
          </w:p>
        </w:tc>
        <w:tc>
          <w:tcPr/>
          <w:p>
            <w:pPr>
              <w:pStyle w:val="Compact"/>
              <w:jc w:val="left"/>
            </w:pPr>
            <w:r>
              <w:rPr>
                <w:bCs/>
                <w:b/>
              </w:rPr>
              <w:t xml:space="preserve">77.34</w:t>
            </w:r>
          </w:p>
        </w:tc>
        <w:tc>
          <w:tcPr/>
          <w:p>
            <w:pPr>
              <w:pStyle w:val="Compact"/>
              <w:jc w:val="left"/>
            </w:pPr>
            <w:r>
              <w:rPr>
                <w:bCs/>
                <w:b/>
              </w:rPr>
              <w:t xml:space="preserve">81.77</w:t>
            </w:r>
          </w:p>
        </w:tc>
        <w:tc>
          <w:tcPr/>
          <w:p>
            <w:pPr>
              <w:pStyle w:val="Compact"/>
              <w:jc w:val="left"/>
            </w:pPr>
            <w:r>
              <w:rPr>
                <w:bCs/>
                <w:b/>
              </w:rPr>
              <w:t xml:space="preserve">83.71</w:t>
            </w:r>
          </w:p>
        </w:tc>
      </w:tr>
    </w:tbl>
    <w:p>
      <w:pPr>
        <w:pStyle w:val="BodyText"/>
      </w:pPr>
      <w:r>
        <w:t xml:space="preserve">消融实验表明，数据增强贡献1.08分，Claim-specific Adapter贡献0.93分，Cue-aware Soft Prompting贡献0.62分，辅助损失贡献0.52分。本方法为MajorClaim和Claim分别带来了2.52分和2.21分的F1提升。</w:t>
      </w:r>
    </w:p>
    <w:bookmarkEnd w:id="68"/>
    <w:bookmarkStart w:id="69" w:name="本章小结-1"/>
    <w:p>
      <w:pPr>
        <w:pStyle w:val="Heading3"/>
      </w:pPr>
      <w:r>
        <w:t xml:space="preserve">3.5 本章小结</w:t>
      </w:r>
    </w:p>
    <w:p>
      <w:pPr>
        <w:pStyle w:val="FirstParagraph"/>
      </w:pPr>
      <w:r>
        <w:t xml:space="preserve">本章聚焦于训练期的”节点”优化，系统性地解决了论辩组件长尾分布导致的结论类组件提取瓶颈问题。通过结构感知数据增强、Claim-specific Adapter、Cue-aware Soft Prompting和多目标训练的协同作用，在AAEC数据集上将整体Component-F1提升至83.71，为下一章的推理期结构优化奠定了坚实的组件提取基础。</w:t>
      </w:r>
    </w:p>
    <w:bookmarkEnd w:id="69"/>
    <w:bookmarkEnd w:id="70"/>
    <w:bookmarkStart w:id="76" w:name="第四章-基于多候选评估与有界修正的论辩图生成方法"/>
    <w:p>
      <w:pPr>
        <w:pStyle w:val="Heading2"/>
      </w:pPr>
      <w:r>
        <w:t xml:space="preserve">第四章 基于多候选评估与有界修正的论辩图生成方法</w:t>
      </w:r>
    </w:p>
    <w:p>
      <w:pPr>
        <w:pStyle w:val="FirstParagraph"/>
      </w:pPr>
      <w:r>
        <w:t xml:space="preserve">本章聚焦于推理期的”边”优化，旨在解决大语言模型在端到端论辩挖掘任务中面临的错误级联问题。</w:t>
      </w:r>
    </w:p>
    <w:bookmarkStart w:id="71" w:name="单步生成模式下的错误级联现象与恢复困境"/>
    <w:p>
      <w:pPr>
        <w:pStyle w:val="Heading3"/>
      </w:pPr>
      <w:r>
        <w:t xml:space="preserve">4.1 单步生成模式下的错误级联现象与恢复困境</w:t>
      </w:r>
    </w:p>
    <w:p>
      <w:pPr>
        <w:pStyle w:val="FirstParagraph"/>
      </w:pPr>
      <w:r>
        <w:t xml:space="preserve">实证分析表明，在约42.5%的文档中，单步生成会产生需要修正的结构异常。错误类型包括组件遗漏（23.7%）、边界错误（15.2%）、关系悬空（31.4%）和循环依赖（8.6%）。现有的后处理约束过滤只能删除不合法内容，无法补充缺失组件；迭代自精炼在缺乏结构化验证信号时难以定位错误位置。</w:t>
      </w:r>
    </w:p>
    <w:bookmarkEnd w:id="71"/>
    <w:bookmarkStart w:id="72" w:name="多候选论辩图的生成与一致性评估"/>
    <w:p>
      <w:pPr>
        <w:pStyle w:val="Heading3"/>
      </w:pPr>
      <w:r>
        <w:t xml:space="preserve">4.2 多候选论辩图的生成与一致性评估</w:t>
      </w:r>
    </w:p>
    <w:p>
      <w:pPr>
        <w:pStyle w:val="FirstParagraph"/>
      </w:pPr>
      <w:r>
        <w:t xml:space="preserve">MCR模块通过温度采样和提示词改写生成</w:t>
      </w:r>
      <m:oMath>
        <m:r>
          <m:t>K</m:t>
        </m:r>
        <m:r>
          <m:rPr>
            <m:sty m:val="p"/>
          </m:rPr>
          <m:t>=</m:t>
        </m:r>
        <m:r>
          <m:t>3</m:t>
        </m:r>
      </m:oMath>
      <w:r>
        <w:t xml:space="preserve">个候选组件集，设计综合评分函数：</w:t>
      </w:r>
    </w:p>
    <w:p>
      <w:pPr>
        <w:pStyle w:val="BodyText"/>
      </w:pPr>
      <m:oMathPara>
        <m:oMathParaPr>
          <m:jc m:val="center"/>
        </m:oMathParaPr>
        <m:oMath>
          <m:r>
            <m:t>E</m:t>
          </m:r>
          <m:d>
            <m:dPr>
              <m:begChr m:val="("/>
              <m:endChr m:val=")"/>
              <m:sepChr m:val=""/>
              <m:grow/>
            </m:dPr>
            <m:e>
              <m:sSub>
                <m:e>
                  <m:r>
                    <m:t>S</m:t>
                  </m:r>
                </m:e>
                <m:sub>
                  <m:r>
                    <m:t>k</m:t>
                  </m:r>
                </m:sub>
              </m:sSub>
            </m:e>
          </m:d>
          <m:r>
            <m:rPr>
              <m:sty m:val="p"/>
            </m:rPr>
            <m:t>=</m:t>
          </m:r>
          <m:r>
            <m:t>α</m:t>
          </m:r>
          <m:r>
            <m:rPr>
              <m:sty m:val="p"/>
            </m:rPr>
            <m:t>⋅</m:t>
          </m:r>
          <m:sSub>
            <m:e>
              <m:r>
                <m:t>E</m:t>
              </m:r>
            </m:e>
            <m:sub>
              <m:r>
                <m:t>d</m:t>
              </m:r>
              <m:r>
                <m:t>e</m:t>
              </m:r>
              <m:r>
                <m:t>n</m:t>
              </m:r>
              <m:r>
                <m:t>s</m:t>
              </m:r>
            </m:sub>
          </m:sSub>
          <m:d>
            <m:dPr>
              <m:begChr m:val="("/>
              <m:endChr m:val=")"/>
              <m:sepChr m:val=""/>
              <m:grow/>
            </m:dPr>
            <m:e>
              <m:sSub>
                <m:e>
                  <m:r>
                    <m:t>S</m:t>
                  </m:r>
                </m:e>
                <m:sub>
                  <m:r>
                    <m:t>k</m:t>
                  </m:r>
                </m:sub>
              </m:sSub>
            </m:e>
          </m:d>
          <m:r>
            <m:rPr>
              <m:sty m:val="p"/>
            </m:rPr>
            <m:t>+</m:t>
          </m:r>
          <m:r>
            <m:t>β</m:t>
          </m:r>
          <m:r>
            <m:rPr>
              <m:sty m:val="p"/>
            </m:rPr>
            <m:t>⋅</m:t>
          </m:r>
          <m:sSub>
            <m:e>
              <m:r>
                <m:t>E</m:t>
              </m:r>
            </m:e>
            <m:sub>
              <m:r>
                <m:t>c</m:t>
              </m:r>
              <m:r>
                <m:t>o</m:t>
              </m:r>
              <m:r>
                <m:t>h</m:t>
              </m:r>
            </m:sub>
          </m:sSub>
          <m:d>
            <m:dPr>
              <m:begChr m:val="("/>
              <m:endChr m:val=")"/>
              <m:sepChr m:val=""/>
              <m:grow/>
            </m:dPr>
            <m:e>
              <m:sSub>
                <m:e>
                  <m:r>
                    <m:t>S</m:t>
                  </m:r>
                </m:e>
                <m:sub>
                  <m:r>
                    <m:t>k</m:t>
                  </m:r>
                </m:sub>
              </m:sSub>
            </m:e>
          </m:d>
          <m:r>
            <m:rPr>
              <m:sty m:val="p"/>
            </m:rPr>
            <m:t>+</m:t>
          </m:r>
          <m:r>
            <m:t>γ</m:t>
          </m:r>
          <m:r>
            <m:rPr>
              <m:sty m:val="p"/>
            </m:rPr>
            <m:t>⋅</m:t>
          </m:r>
          <m:sSub>
            <m:e>
              <m:r>
                <m:t>E</m:t>
              </m:r>
            </m:e>
            <m:sub>
              <m:r>
                <m:t>v</m:t>
              </m:r>
              <m:r>
                <m:t>a</m:t>
              </m:r>
              <m:r>
                <m:t>l</m:t>
              </m:r>
            </m:sub>
          </m:sSub>
          <m:d>
            <m:dPr>
              <m:begChr m:val="("/>
              <m:endChr m:val=")"/>
              <m:sepChr m:val=""/>
              <m:grow/>
            </m:dPr>
            <m:e>
              <m:sSub>
                <m:e>
                  <m:r>
                    <m:t>S</m:t>
                  </m:r>
                </m:e>
                <m:sub>
                  <m:r>
                    <m:t>k</m:t>
                  </m:r>
                </m:sub>
              </m:sSub>
            </m:e>
          </m:d>
        </m:oMath>
      </m:oMathPara>
    </w:p>
    <w:p>
      <w:pPr>
        <w:pStyle w:val="FirstParagraph"/>
      </w:pPr>
      <w:r>
        <w:t xml:space="preserve">其中</w:t>
      </w:r>
      <m:oMath>
        <m:r>
          <m:t>α</m:t>
        </m:r>
        <m:r>
          <m:rPr>
            <m:sty m:val="p"/>
          </m:rPr>
          <m:t>=</m:t>
        </m:r>
        <m:r>
          <m:t>0.4</m:t>
        </m:r>
      </m:oMath>
      <w:r>
        <w:t xml:space="preserve">、</w:t>
      </w:r>
      <m:oMath>
        <m:r>
          <m:t>β</m:t>
        </m:r>
        <m:r>
          <m:rPr>
            <m:sty m:val="p"/>
          </m:rPr>
          <m:t>=</m:t>
        </m:r>
        <m:r>
          <m:t>0.4</m:t>
        </m:r>
      </m:oMath>
      <w:r>
        <w:t xml:space="preserve">、</w:t>
      </w:r>
      <m:oMath>
        <m:r>
          <m:t>γ</m:t>
        </m:r>
        <m:r>
          <m:rPr>
            <m:sty m:val="p"/>
          </m:rPr>
          <m:t>=</m:t>
        </m:r>
        <m:r>
          <m:t>0.2</m:t>
        </m:r>
      </m:oMath>
      <w:r>
        <w:t xml:space="preserve">。</w:t>
      </w:r>
      <m:oMath>
        <m:sSub>
          <m:e>
            <m:r>
              <m:t>E</m:t>
            </m:r>
          </m:e>
          <m:sub>
            <m:r>
              <m:t>d</m:t>
            </m:r>
            <m:r>
              <m:t>e</m:t>
            </m:r>
            <m:r>
              <m:t>n</m:t>
            </m:r>
            <m:r>
              <m:t>s</m:t>
            </m:r>
          </m:sub>
        </m:sSub>
      </m:oMath>
      <w:r>
        <w:t xml:space="preserve">评估结论类组件的入度满足率，</w:t>
      </w:r>
      <m:oMath>
        <m:sSub>
          <m:e>
            <m:r>
              <m:t>E</m:t>
            </m:r>
          </m:e>
          <m:sub>
            <m:r>
              <m:t>c</m:t>
            </m:r>
            <m:r>
              <m:t>o</m:t>
            </m:r>
            <m:r>
              <m:t>h</m:t>
            </m:r>
          </m:sub>
        </m:sSub>
      </m:oMath>
      <w:r>
        <w:t xml:space="preserve">利用独立验证器判断边的语义合理性，</w:t>
      </w:r>
      <m:oMath>
        <m:sSub>
          <m:e>
            <m:r>
              <m:t>E</m:t>
            </m:r>
          </m:e>
          <m:sub>
            <m:r>
              <m:t>v</m:t>
            </m:r>
            <m:r>
              <m:t>a</m:t>
            </m:r>
            <m:r>
              <m:t>l</m:t>
            </m:r>
          </m:sub>
        </m:sSub>
      </m:oMath>
      <w:r>
        <w:t xml:space="preserve">执行JSON格式、跨度边界和DAG约束检查。使用不同验证器时的候选选择Top-1一致率达94.2%。</w:t>
      </w:r>
    </w:p>
    <w:bookmarkEnd w:id="72"/>
    <w:bookmarkStart w:id="73" w:name="图约束下的有界局部修正算法"/>
    <w:p>
      <w:pPr>
        <w:pStyle w:val="Heading3"/>
      </w:pPr>
      <w:r>
        <w:t xml:space="preserve">4.3 图约束下的有界局部修正算法</w:t>
      </w:r>
    </w:p>
    <w:p>
      <w:pPr>
        <w:pStyle w:val="FirstParagraph"/>
      </w:pPr>
      <w:r>
        <w:t xml:space="preserve">BR算法设计了四种修复操作：Promote/Demote（类型转换，10.5%）、Replace（组件替换，19.5%）、RemoveEdge（删除边，24.8%）、LocalRerun（局部重跑，45.2%）。</w:t>
      </w:r>
    </w:p>
    <w:p>
      <w:pPr>
        <w:pStyle w:val="BodyText"/>
      </w:pPr>
      <w:r>
        <w:t xml:space="preserve">条件接受策略要求每个修复动作满足：（1）保持DAG属性；（2）整体评分不下降。算法在无剩余异常、无可改进动作或达到计算预算（</w:t>
      </w:r>
      <m:oMath>
        <m:r>
          <m:t>T</m:t>
        </m:r>
        <m:r>
          <m:rPr>
            <m:sty m:val="p"/>
          </m:rPr>
          <m:t>=</m:t>
        </m:r>
        <m:r>
          <m:t>3</m:t>
        </m:r>
      </m:oMath>
      <w:r>
        <w:t xml:space="preserve">迭代，</w:t>
      </w:r>
      <m:oMath>
        <m:r>
          <m:t>M</m:t>
        </m:r>
        <m:r>
          <m:rPr>
            <m:sty m:val="p"/>
          </m:rPr>
          <m:t>=</m:t>
        </m:r>
        <m:r>
          <m:t>2</m:t>
        </m:r>
      </m:oMath>
      <w:r>
        <w:t xml:space="preserve">动作/迭代）时终止。</w:t>
      </w:r>
    </w:p>
    <w:bookmarkEnd w:id="73"/>
    <w:bookmarkStart w:id="74" w:name="实验设置与结果分析-1"/>
    <w:p>
      <w:pPr>
        <w:pStyle w:val="Heading3"/>
      </w:pPr>
      <w:r>
        <w:t xml:space="preserve">4.4 实验设置与结果分析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数据集</w:t>
            </w:r>
          </w:p>
        </w:tc>
        <w:tc>
          <w:tcPr/>
          <w:p>
            <w:pPr>
              <w:pStyle w:val="Compact"/>
              <w:jc w:val="left"/>
            </w:pPr>
            <w:r>
              <w:t xml:space="preserve">模型</w:t>
            </w:r>
          </w:p>
        </w:tc>
        <w:tc>
          <w:tcPr/>
          <w:p>
            <w:pPr>
              <w:pStyle w:val="Compact"/>
              <w:jc w:val="left"/>
            </w:pPr>
            <w:r>
              <w:t xml:space="preserve">Comp-F1</w:t>
            </w:r>
          </w:p>
        </w:tc>
        <w:tc>
          <w:tcPr/>
          <w:p>
            <w:pPr>
              <w:pStyle w:val="Compact"/>
              <w:jc w:val="left"/>
            </w:pPr>
            <w:r>
              <w:t xml:space="preserve">Rel-F1</w:t>
            </w:r>
          </w:p>
        </w:tc>
      </w:tr>
      <w:tr>
        <w:tc>
          <w:tcPr/>
          <w:p>
            <w:pPr>
              <w:pStyle w:val="Compact"/>
              <w:jc w:val="left"/>
            </w:pPr>
            <w:r>
              <w:t xml:space="preserve">AAEC</w:t>
            </w:r>
          </w:p>
        </w:tc>
        <w:tc>
          <w:tcPr/>
          <w:p>
            <w:pPr>
              <w:pStyle w:val="Compact"/>
              <w:jc w:val="left"/>
            </w:pPr>
            <w:r>
              <w:t xml:space="preserve">FLAN T5-XXL</w:t>
            </w:r>
          </w:p>
        </w:tc>
        <w:tc>
          <w:tcPr/>
          <w:p>
            <w:pPr>
              <w:pStyle w:val="Compact"/>
              <w:jc w:val="left"/>
            </w:pPr>
            <w:r>
              <w:t xml:space="preserve">80.15</w:t>
            </w:r>
          </w:p>
        </w:tc>
        <w:tc>
          <w:tcPr/>
          <w:p>
            <w:pPr>
              <w:pStyle w:val="Compact"/>
              <w:jc w:val="left"/>
            </w:pPr>
            <w:r>
              <w:t xml:space="preserve">61.19</w:t>
            </w:r>
          </w:p>
        </w:tc>
      </w:tr>
      <w:tr>
        <w:tc>
          <w:tcPr/>
          <w:p>
            <w:pPr>
              <w:pStyle w:val="Compact"/>
              <w:jc w:val="left"/>
            </w:pPr>
            <w:r>
              <w:t xml:space="preserve">AAEC</w:t>
            </w:r>
          </w:p>
        </w:tc>
        <w:tc>
          <w:tcPr/>
          <w:p>
            <w:pPr>
              <w:pStyle w:val="Compact"/>
              <w:jc w:val="left"/>
            </w:pPr>
            <w:r>
              <w:rPr>
                <w:bCs/>
                <w:b/>
              </w:rPr>
              <w:t xml:space="preserve">MCR-BR(Ours)</w:t>
            </w:r>
          </w:p>
        </w:tc>
        <w:tc>
          <w:tcPr/>
          <w:p>
            <w:pPr>
              <w:pStyle w:val="Compact"/>
              <w:jc w:val="left"/>
            </w:pPr>
            <w:r>
              <w:rPr>
                <w:bCs/>
                <w:b/>
              </w:rPr>
              <w:t xml:space="preserve">83.71</w:t>
            </w:r>
          </w:p>
        </w:tc>
        <w:tc>
          <w:tcPr/>
          <w:p>
            <w:pPr>
              <w:pStyle w:val="Compact"/>
              <w:jc w:val="left"/>
            </w:pPr>
            <w:r>
              <w:rPr>
                <w:bCs/>
                <w:b/>
              </w:rPr>
              <w:t xml:space="preserve">64.83</w:t>
            </w:r>
          </w:p>
        </w:tc>
      </w:tr>
    </w:tbl>
    <w:p>
      <w:pPr>
        <w:pStyle w:val="BodyText"/>
      </w:pPr>
      <w:r>
        <w:t xml:space="preserve">有界修正机制将硬性结构错误从18.5%降至2.1%，整体评估通过率从75.3%提升至97.9%。消融实验表明，有界修正贡献2.27分Rel-F1，多候选机制贡献1.48分。Oracle实验显示K=3时理论上限为68.92 Rel-F1，存在4.09分的改进空间。</w:t>
      </w:r>
    </w:p>
    <w:bookmarkEnd w:id="74"/>
    <w:bookmarkStart w:id="75" w:name="本章小结-2"/>
    <w:p>
      <w:pPr>
        <w:pStyle w:val="Heading3"/>
      </w:pPr>
      <w:r>
        <w:t xml:space="preserve">4.5 本章小结</w:t>
      </w:r>
    </w:p>
    <w:p>
      <w:pPr>
        <w:pStyle w:val="FirstParagraph"/>
      </w:pPr>
      <w:r>
        <w:t xml:space="preserve">本章提出了MCR-BR推理时结构恢复框架，通过多候选重排序增加命中正确结构的概率，通过有界修正主动修复结构异常，在AAEC数据集上达到了83.71的Component-F1和64.83的Relation-F1。</w:t>
      </w:r>
    </w:p>
    <w:bookmarkEnd w:id="75"/>
    <w:bookmarkEnd w:id="76"/>
    <w:bookmarkStart w:id="82" w:name="第五章-端到端论辩挖掘的跨领域泛化性分析与适配"/>
    <w:p>
      <w:pPr>
        <w:pStyle w:val="Heading2"/>
      </w:pPr>
      <w:r>
        <w:t xml:space="preserve">第五章 端到端论辩挖掘的跨领域泛化性分析与适配</w:t>
      </w:r>
    </w:p>
    <w:p>
      <w:pPr>
        <w:pStyle w:val="FirstParagraph"/>
      </w:pPr>
      <w:r>
        <w:t xml:space="preserve">本章系统分析MCR-BR联合框架在跨领域场景下的泛化能力。</w:t>
      </w:r>
    </w:p>
    <w:bookmarkStart w:id="77" w:name="跨领域论辩图谱异构性挑战"/>
    <w:p>
      <w:pPr>
        <w:pStyle w:val="Heading3"/>
      </w:pPr>
      <w:r>
        <w:t xml:space="preserve">5.1 跨领域论辩图谱异构性挑战</w:t>
      </w:r>
    </w:p>
    <w:p>
      <w:pPr>
        <w:pStyle w:val="FirstParagraph"/>
      </w:pPr>
      <w:r>
        <w:t xml:space="preserve">AAEC（学术论文）和CDCP（电子政务评论）在组件类型体系（3类vs.5类）、图结构拓扑（树状vs.非树状）和语言风格上存在显著差异，构成跨领域迁移的核心挑战。</w:t>
      </w:r>
    </w:p>
    <w:bookmarkEnd w:id="77"/>
    <w:bookmarkStart w:id="78" w:name="粗粒度论辩图谱映射机制"/>
    <w:p>
      <w:pPr>
        <w:pStyle w:val="Heading3"/>
      </w:pPr>
      <w:r>
        <w:t xml:space="preserve">5.2 粗粒度论辩图谱映射机制</w:t>
      </w:r>
    </w:p>
    <w:p>
      <w:pPr>
        <w:pStyle w:val="FirstParagraph"/>
      </w:pPr>
      <w:r>
        <w:t xml:space="preserve">设计二分类归约策略，将所有组件映射为”claim”（MajorClaim、Claim、Policy、Value）和”premise”（Premise、Fact、Testimony、Reference）两个通用类别，实现跨领域结构对齐。</w:t>
      </w:r>
    </w:p>
    <w:bookmarkEnd w:id="78"/>
    <w:bookmarkStart w:id="79" w:name="联合框架的领域泛化机理分析"/>
    <w:p>
      <w:pPr>
        <w:pStyle w:val="Heading3"/>
      </w:pPr>
      <w:r>
        <w:t xml:space="preserve">5.3 联合框架的领域泛化机理分析</w:t>
      </w:r>
    </w:p>
    <w:p>
      <w:pPr>
        <w:pStyle w:val="FirstParagraph"/>
      </w:pPr>
      <w:r>
        <w:t xml:space="preserve">框架的泛化能力源于：（1）结论组件优化学习的是论辩结构”锚点”的通用功能表示；（2）一致性评分基于结构完整性、语义连贯性和格式有效性三个领域无关维度；（3）有界修正依据普适的图结构约束进行错误修复。</w:t>
      </w:r>
    </w:p>
    <w:bookmarkEnd w:id="79"/>
    <w:bookmarkStart w:id="80" w:name="跨领域迁移实验与鲁棒性分析"/>
    <w:p>
      <w:pPr>
        <w:pStyle w:val="Heading3"/>
      </w:pPr>
      <w:r>
        <w:t xml:space="preserve">5.4 跨领域迁移实验与鲁棒性分析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模型配置</w:t>
            </w:r>
          </w:p>
        </w:tc>
        <w:tc>
          <w:tcPr/>
          <w:p>
            <w:pPr>
              <w:pStyle w:val="Compact"/>
              <w:jc w:val="left"/>
            </w:pPr>
            <w:r>
              <w:t xml:space="preserve">Coarse Comp-F1</w:t>
            </w:r>
          </w:p>
        </w:tc>
        <w:tc>
          <w:tcPr/>
          <w:p>
            <w:pPr>
              <w:pStyle w:val="Compact"/>
              <w:jc w:val="left"/>
            </w:pPr>
            <w:r>
              <w:t xml:space="preserve">Link-F1</w:t>
            </w:r>
          </w:p>
        </w:tc>
      </w:tr>
      <w:tr>
        <w:tc>
          <w:tcPr/>
          <w:p>
            <w:pPr>
              <w:pStyle w:val="Compact"/>
              <w:jc w:val="left"/>
            </w:pPr>
            <w:r>
              <w:t xml:space="preserve">FLAN T5-XXL (zero-shot)</w:t>
            </w:r>
          </w:p>
        </w:tc>
        <w:tc>
          <w:tcPr/>
          <w:p>
            <w:pPr>
              <w:pStyle w:val="Compact"/>
              <w:jc w:val="left"/>
            </w:pPr>
            <w:r>
              <w:t xml:space="preserve">52.34</w:t>
            </w:r>
          </w:p>
        </w:tc>
        <w:tc>
          <w:tcPr/>
          <w:p>
            <w:pPr>
              <w:pStyle w:val="Compact"/>
              <w:jc w:val="left"/>
            </w:pPr>
            <w:r>
              <w:t xml:space="preserve">31.25</w:t>
            </w:r>
          </w:p>
        </w:tc>
      </w:tr>
      <w:tr>
        <w:tc>
          <w:tcPr/>
          <w:p>
            <w:pPr>
              <w:pStyle w:val="Compact"/>
              <w:jc w:val="left"/>
            </w:pPr>
            <w:r>
              <w:rPr>
                <w:bCs/>
                <w:b/>
              </w:rPr>
              <w:t xml:space="preserve">MCR-BR (Full)</w:t>
            </w:r>
          </w:p>
        </w:tc>
        <w:tc>
          <w:tcPr/>
          <w:p>
            <w:pPr>
              <w:pStyle w:val="Compact"/>
              <w:jc w:val="left"/>
            </w:pPr>
            <w:r>
              <w:rPr>
                <w:bCs/>
                <w:b/>
              </w:rPr>
              <w:t xml:space="preserve">60.78</w:t>
            </w:r>
          </w:p>
        </w:tc>
        <w:tc>
          <w:tcPr/>
          <w:p>
            <w:pPr>
              <w:pStyle w:val="Compact"/>
              <w:jc w:val="left"/>
            </w:pPr>
            <w:r>
              <w:rPr>
                <w:bCs/>
                <w:b/>
              </w:rPr>
              <w:t xml:space="preserve">43.21</w:t>
            </w:r>
          </w:p>
        </w:tc>
      </w:tr>
    </w:tbl>
    <w:p>
      <w:pPr>
        <w:pStyle w:val="BodyText"/>
      </w:pPr>
      <w:r>
        <w:t xml:space="preserve">完整框架在零样本设置下的Link-F1比基线提升11.96点。少样本实验表明5个样本即可带来3-4个点的性能增益。跨领域场景下修正触发率上升至51.3%，RemoveEdge占比增至31.2%，但框架仍能在有界预算内完成有效修复。</w:t>
      </w:r>
    </w:p>
    <w:bookmarkEnd w:id="80"/>
    <w:bookmarkStart w:id="81" w:name="本章小结-3"/>
    <w:p>
      <w:pPr>
        <w:pStyle w:val="Heading3"/>
      </w:pPr>
      <w:r>
        <w:t xml:space="preserve">5.5 本章小结</w:t>
      </w:r>
    </w:p>
    <w:p>
      <w:pPr>
        <w:pStyle w:val="FirstParagraph"/>
      </w:pPr>
      <w:r>
        <w:t xml:space="preserve">本章验证了MCR-BR框架的跨领域泛化能力，证明该框架不依赖于领域特定的表面模式，而是通过结构一致性约束学习到了具有普适性的论辩结构知识。</w:t>
      </w:r>
    </w:p>
    <w:bookmarkEnd w:id="81"/>
    <w:bookmarkEnd w:id="82"/>
    <w:bookmarkStart w:id="85" w:name="第六章-总结与展望"/>
    <w:p>
      <w:pPr>
        <w:pStyle w:val="Heading2"/>
      </w:pPr>
      <w:r>
        <w:t xml:space="preserve">第六章 总结与展望</w:t>
      </w:r>
    </w:p>
    <w:bookmarkStart w:id="83" w:name="工作总结"/>
    <w:p>
      <w:pPr>
        <w:pStyle w:val="Heading3"/>
      </w:pPr>
      <w:r>
        <w:t xml:space="preserve">6.1 工作总结</w:t>
      </w:r>
    </w:p>
    <w:p>
      <w:pPr>
        <w:pStyle w:val="FirstParagraph"/>
      </w:pPr>
      <w:r>
        <w:t xml:space="preserve">本文针对大语言模型在端到端论辩挖掘任务中面临的错误传播、结论组件提取瓶颈和跨领域泛化三个关键问题，提出了MCR-BR（多候选重排序与有界修正）框架，取得了以下主要成果：</w:t>
      </w:r>
    </w:p>
    <w:p>
      <w:pPr>
        <w:pStyle w:val="BodyText"/>
      </w:pPr>
      <w:r>
        <w:rPr>
          <w:bCs/>
          <w:b/>
        </w:rPr>
        <w:t xml:space="preserve">第一，提出了融合大模型数据增强的结论性组件提取优化方法</w:t>
      </w:r>
      <w:r>
        <w:t xml:space="preserve">。通过结构感知数据增强策略将MajorClaim样本量提升150%，设计Claim-specific Adapter和Cue-aware Soft Prompting表示增强机制，结合多目标训练策略，在AAEC数据集上为MajorClaim和Claim分别带来了2.52分和2.21分的F1提升。</w:t>
      </w:r>
    </w:p>
    <w:p>
      <w:pPr>
        <w:pStyle w:val="BodyText"/>
      </w:pPr>
      <w:r>
        <w:rPr>
          <w:bCs/>
          <w:b/>
        </w:rPr>
        <w:t xml:space="preserve">第二，提出了基于多候选评估与有界修正的论辩图生成方法</w:t>
      </w:r>
      <w:r>
        <w:t xml:space="preserve">。MCR模块通过综合评分函数</w:t>
      </w:r>
      <m:oMath>
        <m:r>
          <m:t>E</m:t>
        </m:r>
        <m:d>
          <m:dPr>
            <m:begChr m:val="("/>
            <m:endChr m:val=")"/>
            <m:sepChr m:val=""/>
            <m:grow/>
          </m:dPr>
          <m:e>
            <m:sSub>
              <m:e>
                <m:r>
                  <m:t>S</m:t>
                </m:r>
              </m:e>
              <m:sub>
                <m:r>
                  <m:t>k</m:t>
                </m:r>
              </m:sub>
            </m:sSub>
          </m:e>
        </m:d>
        <m:r>
          <m:rPr>
            <m:sty m:val="p"/>
          </m:rPr>
          <m:t>=</m:t>
        </m:r>
        <m:r>
          <m:t>α</m:t>
        </m:r>
        <m:sSub>
          <m:e>
            <m:r>
              <m:t>E</m:t>
            </m:r>
          </m:e>
          <m:sub>
            <m:r>
              <m:t>d</m:t>
            </m:r>
            <m:r>
              <m:t>e</m:t>
            </m:r>
            <m:r>
              <m:t>n</m:t>
            </m:r>
            <m:r>
              <m:t>s</m:t>
            </m:r>
          </m:sub>
        </m:sSub>
        <m:r>
          <m:rPr>
            <m:sty m:val="p"/>
          </m:rPr>
          <m:t>+</m:t>
        </m:r>
        <m:r>
          <m:t>β</m:t>
        </m:r>
        <m:sSub>
          <m:e>
            <m:r>
              <m:t>E</m:t>
            </m:r>
          </m:e>
          <m:sub>
            <m:r>
              <m:t>c</m:t>
            </m:r>
            <m:r>
              <m:t>o</m:t>
            </m:r>
            <m:r>
              <m:t>h</m:t>
            </m:r>
          </m:sub>
        </m:sSub>
        <m:r>
          <m:rPr>
            <m:sty m:val="p"/>
          </m:rPr>
          <m:t>+</m:t>
        </m:r>
        <m:r>
          <m:t>γ</m:t>
        </m:r>
        <m:sSub>
          <m:e>
            <m:r>
              <m:t>E</m:t>
            </m:r>
          </m:e>
          <m:sub>
            <m:r>
              <m:t>v</m:t>
            </m:r>
            <m:r>
              <m:t>a</m:t>
            </m:r>
            <m:r>
              <m:t>l</m:t>
            </m:r>
          </m:sub>
        </m:sSub>
      </m:oMath>
      <w:r>
        <w:t xml:space="preserve">进行一致性评估，BR算法通过四种修复操作主动修正结构异常。框架在AAEC数据集上达到83.71的Component-F1和64.83的Relation-F1，有界修正将硬性错误从18.5%降至2.1%。</w:t>
      </w:r>
    </w:p>
    <w:p>
      <w:pPr>
        <w:pStyle w:val="BodyText"/>
      </w:pPr>
      <w:r>
        <w:rPr>
          <w:bCs/>
          <w:b/>
        </w:rPr>
        <w:t xml:space="preserve">第三，验证了框架的跨领域泛化能力</w:t>
      </w:r>
      <w:r>
        <w:t xml:space="preserve">。通过粗粒度映射机制实现领域间结构对齐，在AAEC→CDCP零样本迁移中Link-F1提升11.96点，证明框架学习到了领域无关的论辩结构知识。</w:t>
      </w:r>
    </w:p>
    <w:p>
      <w:pPr>
        <w:pStyle w:val="BodyText"/>
      </w:pPr>
      <w:r>
        <w:t xml:space="preserve">本文的主要学术贡献包括：（1）范式创新——从单次生成到结构恢复；（2）结论组件优化——三位一体的优化方案；（3）推理时修复——有界的主动修正机制；（4）泛化验证——跨领域鲁棒性分析。</w:t>
      </w:r>
    </w:p>
    <w:bookmarkEnd w:id="83"/>
    <w:bookmarkStart w:id="84" w:name="研究不足与未来展望"/>
    <w:p>
      <w:pPr>
        <w:pStyle w:val="Heading3"/>
      </w:pPr>
      <w:r>
        <w:t xml:space="preserve">6.2 研究不足与未来展望</w:t>
      </w:r>
    </w:p>
    <w:p>
      <w:pPr>
        <w:pStyle w:val="FirstParagraph"/>
      </w:pPr>
      <w:r>
        <w:t xml:space="preserve">尽管本文取得了一定成果，仍存在以下不足和改进方向：</w:t>
      </w:r>
    </w:p>
    <w:p>
      <w:pPr>
        <w:pStyle w:val="BodyText"/>
      </w:pPr>
      <w:r>
        <w:rPr>
          <w:bCs/>
          <w:b/>
        </w:rPr>
        <w:t xml:space="preserve">第一，计算效率有待优化</w:t>
      </w:r>
      <w:r>
        <w:t xml:space="preserve">。多候选生成和验证器评分带来约3-4倍的推理开销，未来可探索知识蒸馏、候选剪枝等效率优化技术。</w:t>
      </w:r>
    </w:p>
    <w:p>
      <w:pPr>
        <w:pStyle w:val="BodyText"/>
      </w:pPr>
      <w:r>
        <w:rPr>
          <w:bCs/>
          <w:b/>
        </w:rPr>
        <w:t xml:space="preserve">第二，评分机制的理论基础有待深化</w:t>
      </w:r>
      <w:r>
        <w:t xml:space="preserve">。当前评分函数的权重参数基于经验设定，未来可探索可学习的评分机制或基于强化学习的候选选择策略。</w:t>
      </w:r>
    </w:p>
    <w:p>
      <w:pPr>
        <w:pStyle w:val="BodyText"/>
      </w:pPr>
      <w:r>
        <w:rPr>
          <w:bCs/>
          <w:b/>
        </w:rPr>
        <w:t xml:space="preserve">第三，长文本处理能力有限</w:t>
      </w:r>
      <w:r>
        <w:t xml:space="preserve">。当前方法主要在文章级文本上验证，对于书籍、法律判决书等更长文本的处理能力有待探索。</w:t>
      </w:r>
    </w:p>
    <w:p>
      <w:pPr>
        <w:pStyle w:val="BodyText"/>
      </w:pPr>
      <w:r>
        <w:rPr>
          <w:bCs/>
          <w:b/>
        </w:rPr>
        <w:t xml:space="preserve">第四，多语言扩展</w:t>
      </w:r>
      <w:r>
        <w:t xml:space="preserve">。当前工作主要在英文数据集上验证，未来可探索中文等其他语言的论辩挖掘任务。</w:t>
      </w:r>
    </w:p>
    <w:p>
      <w:pPr>
        <w:pStyle w:val="BodyText"/>
      </w:pPr>
      <w:r>
        <w:rPr>
          <w:bCs/>
          <w:b/>
        </w:rPr>
        <w:t xml:space="preserve">第五，与知识图谱的结合</w:t>
      </w:r>
      <w:r>
        <w:t xml:space="preserve">。引入外部知识增强论辩组件的识别和关系推理能力，是提升系统性能的潜在方向。</w:t>
      </w:r>
    </w:p>
    <w:p>
      <w:pPr>
        <w:pStyle w:val="BodyText"/>
      </w:pPr>
      <w:r>
        <w:rPr>
          <w:bCs/>
          <w:b/>
        </w:rPr>
        <w:t xml:space="preserve">第六，人机协作机制</w:t>
      </w:r>
      <w:r>
        <w:t xml:space="preserve">。设计人机协作的论辩挖掘工作流，利用人类反馈进一步提升系统的实用性，是重要的应用研究方向。</w:t>
      </w:r>
    </w:p>
    <w:bookmarkEnd w:id="84"/>
    <w:bookmarkEnd w:id="85"/>
    <w:bookmarkStart w:id="86" w:name="参考文献"/>
    <w:p>
      <w:pPr>
        <w:pStyle w:val="Heading2"/>
      </w:pPr>
      <w:r>
        <w:t xml:space="preserve">参考文献</w:t>
      </w:r>
    </w:p>
    <w:p>
      <w:pPr>
        <w:pStyle w:val="FirstParagraph"/>
      </w:pPr>
      <w:r>
        <w:t xml:space="preserve">[1] Computational Linguistics, 2017. Parsing argumentation structures in persuasive essays. https://aclanthology.org/J17-3005/</w:t>
      </w:r>
    </w:p>
    <w:p>
      <w:pPr>
        <w:pStyle w:val="BodyText"/>
      </w:pPr>
      <w:r>
        <w:t xml:space="preserve">[2] Aristotle. Rhetoric. Translated by W. Rhys Roberts, 1924.</w:t>
      </w:r>
    </w:p>
    <w:p>
      <w:pPr>
        <w:pStyle w:val="BodyText"/>
      </w:pPr>
      <w:r>
        <w:t xml:space="preserve">[3] Toulmin, S. E., 1958. The Uses of Argument. Cambridge University Press.</w:t>
      </w:r>
    </w:p>
    <w:p>
      <w:pPr>
        <w:pStyle w:val="BodyText"/>
      </w:pPr>
      <w:r>
        <w:t xml:space="preserve">[4] ACL Anthology, 2019. Argument mining: A survey. https://aclanthology.org/J19-4006/</w:t>
      </w:r>
    </w:p>
    <w:p>
      <w:pPr>
        <w:pStyle w:val="BodyText"/>
      </w:pPr>
      <w:r>
        <w:t xml:space="preserve">[5] Dung, P. M., 1995. On the acceptability of arguments and its fundamental role in nonmonotonic reasoning. Artificial Intelligence, 77(2), 321-357.</w:t>
      </w:r>
    </w:p>
    <w:p>
      <w:pPr>
        <w:pStyle w:val="BodyText"/>
      </w:pPr>
      <w:r>
        <w:t xml:space="preserve">[6] ACL Anthology, 2024. Discourse structure-aware prefix for generation-based end-to-end argumentation mining. https://aclanthology.org/2024.findings-acl.689/</w:t>
      </w:r>
    </w:p>
    <w:p>
      <w:pPr>
        <w:pStyle w:val="BodyText"/>
      </w:pPr>
      <w:r>
        <w:t xml:space="preserve">[7] ACL Anthology, 2023. ORCHID: A Chinese debate corpus for target-independent stance detection. https://aclanthology.org/2023.emnlp-main.582/</w:t>
      </w:r>
    </w:p>
    <w:p>
      <w:pPr>
        <w:pStyle w:val="BodyText"/>
      </w:pPr>
      <w:r>
        <w:t xml:space="preserve">[8] ACL Anthology, 2020. Towards better non-tree argument mining: Proposition-level biaffine parsing. https://aclanthology.org/2020.acl-main.298/</w:t>
      </w:r>
    </w:p>
    <w:p>
      <w:pPr>
        <w:pStyle w:val="BodyText"/>
      </w:pPr>
      <w:r>
        <w:t xml:space="preserve">[9] IEEE Xplore, 2022. Argument mining using BERT and self-attention based embeddings. https://ieeexplore.ieee.org/abstract/document/10074559/</w:t>
      </w:r>
    </w:p>
    <w:p>
      <w:pPr>
        <w:pStyle w:val="BodyText"/>
      </w:pPr>
      <w:r>
        <w:t xml:space="preserve">[10] Computational Linguistics, 2017. Parsing Argumentative Structures in Persuasive Essays. https://aclanthology.org/J17-1005/</w:t>
      </w:r>
    </w:p>
    <w:p>
      <w:pPr>
        <w:pStyle w:val="BodyText"/>
      </w:pPr>
      <w:r>
        <w:t xml:space="preserve">[11] ScienceDirect, 2021. Transformed: End-to-end transformers for evidence-based medicine. https://www.sciencedirect.com/science/article/pii/S1532046421000964</w:t>
      </w:r>
    </w:p>
    <w:p>
      <w:pPr>
        <w:pStyle w:val="BodyText"/>
      </w:pPr>
      <w:r>
        <w:t xml:space="preserve">[12] ScienceDirect, 2021. AbstRCT: A dataset for argument mining in medical literature. https://www.sciencedirect.com/science/article/pii/S1532046421000964</w:t>
      </w:r>
    </w:p>
    <w:p>
      <w:pPr>
        <w:pStyle w:val="BodyText"/>
      </w:pPr>
      <w:r>
        <w:t xml:space="preserve">[13] Nature, 2021. Project Debater: An AI system that can debate humans. https://www.nature.com/articles/s41586-021-03215-w</w:t>
      </w:r>
    </w:p>
    <w:p>
      <w:pPr>
        <w:pStyle w:val="BodyText"/>
      </w:pPr>
      <w:r>
        <w:t xml:space="preserve">[14] ACL Anthology, 2017. Neural end-to-end learning for computational argumentation mining. https://aclanthology.org/P17-1002/</w:t>
      </w:r>
    </w:p>
    <w:p>
      <w:pPr>
        <w:pStyle w:val="BodyText"/>
      </w:pPr>
      <w:r>
        <w:t xml:space="preserve">[15] ACL Anthology, 2024. Argument mining as a text-to-text generation task. https://aclanthology.org/2024.eacl-long.121/</w:t>
      </w:r>
    </w:p>
    <w:p>
      <w:pPr>
        <w:pStyle w:val="BodyText"/>
      </w:pPr>
      <w:r>
        <w:t xml:space="preserve">[16] ACL Anthology, 2022. IAM: A comprehensive and large-scale dataset for integrated argument mining. https://aclanthology.org/2022.acl-long.162/</w:t>
      </w:r>
    </w:p>
    <w:p>
      <w:pPr>
        <w:pStyle w:val="BodyText"/>
      </w:pPr>
      <w:r>
        <w:t xml:space="preserve">[17] ACL Anthology, 2018. A corpus of erulemaking user comments for measuring evaluability. https://aclanthology.org/L18-1257.pdf</w:t>
      </w:r>
    </w:p>
    <w:p>
      <w:pPr>
        <w:pStyle w:val="BodyText"/>
      </w:pPr>
      <w:r>
        <w:t xml:space="preserve">[18] arXiv, 2023. Large language models cannot self-correct reasoning yet. https://arxiv.org/abs/2310.01798</w:t>
      </w:r>
    </w:p>
    <w:p>
      <w:pPr>
        <w:pStyle w:val="BodyText"/>
      </w:pPr>
      <w:r>
        <w:t xml:space="preserve">[19] NeurIPS, 2022. Chain-of-Thought Prompting Elicits Reasoning in Large Language Models. https://proceedings.neurips.cc/paper_files/paper/2022/hash/8bb0d291acd4aaef147ee3674a74748f-Abstract-Conference.html</w:t>
      </w:r>
    </w:p>
    <w:p>
      <w:pPr>
        <w:pStyle w:val="BodyText"/>
      </w:pPr>
      <w:r>
        <w:t xml:space="preserve">[20] ACL Anthology, 2024. Argument mining as a text-to-text generation task. https://aclanthology.org/2024.eacl-long.121/</w:t>
      </w:r>
    </w:p>
    <w:p>
      <w:pPr>
        <w:pStyle w:val="BodyText"/>
      </w:pPr>
      <w:r>
        <w:t xml:space="preserve">[21] arXiv, 2021. Finetuned language models are zero-shot learners. https://arxiv.org/abs/2109.01652</w:t>
      </w:r>
    </w:p>
    <w:p>
      <w:pPr>
        <w:pStyle w:val="BodyText"/>
      </w:pPr>
      <w:r>
        <w:t xml:space="preserve">[22] NeurIPS, 2022. Training language models to follow instructions with human feedback. https://proceedings.neurips.cc/paper/2022/hash/b1efde53be364a73914f58805a001731-Abstract.html</w:t>
      </w:r>
    </w:p>
    <w:p>
      <w:pPr>
        <w:pStyle w:val="BodyText"/>
      </w:pPr>
      <w:r>
        <w:t xml:space="preserve">[23] NeurIPS, 2022. Chain-of-thought prompting elicits reasoning in large language models. https://proceedings.neurips.cc/paper/2022/hash/9d5609613524ecf4f15af0f7b31abca4-Abstract-Conference.html</w:t>
      </w:r>
    </w:p>
    <w:p>
      <w:pPr>
        <w:pStyle w:val="BodyText"/>
      </w:pPr>
      <w:r>
        <w:t xml:space="preserve">[24] arXiv, 2024. The prompt report: A systematic survey of prompt engineering techniques. https://arxiv.org/abs/2406.06608</w:t>
      </w:r>
    </w:p>
    <w:p>
      <w:pPr>
        <w:pStyle w:val="BodyText"/>
      </w:pPr>
      <w:r>
        <w:t xml:space="preserve">[25] ACL Anthology, 2023. Grammar-constrained decoding for structured NLP tasks without finetuning. https://aclanthology.org/2023.emnlp-main.674/</w:t>
      </w:r>
    </w:p>
    <w:p>
      <w:pPr>
        <w:pStyle w:val="BodyText"/>
      </w:pPr>
      <w:r>
        <w:t xml:space="preserve">[26] arXiv, 2025. Flexible and efficient grammar-constrained decoding. https://arxiv.org/abs/2502.05111</w:t>
      </w:r>
    </w:p>
    <w:p>
      <w:pPr>
        <w:pStyle w:val="BodyText"/>
      </w:pPr>
      <w:r>
        <w:t xml:space="preserve">[27] arXiv, 2021. LoRA: Low-Rank Adaptation of Large Language Models. https://arxiv.org/abs/2106.09685</w:t>
      </w:r>
    </w:p>
    <w:p>
      <w:pPr>
        <w:pStyle w:val="BodyText"/>
      </w:pPr>
      <w:r>
        <w:t xml:space="preserve">[28] AAAI, 2023. Label-specific feature augmentation for long-tailed multi-label text classification. https://ojs.aaai.org/index.php/AAAI/article/view/26259</w:t>
      </w:r>
    </w:p>
    <w:p>
      <w:pPr>
        <w:pStyle w:val="BodyText"/>
      </w:pPr>
      <w:r>
        <w:t xml:space="preserve">[29] arXiv, 2023. Large language models cannot self-correct reasoning yet. https://arxiv.org/abs/2310.01798</w:t>
      </w:r>
    </w:p>
    <w:p>
      <w:pPr>
        <w:pStyle w:val="BodyText"/>
      </w:pPr>
      <w:r>
        <w:t xml:space="preserve">[30] NeurIPS, 2023. Self-refine: Iterative refinement with self-feedback. https://proceedings.neurips.cc/paper_files/paper/2023/hash/91edff07232fb1b55a505a9e9f6c0ff3-Abstract-Conference.html</w:t>
      </w:r>
    </w:p>
    <w:p>
      <w:pPr>
        <w:pStyle w:val="BodyText"/>
      </w:pPr>
      <w:r>
        <w:t xml:space="preserve">[31] arXiv, 2023. Large language models cannot self-correct reasoning yet. https://arxiv.org/abs/2310.01798</w:t>
      </w:r>
    </w:p>
    <w:p>
      <w:pPr>
        <w:pStyle w:val="BodyText"/>
      </w:pPr>
      <w:r>
        <w:t xml:space="preserve">[32] Palau, R. M., &amp; Moens, M. F., 2009. Argumentation mining: the detection, classification and structure of arguments in text. ICAIL.</w:t>
      </w:r>
    </w:p>
    <w:p>
      <w:pPr>
        <w:pStyle w:val="BodyText"/>
      </w:pPr>
      <w:r>
        <w:t xml:space="preserve">[33] Rooney, N., Wang, H., &amp; Browne, F., 2012. Applying kernel methods to argumentation mining. FLAIRS.</w:t>
      </w:r>
    </w:p>
    <w:p>
      <w:pPr>
        <w:pStyle w:val="BodyText"/>
      </w:pPr>
      <w:r>
        <w:t xml:space="preserve">[34] Stab, C., &amp; Gurevych, I., 2014. Identifying argumentative discourse structures in persuasive essays. EMNLP.</w:t>
      </w:r>
    </w:p>
    <w:p>
      <w:pPr>
        <w:pStyle w:val="BodyText"/>
      </w:pPr>
      <w:r>
        <w:t xml:space="preserve">[35] ACL Anthology, 2019. Argument mining: A survey. https://aclanthology.org/J19-4006/</w:t>
      </w:r>
    </w:p>
    <w:p>
      <w:pPr>
        <w:pStyle w:val="BodyText"/>
      </w:pPr>
      <w:r>
        <w:t xml:space="preserve">[36] arXiv, 2025. Large language models in argument mining: A survey. https://arxiv.org/abs/2506.16383</w:t>
      </w:r>
    </w:p>
    <w:p>
      <w:pPr>
        <w:pStyle w:val="BodyText"/>
      </w:pPr>
      <w:r>
        <w:t xml:space="preserve">[37] IEEE Xplore, 2022. Argument mining using BERT and self-attention based embeddings. https://ieeexplore.ieee.org/abstract/document/10074559/</w:t>
      </w:r>
    </w:p>
    <w:p>
      <w:pPr>
        <w:pStyle w:val="BodyText"/>
      </w:pPr>
      <w:r>
        <w:t xml:space="preserve">[38] ACL Anthology, 2017. Neural end-to-end learning for computational argumentation mining. https://aclanthology.org/P17-1002/</w:t>
      </w:r>
    </w:p>
    <w:p>
      <w:pPr>
        <w:pStyle w:val="BodyText"/>
      </w:pPr>
      <w:r>
        <w:t xml:space="preserve">[39] ACL Anthology, 2020. Towards better non-tree argument mining. https://aclanthology.org/2020.acl-main.298/</w:t>
      </w:r>
    </w:p>
    <w:p>
      <w:pPr>
        <w:pStyle w:val="BodyText"/>
      </w:pPr>
      <w:r>
        <w:t xml:space="preserve">[40] ACL Anthology, 2024. Discourse structure-aware prefix for generation-based end-to-end argumentation mining. https://aclanthology.org/2024.findings-acl.689/</w:t>
      </w:r>
    </w:p>
    <w:p>
      <w:pPr>
        <w:pStyle w:val="BodyText"/>
      </w:pPr>
      <w:r>
        <w:t xml:space="preserve">[41] ACL Anthology, 2018. A corpus of erulemaking user comments. https://aclanthology.org/L18-1257.pdf</w:t>
      </w:r>
    </w:p>
    <w:p>
      <w:pPr>
        <w:pStyle w:val="BodyText"/>
      </w:pPr>
      <w:r>
        <w:t xml:space="preserve">[42] Springer, 2024. Overview of the NLPCC 2024 Shared Task 5: Argument Mining for Chinese Argumentative Essay. https://link.springer.com/chapter/10.1007/978-981-97-9443-0_18</w:t>
      </w:r>
    </w:p>
    <w:p>
      <w:pPr>
        <w:pStyle w:val="BodyText"/>
      </w:pPr>
      <w:r>
        <w:t xml:space="preserve">[43] ACL Anthology, 2023. ORCHID: A Chinese debate corpus. https://aclanthology.org/2023.emnlp-main.582/</w:t>
      </w:r>
    </w:p>
    <w:p>
      <w:pPr>
        <w:pStyle w:val="BodyText"/>
      </w:pPr>
      <w:r>
        <w:t xml:space="preserve">[44] ACL Anthology, 2022. IAM: A comprehensive and large-scale dataset for integrated argument mining. https://aclanthology.org/2022.acl-long.162/</w:t>
      </w:r>
    </w:p>
    <w:p>
      <w:pPr>
        <w:pStyle w:val="BodyText"/>
      </w:pPr>
      <w:r>
        <w:t xml:space="preserve">[45] Springer, 2024. Enhancing Chinese Argument Mining with Large Language Model. https://link.springer.com/chapter/10.1007/978-981-97-9443-0_40</w:t>
      </w:r>
    </w:p>
    <w:p>
      <w:pPr>
        <w:pStyle w:val="BodyText"/>
      </w:pPr>
      <w:r>
        <w:t xml:space="preserve">[46] ACL Anthology, 2024. Data augmentation using LLMs: Data perspectives and challenges. https://aclanthology.org/2024.findings-acl.97/</w:t>
      </w:r>
    </w:p>
    <w:p>
      <w:pPr>
        <w:pStyle w:val="BodyText"/>
      </w:pPr>
      <w:r>
        <w:t xml:space="preserve">[47] arXiv, 2023. Universal self-consistency for large language model generation. https://arxiv.org/abs/2311.17311</w:t>
      </w:r>
    </w:p>
    <w:p>
      <w:pPr>
        <w:pStyle w:val="BodyText"/>
      </w:pPr>
      <w:r>
        <w:t xml:space="preserve">[48] ACL Anthology, 2024. Data augmentation using LLMs. https://aclanthology.org/2024.findings-acl.97/</w:t>
      </w:r>
    </w:p>
    <w:p>
      <w:pPr>
        <w:pStyle w:val="BodyText"/>
      </w:pPr>
      <w:r>
        <w:t xml:space="preserve">[49] ACL Anthology, 2024. Coda: Constrained generation based data augmentation. https://aclanthology.org/2024.findings-naacl.238/</w:t>
      </w:r>
    </w:p>
    <w:p>
      <w:pPr>
        <w:pStyle w:val="BodyText"/>
      </w:pPr>
      <w:r>
        <w:t xml:space="preserve">[50] IEEE TPAMI, 2023. Deep long-tailed learning: A survey. https://ieeexplore.ieee.org/abstract/document/10105457/</w:t>
      </w:r>
    </w:p>
    <w:p>
      <w:pPr>
        <w:pStyle w:val="BodyText"/>
      </w:pPr>
      <w:r>
        <w:t xml:space="preserve">[51] arXiv, 2023. Segmix: A simple structure-aware data augmentation method. https://arxiv.org/abs/2311.09505</w:t>
      </w:r>
    </w:p>
    <w:p>
      <w:pPr>
        <w:pStyle w:val="BodyText"/>
      </w:pPr>
      <w:r>
        <w:t xml:space="preserve">[52] AAAI, 2026. DEALT: LLM-driven Diversity-Enhanced Data Augmentation. https://ojs.aaai.org/index.php/AAAI/article/view/40508</w:t>
      </w:r>
    </w:p>
    <w:p>
      <w:pPr>
        <w:pStyle w:val="BodyText"/>
      </w:pPr>
      <w:r>
        <w:t xml:space="preserve">[53] arXiv, 2024. Confidence matters: Revisiting intrinsic self-correction capabilities. https://arxiv.org/abs/2402.12563</w:t>
      </w:r>
    </w:p>
    <w:p>
      <w:pPr>
        <w:pStyle w:val="BodyText"/>
      </w:pPr>
      <w:r>
        <w:t xml:space="preserve">[54] ICLR, 2023. Let’s verify step by step. https://openreview.net/forum?id=v8L0pN6EOi</w:t>
      </w:r>
    </w:p>
    <w:p>
      <w:pPr>
        <w:pStyle w:val="BodyText"/>
      </w:pPr>
      <w:r>
        <w:t xml:space="preserve">[55] arXiv, 2025. LM4Opt-RA: A Multi-Candidate LLM Framework with Structured Ranking. https://arxiv.org/abs/2512.00039</w:t>
      </w:r>
    </w:p>
    <w:p>
      <w:pPr>
        <w:pStyle w:val="BodyText"/>
      </w:pPr>
      <w:r>
        <w:t xml:space="preserve">[56] NeurIPS, 2017. Attention is all you need. https://proceedings.neurips.cc/paper/2017/hash/3f5ee243547dee91fbd053c1c4a845aa-Abstract.html</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2026-04-14T05:22:48Z</dcterms:created>
  <dcterms:modified xsi:type="dcterms:W3CDTF">2026-04-14T05:22:48Z</dcterms:modified>
</cp:coreProperties>
</file>

<file path=docProps/custom.xml><?xml version="1.0" encoding="utf-8"?>
<Properties xmlns="http://schemas.openxmlformats.org/officeDocument/2006/custom-properties" xmlns:vt="http://schemas.openxmlformats.org/officeDocument/2006/docPropsVTypes"/>
</file>