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pPr>
      <w:r>
        <w:rPr>
          <w:rFonts w:ascii="Arial Unicode MS" w:hAnsi="Arial Unicode MS" w:eastAsia="Arial Unicode MS"/>
          <w:b/>
          <w:color w:val="000000"/>
          <w:sz w:val="32"/>
        </w:rPr>
        <w:t>第一章 绪论</w:t>
      </w:r>
    </w:p>
    <w:p>
      <w:pPr>
        <w:pStyle w:val="Heading1"/>
        <w:keepNext/>
        <w:spacing w:before="240" w:after="140"/>
      </w:pPr>
      <w:r>
        <w:rPr>
          <w:rFonts w:ascii="Arial Unicode MS" w:hAnsi="Arial Unicode MS" w:eastAsia="Arial Unicode MS"/>
          <w:color w:val="000000"/>
          <w:sz w:val="26"/>
        </w:rPr>
        <w:t>1.1 研究背景与问题提出</w:t>
      </w:r>
    </w:p>
    <w:p>
      <w:pPr>
        <w:pStyle w:val="BodyText"/>
        <w:spacing w:line="288" w:lineRule="auto" w:after="120"/>
      </w:pPr>
      <w:commentRangeStart w:id="0"/>
      <w:r>
        <w:rPr>
          <w:rFonts w:ascii="Arial Unicode MS" w:hAnsi="Arial Unicode MS" w:eastAsia="Arial Unicode MS"/>
          <w:color w:val="000000"/>
          <w:sz w:val="22"/>
        </w:rPr>
        <w:t>论辩挖掘将观点、理由及其连接方式转化为结构化对象[1]。严格抽取要求组件的原文跨度和类型正确，关系还须满足端点、方向及类别一致。组件边界一旦变化，所有引用该组件的关系身份都会随之改变。因此，组件与关系之间的依赖既影响监督能否沿用，也影响预测图能否完整修正。</w:t>
      </w:r>
      <w:commentRangeEnd w:id="0"/>
      <w:r>
        <w:rPr>
          <w:rStyle w:val="CommentReference"/>
        </w:rPr>
        <w:commentReference w:id="0"/>
      </w:r>
    </w:p>
    <w:p>
      <w:pPr>
        <w:pStyle w:val="BodyText"/>
        <w:spacing w:line="288" w:lineRule="auto" w:after="120"/>
      </w:pPr>
      <w:r>
        <w:rPr>
          <w:rFonts w:ascii="Arial Unicode MS" w:hAnsi="Arial Unicode MS" w:eastAsia="Arial Unicode MS"/>
          <w:color w:val="000000"/>
          <w:sz w:val="22"/>
        </w:rPr>
        <w:t>以AAEC训练文档essay001为例，Premise T4的原文为“What we acquired from team work is not only how to achieve the same goal with others but more importantly, how to get along with others”，标注为支持Claim T3：“through cooperation, children can learn about interpersonal skills which are significant in the future life of all students”。同文档中的T5、T6也分别支持T3。若T3的边界或类型发生变化，这三条关系都需要重新判定，不能仅凭显示编号沿用。</w:t>
      </w:r>
    </w:p>
    <w:p>
      <w:pPr>
        <w:keepNext/>
        <w:spacing w:after="40"/>
      </w:pPr>
      <w:r>
        <w:rPr>
          <w:rFonts w:ascii="Arial Unicode MS" w:hAnsi="Arial Unicode MS" w:eastAsia="Arial Unicode MS"/>
          <w:color w:val="000000"/>
        </w:rPr>
        <w:drawing>
          <wp:inline xmlns:a="http://schemas.openxmlformats.org/drawingml/2006/main" xmlns:pic="http://schemas.openxmlformats.org/drawingml/2006/picture">
            <wp:extent cx="6408420" cy="2502449"/>
            <wp:docPr id="1" name="Picture 1"/>
            <wp:cNvGraphicFramePr>
              <a:graphicFrameLocks noChangeAspect="1"/>
            </wp:cNvGraphicFramePr>
            <a:graphic>
              <a:graphicData uri="http://schemas.openxmlformats.org/drawingml/2006/picture">
                <pic:pic>
                  <pic:nvPicPr>
                    <pic:cNvPr id="0" name="rId22.png"/>
                    <pic:cNvPicPr/>
                  </pic:nvPicPr>
                  <pic:blipFill>
                    <a:blip r:embed="rId9"/>
                    <a:stretch>
                      <a:fillRect/>
                    </a:stretch>
                  </pic:blipFill>
                  <pic:spPr>
                    <a:xfrm>
                      <a:off x="0" y="0"/>
                      <a:ext cx="6408420" cy="2502449"/>
                    </a:xfrm>
                    <a:prstGeom prst="rect"/>
                  </pic:spPr>
                </pic:pic>
              </a:graphicData>
            </a:graphic>
          </wp:inline>
        </w:drawing>
      </w:r>
    </w:p>
    <w:p>
      <w:pPr>
        <w:pStyle w:val="Caption"/>
        <w:keepNext w:val="0"/>
        <w:spacing w:before="100" w:after="120"/>
      </w:pPr>
      <w:r>
        <w:rPr>
          <w:rFonts w:ascii="Arial Unicode MS" w:hAnsi="Arial Unicode MS" w:eastAsia="Arial Unicode MS"/>
          <w:color w:val="000000"/>
          <w:sz w:val="20"/>
        </w:rPr>
        <w:t>图1-1 AAEC essay001的原生关系子图；中文仅为阅读提示，评价使用附录I的英文原文和字符跨度。</w:t>
      </w:r>
    </w:p>
    <w:p>
      <w:pPr>
        <w:pStyle w:val="BodyText"/>
        <w:spacing w:line="288" w:lineRule="auto" w:after="120"/>
      </w:pPr>
      <w:r>
        <w:rPr>
          <w:rFonts w:ascii="Arial Unicode MS" w:hAnsi="Arial Unicode MS" w:eastAsia="Arial Unicode MS"/>
          <w:color w:val="000000"/>
          <w:sz w:val="22"/>
        </w:rPr>
        <w:t>训练时，局部改写若改变T3或其理由的含义，原有关系监督就可能失效；推理时，若T4被抽取为较短片段，T4→T3的严格对象身份也随之变化。前者要求判断改写后哪些监督仍可使用，后者要求同时处理组件修改与关联关系。本文围绕这两类依赖分别设计学习与修正方法，并在受控比较中评价其作用。</w:t>
      </w:r>
    </w:p>
    <w:p>
      <w:pPr>
        <w:pStyle w:val="BodyText"/>
        <w:spacing w:line="288" w:lineRule="auto" w:after="120"/>
      </w:pPr>
      <w:r>
        <w:rPr>
          <w:rFonts w:ascii="Arial Unicode MS" w:hAnsi="Arial Unicode MS" w:eastAsia="Arial Unicode MS"/>
          <w:color w:val="000000"/>
          <w:sz w:val="22"/>
        </w:rPr>
        <w:t>方法的价值由对应比较决定。第三章区分数据构造与学习目标的作用，第四章区分修改范围、共同决策与求解方式的作用，第五章再检验两阶段收益是否重叠。比较同时关注恢复、误删及资源成本，使结论对应到具体配置和适用条件。</w:t>
      </w:r>
    </w:p>
    <w:p>
      <w:pPr>
        <w:pStyle w:val="Heading1"/>
        <w:keepNext/>
        <w:spacing w:before="240" w:after="140"/>
      </w:pPr>
      <w:r>
        <w:rPr>
          <w:rFonts w:ascii="Arial Unicode MS" w:hAnsi="Arial Unicode MS" w:eastAsia="Arial Unicode MS"/>
          <w:color w:val="000000"/>
          <w:sz w:val="26"/>
        </w:rPr>
        <w:t>1.2 国内外研究现状</w:t>
      </w:r>
    </w:p>
    <w:p>
      <w:pPr>
        <w:pStyle w:val="BodyText"/>
        <w:spacing w:line="288" w:lineRule="auto" w:after="120"/>
      </w:pPr>
      <w:r>
        <w:rPr>
          <w:rFonts w:ascii="Arial Unicode MS" w:hAnsi="Arial Unicode MS" w:eastAsia="Arial Unicode MS"/>
          <w:color w:val="000000"/>
          <w:sz w:val="22"/>
        </w:rPr>
        <w:t>相关研究从组件识别逐步扩展到联合结构预测，并形成生成建模、数据增强和预测后修正等路线。本文按这些机制组织综述，重点关注输入是否包含金标组件、关系依赖如何进入模型，以及修改后如何判定结构质量。AAEC和CDCP的任务表示及评价规则统一在第二章说明。</w:t>
      </w:r>
    </w:p>
    <w:p>
      <w:pPr>
        <w:pStyle w:val="Heading2"/>
        <w:keepNext/>
        <w:spacing w:before="240" w:after="140"/>
      </w:pPr>
      <w:r>
        <w:rPr>
          <w:rFonts w:ascii="Arial Unicode MS" w:hAnsi="Arial Unicode MS" w:eastAsia="Arial Unicode MS"/>
          <w:color w:val="000000"/>
          <w:sz w:val="23"/>
        </w:rPr>
        <w:t>1.2.1 端到端论辩挖掘与生成建模</w:t>
      </w:r>
    </w:p>
    <w:p>
      <w:pPr>
        <w:pStyle w:val="BodyText"/>
        <w:spacing w:line="288" w:lineRule="auto" w:after="120"/>
      </w:pPr>
      <w:r>
        <w:rPr>
          <w:rFonts w:ascii="Arial Unicode MS" w:hAnsi="Arial Unicode MS" w:eastAsia="Arial Unicode MS"/>
          <w:color w:val="000000"/>
          <w:sz w:val="22"/>
        </w:rPr>
        <w:t>组件与关系的联合预测是端到端论辩挖掘的基础。Stab和Gurevych围绕说服性作文建立组件与关系分析方法[2]；Eger等将组件识别与论证结构预测纳入神经端到端学习框架[4]；Morio等通过双仿射解析和任务特定参数化支持非树状结构预测[5]。这些工作使组件识别、关系判断和结构约束能够在统一任务中研究，同时提示不同语料不能一律按树结构处理。</w:t>
      </w:r>
    </w:p>
    <w:p>
      <w:pPr>
        <w:pStyle w:val="BodyText"/>
        <w:spacing w:line="288" w:lineRule="auto" w:after="120"/>
      </w:pPr>
      <w:r>
        <w:rPr>
          <w:rFonts w:ascii="Arial Unicode MS" w:hAnsi="Arial Unicode MS" w:eastAsia="Arial Unicode MS"/>
          <w:color w:val="000000"/>
          <w:sz w:val="22"/>
        </w:rPr>
        <w:t>生成式方法进一步统一了多个子任务的输出接口。Kawarada等将论辩挖掘表述为文本到文本生成，为本文的直接生成式对照候选[7]。Cabessa等把组件分类、关系识别和关系分类组织为生成任务，其方法基于已有组件列表展开，评价范围与从原始文本定位跨度的设定不同[8]。AASP则以受约束的预定义动作逐步构建论辩结构，将结构信息引入自回归生成过程[9]。本文依据该工作的2025年公开预印本讨论其机制。</w:t>
      </w:r>
    </w:p>
    <w:p>
      <w:pPr>
        <w:pStyle w:val="BodyText"/>
        <w:spacing w:line="288" w:lineRule="auto" w:after="120"/>
      </w:pPr>
      <w:r>
        <w:rPr>
          <w:rFonts w:ascii="Arial Unicode MS" w:hAnsi="Arial Unicode MS" w:eastAsia="Arial Unicode MS"/>
          <w:color w:val="000000"/>
          <w:sz w:val="22"/>
        </w:rPr>
        <w:t>GMAM通过约束指针与重构位置编码生成组件和关系序列[47]，提供了处理输出依赖的一种紧凑方式。UniASA则将多种论辩结构任务统一为序列生成，并引入子任务分解的多视图学习[48]。前者适合参照结构生成机制，后者适合考察统一表示与辅助任务的作用；本文的成对学习另以同一原文及其经过检查的改写为对应单位。统一生成、辅助目标与对应约束解决的问题有所联系，其比较需要固定输入及完整对象评价，而不能仅按是否使用大模型分类。</w:t>
      </w:r>
    </w:p>
    <w:p>
      <w:pPr>
        <w:pStyle w:val="BodyText"/>
        <w:spacing w:line="288" w:lineRule="auto" w:after="120"/>
      </w:pPr>
      <w:r>
        <w:rPr>
          <w:rFonts w:ascii="Arial Unicode MS" w:hAnsi="Arial Unicode MS" w:eastAsia="Arial Unicode MS"/>
          <w:color w:val="000000"/>
          <w:sz w:val="22"/>
        </w:rPr>
        <w:t>结构与语义信号为生成提供了更具体的条件。DENIM使用篇章结构感知前缀辅助端到端预测[12]；Das等以关联组件间的关键短语表达概念联系[13]；FOL-AM利用一阶逻辑规则组织关系查询和多跳推理[14]。后两项工作以已分割组件为前提，适合用于比较关系语义建模思想，不能直接把分类分数视为严格整图抽取成绩。</w:t>
      </w:r>
    </w:p>
    <w:p>
      <w:pPr>
        <w:pStyle w:val="BodyText"/>
        <w:spacing w:line="288" w:lineRule="auto" w:after="120"/>
      </w:pPr>
      <w:r>
        <w:rPr>
          <w:rFonts w:ascii="Arial Unicode MS" w:hAnsi="Arial Unicode MS" w:eastAsia="Arial Unicode MS"/>
          <w:color w:val="000000"/>
          <w:sz w:val="22"/>
        </w:rPr>
        <w:t>组件边界仍是生成系统中的重要误差来源。Caputo等在2026年采用成对标签进行细粒度组件分割，并分析自动分割对后续分类的影响[6]。同年的ARGUS系统整合组件分割、组件分类、关系识别与分类，并连接符号求解器开展论辩框架分析[10]。结合LLM论辩挖掘综述所讨论的任务和评价差异[11]，本文将研究重点落在可独立检验的监督保持与结构恢复机制，而非模型规模或生成式接口本身。</w:t>
      </w:r>
    </w:p>
    <w:p>
      <w:pPr>
        <w:pStyle w:val="Heading2"/>
        <w:keepNext/>
        <w:spacing w:before="240" w:after="140"/>
      </w:pPr>
      <w:r>
        <w:rPr>
          <w:rFonts w:ascii="Arial Unicode MS" w:hAnsi="Arial Unicode MS" w:eastAsia="Arial Unicode MS"/>
          <w:color w:val="000000"/>
          <w:sz w:val="23"/>
        </w:rPr>
        <w:t>1.2.2 关系保持数据增强</w:t>
      </w:r>
    </w:p>
    <w:p>
      <w:pPr>
        <w:pStyle w:val="BodyText"/>
        <w:spacing w:line="288" w:lineRule="auto" w:after="120"/>
      </w:pPr>
      <w:r>
        <w:rPr>
          <w:rFonts w:ascii="Arial Unicode MS" w:hAnsi="Arial Unicode MS" w:eastAsia="Arial Unicode MS"/>
          <w:color w:val="000000"/>
          <w:sz w:val="22"/>
        </w:rPr>
        <w:t>数据增强通过改变表达扩充监督，但生成内容与原标签之间的对应需要单独检查[15]。CoDa从训练实例提取生成约束[16]，SegMix在任务相关片段上进行结构感知混合[17]。这些方法表明，增强的作用不仅取决于样本数量，也取决于生成条件和标签可靠性。</w:t>
      </w:r>
    </w:p>
    <w:p>
      <w:pPr>
        <w:pStyle w:val="BodyText"/>
        <w:spacing w:line="288" w:lineRule="auto" w:after="120"/>
      </w:pPr>
      <w:commentRangeStart w:id="1"/>
      <w:r>
        <w:rPr>
          <w:rFonts w:ascii="Arial Unicode MS" w:hAnsi="Arial Unicode MS" w:eastAsia="Arial Unicode MS"/>
          <w:color w:val="000000"/>
          <w:sz w:val="22"/>
        </w:rPr>
        <w:t>论辩挖掘中的直接近邻是质量导向合成QOS。该方法将上下文和组件组织为槽位化输入，在改写后恢复跨度并继承组件类型及关系标注；其方法节说明，论辩关系并未显式提供给生成模型，而依赖语义保持使原关系继续成立[35]。这一做法为局部改写提供了基础，也提出了一个需要继续检验的问题：哪些标签确实在改写后保持，哪些只能视为未知。</w:t>
      </w:r>
      <w:commentRangeEnd w:id="1"/>
      <w:r>
        <w:rPr>
          <w:rStyle w:val="CommentReference"/>
        </w:rPr>
        <w:commentReference w:id="1"/>
      </w:r>
    </w:p>
    <w:p>
      <w:pPr>
        <w:pStyle w:val="BodyText"/>
        <w:spacing w:line="288" w:lineRule="auto" w:after="120"/>
      </w:pPr>
      <w:r>
        <w:rPr>
          <w:rFonts w:ascii="Arial Unicode MS" w:hAnsi="Arial Unicode MS" w:eastAsia="Arial Unicode MS"/>
          <w:color w:val="000000"/>
          <w:sz w:val="22"/>
        </w:rPr>
        <w:t>QOS与同文提出的多样性导向合成DOS分别提供质量和多样性的参照[35]。本文的QOS式适配继承槽位化改写思想，不等同于原论文两种方案或完整系统的复现。2026年10月公开的对抗强化学习合成研究交替优化生成器与判别器，生成新的文本—结构标注对[49]。因此，结构质量与多样性的联合考虑已有直接近邻。本文研究的是保留原图监督的局部改写，其数据构造与学习目标分别在训练规模和下游抽取器受控的条件下比较。</w:t>
      </w:r>
    </w:p>
    <w:p>
      <w:pPr>
        <w:pStyle w:val="BodyText"/>
        <w:spacing w:line="288" w:lineRule="auto" w:after="120"/>
      </w:pPr>
      <w:r>
        <w:rPr>
          <w:rFonts w:ascii="Arial Unicode MS" w:hAnsi="Arial Unicode MS" w:eastAsia="Arial Unicode MS"/>
          <w:color w:val="000000"/>
          <w:sz w:val="22"/>
        </w:rPr>
        <w:t>关系抽取研究为这种质量控制提供了相邻思路。ConsistRE以关系条件和上下文约束组织细粒度生成[38]，CovEReD通过反事实实体替换研究文档级关系预测的一致性[37]，ODDA关注低资源条件下增强样本的质量与多样性[39]。Wang等将LLM生成样本用于联合实体关系抽取，结合一致性正则化、伪标签与迭代反馈[36]。对后一工作的认识限于出版方摘要和方法摘录，未核实的细节不用于排除性比较。</w:t>
      </w:r>
    </w:p>
    <w:p>
      <w:pPr>
        <w:pStyle w:val="BodyText"/>
        <w:spacing w:line="288" w:lineRule="auto" w:after="120"/>
      </w:pPr>
      <w:r>
        <w:rPr>
          <w:rFonts w:ascii="Arial Unicode MS" w:hAnsi="Arial Unicode MS" w:eastAsia="Arial Unicode MS"/>
          <w:color w:val="000000"/>
          <w:sz w:val="22"/>
        </w:rPr>
        <w:t>增强还可能改变模型对表面线索的依赖。话语标记补全的效果因语料而异[40]，弱监督论辩挖掘也需要处理组件边界和关系噪声[18]。因此，本文同时评价标签漂移、表达多样性、接受覆盖和训练成本，并在同一批增强样本上比较不同学习目标。关系保持作为生成与审核目标，其可靠程度由因素审核和下游任务评价共同判断。</w:t>
      </w:r>
    </w:p>
    <w:p>
      <w:pPr>
        <w:pStyle w:val="Heading2"/>
        <w:keepNext/>
        <w:spacing w:before="240" w:after="140"/>
      </w:pPr>
      <w:r>
        <w:rPr>
          <w:rFonts w:ascii="Arial Unicode MS" w:hAnsi="Arial Unicode MS" w:eastAsia="Arial Unicode MS"/>
          <w:color w:val="000000"/>
          <w:sz w:val="23"/>
        </w:rPr>
        <w:t>1.2.3 结构化预测与论辩图修正</w:t>
      </w:r>
    </w:p>
    <w:p>
      <w:pPr>
        <w:pStyle w:val="BodyText"/>
        <w:spacing w:line="288" w:lineRule="auto" w:after="120"/>
      </w:pPr>
      <w:r>
        <w:rPr>
          <w:rFonts w:ascii="Arial Unicode MS" w:hAnsi="Arial Unicode MS" w:eastAsia="Arial Unicode MS"/>
          <w:color w:val="000000"/>
          <w:sz w:val="22"/>
        </w:rPr>
        <w:t>结构化预测可以在生成时施加约束，也可以在生成后选择和修正候选。语法约束解码通过限制后继token控制输出形式[19]，AASP则把结构动作约束纳入生成过程[9]。这类约束保证的是已编码的规则，跨度是否准确、关系是否成立还需要依据文本与标注评价。</w:t>
      </w:r>
    </w:p>
    <w:p>
      <w:pPr>
        <w:pStyle w:val="BodyText"/>
        <w:spacing w:line="288" w:lineRule="auto" w:after="120"/>
      </w:pPr>
      <w:r>
        <w:rPr>
          <w:rFonts w:ascii="Arial Unicode MS" w:hAnsi="Arial Unicode MS" w:eastAsia="Arial Unicode MS"/>
          <w:color w:val="000000"/>
          <w:sz w:val="22"/>
        </w:rPr>
        <w:t>生成后修订和多候选聚合提供了另一类接口。Self-Refine利用反馈迭代修订输出[20]，自一致性通过采样多条路径聚合答案[22]。在缺乏外部反馈的推理设置中，自纠错也可能无效或降低表现[21]。论辩分析中的LLM-refine生成不同Claim、Evidence和Warrant组合，再选择分割结果[23]。上述研究支持对候选与判断过程分别分析，而不是默认更多修订必然带来收益。</w:t>
      </w:r>
    </w:p>
    <w:p>
      <w:pPr>
        <w:pStyle w:val="BodyText"/>
        <w:spacing w:line="288" w:lineRule="auto" w:after="120"/>
      </w:pPr>
      <w:r>
        <w:rPr>
          <w:rFonts w:ascii="Arial Unicode MS" w:hAnsi="Arial Unicode MS" w:eastAsia="Arial Unicode MS"/>
          <w:color w:val="000000"/>
          <w:sz w:val="22"/>
        </w:rPr>
        <w:t>对象与关系的联合处理也存在直接近邻。Re-Cent以关系标签引导跨度对抽取，并通过关系与跨度对之间的相关性实施修正[43]。Pirozelli等的论辩重构流程提供组件合并、重写和关系检查步骤，其允许改写组件表述，区别于原文字面跨度抽取[44]。Xiao和Li的ARGUS研究则把LLM自解释转为抽象论辩框架，以形式语义定义最小代价修复目标[24]；它与前述同名论辩挖掘系统不是同一工作，修复目标也不同于本文的抽取对象效用。</w:t>
      </w:r>
    </w:p>
    <w:p>
      <w:pPr>
        <w:pStyle w:val="BodyText"/>
        <w:spacing w:line="288" w:lineRule="auto" w:after="120"/>
      </w:pPr>
      <w:r>
        <w:rPr>
          <w:rFonts w:ascii="Arial Unicode MS" w:hAnsi="Arial Unicode MS" w:eastAsia="Arial Unicode MS"/>
          <w:color w:val="000000"/>
          <w:sz w:val="22"/>
        </w:rPr>
        <w:t>本文的直接基础是ICIC 2026提出的多候选重排序与有界修正方法MCR-BR[34]。原方法已包含候选跨度替换、类型调整和关系修改。本文进一步关注组件修改后的完整依赖处理：哪些关系必须重新评价，组件与关系的修改应在什么条件下共同接受。集合动作与求解路径作为实现选择分别检验。</w:t>
      </w:r>
    </w:p>
    <w:p>
      <w:pPr>
        <w:pStyle w:val="BodyText"/>
        <w:spacing w:line="288" w:lineRule="auto" w:after="120"/>
      </w:pPr>
      <w:r>
        <w:rPr>
          <w:rFonts w:ascii="Arial Unicode MS" w:hAnsi="Arial Unicode MS" w:eastAsia="Arial Unicode MS"/>
          <w:color w:val="000000"/>
          <w:sz w:val="22"/>
        </w:rPr>
        <w:t>评价目标为上述设计划定了边界。F1的最优决策一般不能由单个对象的边际概率直接替代[41]，校准概率与最优F1阈值的关系也依赖特定条件[42]。概率校准用于检查置信度与经验正确率的对应[45]。本文据此区分对象概率、代价敏感效用和严格抽取F1，以同候选、同评分的比较检验事务机制，并独立报告错误接受与计算成本。</w:t>
      </w:r>
    </w:p>
    <w:p>
      <w:pPr>
        <w:pStyle w:val="Heading2"/>
        <w:keepNext/>
        <w:spacing w:before="240" w:after="140"/>
      </w:pPr>
      <w:r>
        <w:rPr>
          <w:rFonts w:ascii="Arial Unicode MS" w:hAnsi="Arial Unicode MS" w:eastAsia="Arial Unicode MS"/>
          <w:color w:val="000000"/>
          <w:sz w:val="23"/>
        </w:rPr>
        <w:t>1.2.4 综合评述与本文研究位置</w:t>
      </w:r>
    </w:p>
    <w:p>
      <w:pPr>
        <w:pStyle w:val="BodyText"/>
        <w:spacing w:line="288" w:lineRule="auto" w:after="120"/>
      </w:pPr>
      <w:r>
        <w:rPr>
          <w:rFonts w:ascii="Arial Unicode MS" w:hAnsi="Arial Unicode MS" w:eastAsia="Arial Unicode MS"/>
          <w:color w:val="000000"/>
          <w:sz w:val="22"/>
        </w:rPr>
        <w:t>不同语料的任务表示和训练来源会影响方法比较。MT-AM利用辅助论辩语料开展多任务训练[25]；AMELIA统一19个数据集的格式，并比较单任务、多任务及模型合并策略[26]。句子级泛化研究还观察到模型对数据集相关词汇线索的依赖[27]。本文以两种原生任务检验方法的适用范围，并将附录中的历史跨域结果单独保留。多任务训练、单源零样本迁移和目标域校准具有不同数据条件，不合并为一种“泛化”成绩。</w:t>
      </w:r>
    </w:p>
    <w:p>
      <w:pPr>
        <w:pStyle w:val="BodyText"/>
        <w:spacing w:line="288" w:lineRule="auto" w:after="120"/>
      </w:pPr>
      <w:r>
        <w:rPr>
          <w:rFonts w:ascii="Arial Unicode MS" w:hAnsi="Arial Unicode MS" w:eastAsia="Arial Unicode MS"/>
          <w:color w:val="000000"/>
          <w:sz w:val="22"/>
        </w:rPr>
        <w:t>表1-1从输入条件和方法机制比较最接近的研究。已有工作为结构保持增强、多候选选择及对象修正提供了基础。本文分别研究改写前后监督对应的维护，以及组件变化后关联关系的完整重建，并为两者设置相应对照。</w:t>
      </w:r>
    </w:p>
    <w:p>
      <w:pPr>
        <w:pStyle w:val="Caption"/>
        <w:keepNext/>
        <w:spacing w:before="100" w:after="120"/>
      </w:pPr>
      <w:r>
        <w:rPr>
          <w:rFonts w:ascii="Arial Unicode MS" w:hAnsi="Arial Unicode MS" w:eastAsia="Arial Unicode MS"/>
          <w:color w:val="000000"/>
          <w:sz w:val="20"/>
        </w:rPr>
        <w:t>表1-1 近邻方法与本文研究位置</w:t>
      </w:r>
    </w:p>
    <w:tbl>
      <w:tblPr>
        <w:tblW w:type="auto" w:w="0"/>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1796"/>
        <w:gridCol w:w="2482"/>
        <w:gridCol w:w="2694"/>
        <w:gridCol w:w="3119"/>
      </w:tblGrid>
      <w:tr>
        <w:trPr>
          <w:cantSplit/>
          <w:tblHeader/>
        </w:trPr>
        <w:tc>
          <w:tcPr>
            <w:tcW w:type="dxa" w:w="1796"/>
            <w:shd w:fill="E7E6E6"/>
            <w:tcMar>
              <w:top w:w="80" w:type="dxa"/>
              <w:bottom w:w="80" w:type="dxa"/>
              <w:left w:w="85" w:type="dxa"/>
              <w:right w:w="85" w:type="dxa"/>
            </w:tcMar>
            <w:vAlign w:val="center"/>
          </w:tcPr>
          <w:p>
            <w:pPr>
              <w:keepNext w:val="0"/>
              <w:spacing w:before="0" w:after="0" w:line="264" w:lineRule="auto"/>
              <w:jc w:val="center"/>
            </w:pPr>
            <w:r>
              <w:rPr>
                <w:rFonts w:ascii="Arial Unicode MS" w:hAnsi="Arial Unicode MS" w:eastAsia="Arial Unicode MS"/>
                <w:b/>
                <w:color w:val="000000"/>
                <w:sz w:val="19"/>
              </w:rPr>
              <w:t>研究</w:t>
            </w:r>
          </w:p>
        </w:tc>
        <w:tc>
          <w:tcPr>
            <w:tcW w:type="dxa" w:w="2482"/>
            <w:shd w:fill="E7E6E6"/>
            <w:tcMar>
              <w:top w:w="80" w:type="dxa"/>
              <w:bottom w:w="80" w:type="dxa"/>
              <w:left w:w="85" w:type="dxa"/>
              <w:right w:w="85" w:type="dxa"/>
            </w:tcMar>
            <w:vAlign w:val="center"/>
          </w:tcPr>
          <w:p>
            <w:pPr>
              <w:keepNext w:val="0"/>
              <w:spacing w:before="0" w:after="0" w:line="264" w:lineRule="auto"/>
              <w:jc w:val="center"/>
            </w:pPr>
            <w:r>
              <w:rPr>
                <w:rFonts w:ascii="Arial Unicode MS" w:hAnsi="Arial Unicode MS" w:eastAsia="Arial Unicode MS"/>
                <w:b/>
                <w:color w:val="000000"/>
                <w:sz w:val="19"/>
              </w:rPr>
              <w:t>任务或输入条件</w:t>
            </w:r>
          </w:p>
        </w:tc>
        <w:tc>
          <w:tcPr>
            <w:tcW w:type="dxa" w:w="2694"/>
            <w:shd w:fill="E7E6E6"/>
            <w:tcMar>
              <w:top w:w="80" w:type="dxa"/>
              <w:bottom w:w="80" w:type="dxa"/>
              <w:left w:w="85" w:type="dxa"/>
              <w:right w:w="85" w:type="dxa"/>
            </w:tcMar>
            <w:vAlign w:val="center"/>
          </w:tcPr>
          <w:p>
            <w:pPr>
              <w:keepNext w:val="0"/>
              <w:spacing w:before="0" w:after="0" w:line="264" w:lineRule="auto"/>
              <w:jc w:val="center"/>
            </w:pPr>
            <w:r>
              <w:rPr>
                <w:rFonts w:ascii="Arial Unicode MS" w:hAnsi="Arial Unicode MS" w:eastAsia="Arial Unicode MS"/>
                <w:b/>
                <w:color w:val="000000"/>
                <w:sz w:val="19"/>
              </w:rPr>
              <w:t>相关机制</w:t>
            </w:r>
          </w:p>
        </w:tc>
        <w:tc>
          <w:tcPr>
            <w:tcW w:type="dxa" w:w="3119"/>
            <w:shd w:fill="E7E6E6"/>
            <w:tcMar>
              <w:top w:w="80" w:type="dxa"/>
              <w:bottom w:w="80" w:type="dxa"/>
              <w:left w:w="85" w:type="dxa"/>
              <w:right w:w="85" w:type="dxa"/>
            </w:tcMar>
            <w:vAlign w:val="center"/>
          </w:tcPr>
          <w:p>
            <w:pPr>
              <w:keepNext w:val="0"/>
              <w:spacing w:before="0" w:after="0" w:line="264" w:lineRule="auto"/>
              <w:jc w:val="center"/>
            </w:pPr>
            <w:r>
              <w:rPr>
                <w:rFonts w:ascii="Arial Unicode MS" w:hAnsi="Arial Unicode MS" w:eastAsia="Arial Unicode MS"/>
                <w:b/>
                <w:color w:val="000000"/>
                <w:sz w:val="19"/>
              </w:rPr>
              <w:t>本文比较重点</w:t>
            </w:r>
          </w:p>
        </w:tc>
      </w:tr>
      <w:tr>
        <w:trPr>
          <w:cantSplit/>
        </w:trPr>
        <w:tc>
          <w:tcPr>
            <w:tcW w:type="dxa" w:w="179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QOS[35]</w:t>
            </w:r>
          </w:p>
        </w:tc>
        <w:tc>
          <w:tcPr>
            <w:tcW w:type="dxa" w:w="248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论辩标注文本的槽位化增强</w:t>
            </w:r>
          </w:p>
        </w:tc>
        <w:tc>
          <w:tcPr>
            <w:tcW w:type="dxa" w:w="2694"/>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改写后恢复跨度并继承类型及关系</w:t>
            </w:r>
          </w:p>
        </w:tc>
        <w:tc>
          <w:tcPr>
            <w:tcW w:type="dxa" w:w="311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内部与跨边界关系、NONE检查及资源匹配</w:t>
            </w:r>
          </w:p>
        </w:tc>
      </w:tr>
      <w:tr>
        <w:trPr>
          <w:cantSplit/>
        </w:trPr>
        <w:tc>
          <w:tcPr>
            <w:tcW w:type="dxa" w:w="179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ConsistRE与CovEReD[38][37]</w:t>
            </w:r>
          </w:p>
        </w:tc>
        <w:tc>
          <w:tcPr>
            <w:tcW w:type="dxa" w:w="248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关系抽取及文档级关系预测</w:t>
            </w:r>
          </w:p>
        </w:tc>
        <w:tc>
          <w:tcPr>
            <w:tcW w:type="dxa" w:w="2694"/>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关系条件生成或反事实一致性</w:t>
            </w:r>
          </w:p>
        </w:tc>
        <w:tc>
          <w:tcPr>
            <w:tcW w:type="dxa" w:w="311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论辩角色依赖与组件关系成对学习</w:t>
            </w:r>
          </w:p>
        </w:tc>
      </w:tr>
      <w:tr>
        <w:trPr>
          <w:cantSplit/>
        </w:trPr>
        <w:tc>
          <w:tcPr>
            <w:tcW w:type="dxa" w:w="179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AASP[9]</w:t>
            </w:r>
          </w:p>
        </w:tc>
        <w:tc>
          <w:tcPr>
            <w:tcW w:type="dxa" w:w="248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自回归论辩结构生成</w:t>
            </w:r>
          </w:p>
        </w:tc>
        <w:tc>
          <w:tcPr>
            <w:tcW w:type="dxa" w:w="2694"/>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受约束动作构建结构</w:t>
            </w:r>
          </w:p>
        </w:tc>
        <w:tc>
          <w:tcPr>
            <w:tcW w:type="dxa" w:w="311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生成过程约束与生成后事务决策的区别</w:t>
            </w:r>
          </w:p>
        </w:tc>
      </w:tr>
      <w:tr>
        <w:trPr>
          <w:cantSplit/>
        </w:trPr>
        <w:tc>
          <w:tcPr>
            <w:tcW w:type="dxa" w:w="179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Re-Cent[43]</w:t>
            </w:r>
          </w:p>
        </w:tc>
        <w:tc>
          <w:tcPr>
            <w:tcW w:type="dxa" w:w="248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联合实体关系抽取</w:t>
            </w:r>
          </w:p>
        </w:tc>
        <w:tc>
          <w:tcPr>
            <w:tcW w:type="dxa" w:w="2694"/>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关系引导跨度对抽取与修正</w:t>
            </w:r>
          </w:p>
        </w:tc>
        <w:tc>
          <w:tcPr>
            <w:tcW w:type="dxa" w:w="311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组件集合修改的依赖域与整体接受条件</w:t>
            </w:r>
          </w:p>
        </w:tc>
      </w:tr>
      <w:tr>
        <w:trPr>
          <w:cantSplit/>
        </w:trPr>
        <w:tc>
          <w:tcPr>
            <w:tcW w:type="dxa" w:w="179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MCR-BR[34]</w:t>
            </w:r>
          </w:p>
        </w:tc>
        <w:tc>
          <w:tcPr>
            <w:tcW w:type="dxa" w:w="248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从原文生成多个完整论辩图</w:t>
            </w:r>
          </w:p>
        </w:tc>
        <w:tc>
          <w:tcPr>
            <w:tcW w:type="dxa" w:w="2694"/>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整图重排序及有界组件关系修改</w:t>
            </w:r>
          </w:p>
        </w:tc>
        <w:tc>
          <w:tcPr>
            <w:tcW w:type="dxa" w:w="311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集合替换、完整关系重建与风险成本归因</w:t>
            </w:r>
          </w:p>
        </w:tc>
      </w:tr>
    </w:tbl>
    <w:p>
      <w:pPr>
        <w:pStyle w:val="BodyText"/>
        <w:spacing w:line="288" w:lineRule="auto" w:after="120" w:before="120"/>
      </w:pPr>
      <w:commentRangeStart w:id="2"/>
      <w:r>
        <w:rPr>
          <w:rFonts w:ascii="Arial Unicode MS" w:hAnsi="Arial Unicode MS" w:eastAsia="Arial Unicode MS"/>
          <w:color w:val="000000"/>
          <w:sz w:val="22"/>
        </w:rPr>
        <w:t>相对槽位化增强，本文增加的审核单位是可对应的组件与关系因素。关系审核覆盖改写集合内部、跨集合边界的合法端点组合，并包含无关系状态NONE；标签变化、原标签分歧或未审核的因素不参与相应的增强侧辅助监督与对齐，原文仍承担完整图生成监督。固定增强视图、有效因素掩码和辅助头后，成对项只改变对应因素的学习约束，不改变样本内容。表3-4分别比较可靠对应构造与QOS式适配、完整成对与NoPair，以区分数据构造和学习目标的作用。</w:t>
      </w:r>
      <w:commentRangeEnd w:id="2"/>
      <w:r>
        <w:rPr>
          <w:rStyle w:val="CommentReference"/>
        </w:rPr>
        <w:commentReference w:id="2"/>
      </w:r>
    </w:p>
    <w:p>
      <w:pPr>
        <w:pStyle w:val="BodyText"/>
        <w:spacing w:line="288" w:lineRule="auto" w:after="120"/>
      </w:pPr>
      <w:r>
        <w:rPr>
          <w:rFonts w:ascii="Arial Unicode MS" w:hAnsi="Arial Unicode MS" w:eastAsia="Arial Unicode MS"/>
          <w:color w:val="000000"/>
          <w:sz w:val="22"/>
        </w:rPr>
        <w:t>相对已有的组件关系联合预测与MCR-BR，本文细化的是生成后修改的事务规约。组件身份改变时，失效旧关系的删除与新关系的重建共同计入一次事务；在固定候选和对象评分下，事务须满足依赖闭合、分项接受条件及预算限制，并按规定字段保留修改记录。这样，组件与关系的变化能够共同评价、共同接受并供回放核对。表4-4以I1对RelationOnly考察组件修改范围，以Single对Sequential考察共同接受方式；集合动作及局部、全局求解的作用另由对应比较判断。</w:t>
      </w:r>
    </w:p>
    <w:p>
      <w:pPr>
        <w:pStyle w:val="BodyText"/>
        <w:spacing w:line="288" w:lineRule="auto" w:after="120"/>
      </w:pPr>
      <w:r>
        <w:rPr>
          <w:rFonts w:ascii="Arial Unicode MS" w:hAnsi="Arial Unicode MS" w:eastAsia="Arial Unicode MS"/>
          <w:color w:val="000000"/>
          <w:sz w:val="22"/>
        </w:rPr>
        <w:t>外部对照进一步覆盖结构解析、文本生成、结构感知生成、动作生成与大模型系统，选择依据及转换规则见附录G。系统层面的主要复现候选为Kawarada等的文本生成方法与UniASA；GMAM、DENIM作为结构生成补充，QOS／DOS作为数据构造近邻。各方法按输入、表示及代码入口的可核对程度选择，并统一接入AAEC stance、CDCP完整源集合及预测坐标的共同评价规则。其他语言和任务范围见附录A.3。</w:t>
      </w:r>
    </w:p>
    <w:p>
      <w:pPr>
        <w:pStyle w:val="Heading1"/>
        <w:keepNext/>
        <w:spacing w:before="240" w:after="140"/>
      </w:pPr>
      <w:r>
        <w:rPr>
          <w:rFonts w:ascii="Arial Unicode MS" w:hAnsi="Arial Unicode MS" w:eastAsia="Arial Unicode MS"/>
          <w:color w:val="000000"/>
          <w:sz w:val="26"/>
        </w:rPr>
        <w:t>1.3 研究问题与主要研究工作</w:t>
      </w:r>
    </w:p>
    <w:p>
      <w:pPr>
        <w:pStyle w:val="BodyText"/>
        <w:spacing w:line="288" w:lineRule="auto" w:after="120"/>
      </w:pPr>
      <w:r>
        <w:rPr>
          <w:rFonts w:ascii="Arial Unicode MS" w:hAnsi="Arial Unicode MS" w:eastAsia="Arial Unicode MS"/>
          <w:color w:val="000000"/>
          <w:sz w:val="22"/>
        </w:rPr>
        <w:t>组件与关系之间的依赖是两项研究的共同出发点。训练阶段改变文本表达，维护经过检查的监督对应；推理阶段保持原文，修改预测图并完整处理关联关系。图1-2概括二者的问题与方法对应，测试预测不作为训练金标。</w:t>
      </w:r>
    </w:p>
    <w:p>
      <w:pPr>
        <w:keepNext/>
        <w:spacing w:after="40"/>
      </w:pPr>
      <w:r>
        <w:rPr>
          <w:rFonts w:ascii="Arial Unicode MS" w:hAnsi="Arial Unicode MS" w:eastAsia="Arial Unicode MS"/>
          <w:color w:val="000000"/>
        </w:rPr>
        <w:drawing>
          <wp:inline xmlns:a="http://schemas.openxmlformats.org/drawingml/2006/main" xmlns:pic="http://schemas.openxmlformats.org/drawingml/2006/picture">
            <wp:extent cx="6408420" cy="4100303"/>
            <wp:docPr id="2" name="Picture 2"/>
            <wp:cNvGraphicFramePr>
              <a:graphicFrameLocks noChangeAspect="1"/>
            </wp:cNvGraphicFramePr>
            <a:graphic>
              <a:graphicData uri="http://schemas.openxmlformats.org/drawingml/2006/picture">
                <pic:pic>
                  <pic:nvPicPr>
                    <pic:cNvPr id="0" name="rId31.png"/>
                    <pic:cNvPicPr/>
                  </pic:nvPicPr>
                  <pic:blipFill>
                    <a:blip r:embed="rId10"/>
                    <a:stretch>
                      <a:fillRect/>
                    </a:stretch>
                  </pic:blipFill>
                  <pic:spPr>
                    <a:xfrm>
                      <a:off x="0" y="0"/>
                      <a:ext cx="6408420" cy="4100303"/>
                    </a:xfrm>
                    <a:prstGeom prst="rect"/>
                  </pic:spPr>
                </pic:pic>
              </a:graphicData>
            </a:graphic>
          </wp:inline>
        </w:drawing>
      </w:r>
    </w:p>
    <w:p>
      <w:pPr>
        <w:pStyle w:val="Caption"/>
        <w:keepNext w:val="0"/>
        <w:spacing w:before="100" w:after="120"/>
      </w:pPr>
      <w:r>
        <w:rPr>
          <w:rFonts w:ascii="Arial Unicode MS" w:hAnsi="Arial Unicode MS" w:eastAsia="Arial Unicode MS"/>
          <w:color w:val="000000"/>
          <w:sz w:val="20"/>
        </w:rPr>
        <w:t>图1-2 组件关系依赖下的两项研究内容</w:t>
      </w:r>
    </w:p>
    <w:p>
      <w:pPr>
        <w:pStyle w:val="Heading2"/>
        <w:keepNext/>
        <w:spacing w:before="240" w:after="140"/>
      </w:pPr>
      <w:r>
        <w:rPr>
          <w:rFonts w:ascii="Arial Unicode MS" w:hAnsi="Arial Unicode MS" w:eastAsia="Arial Unicode MS"/>
          <w:color w:val="000000"/>
          <w:sz w:val="23"/>
        </w:rPr>
        <w:t>1.3.1 研究问题</w:t>
      </w:r>
    </w:p>
    <w:p>
      <w:pPr>
        <w:pStyle w:val="BodyText"/>
        <w:spacing w:line="288" w:lineRule="auto" w:after="120"/>
      </w:pPr>
      <w:r>
        <w:rPr>
          <w:rFonts w:ascii="Arial Unicode MS" w:hAnsi="Arial Unicode MS" w:eastAsia="Arial Unicode MS"/>
          <w:color w:val="000000"/>
          <w:sz w:val="22"/>
        </w:rPr>
        <w:t>RQ1：局部改写后，怎样识别可用于学习的组件与关系对应？在相同来源、变体规模和更新预算下，可靠对应构造、因素级辅助监督与成对学习分别产生什么作用，其收益能否抵偿筛选、拒绝和审核成本？</w:t>
      </w:r>
    </w:p>
    <w:p>
      <w:pPr>
        <w:pStyle w:val="BodyText"/>
        <w:spacing w:line="288" w:lineRule="auto" w:after="120"/>
      </w:pPr>
      <w:r>
        <w:rPr>
          <w:rFonts w:ascii="Arial Unicode MS" w:hAnsi="Arial Unicode MS" w:eastAsia="Arial Unicode MS"/>
          <w:color w:val="000000"/>
          <w:sz w:val="22"/>
        </w:rPr>
        <w:t>RQ2：给定候选空间与冻结评分，怎样完整处理组件修改的关系依赖，并控制误改与计算成本？单对象与集合动作、局部与全局求解分别适用于什么规模和预算，哪些差异来自动作范围，哪些来自共同决策？候选空间之外的遗漏单独归因。</w:t>
      </w:r>
    </w:p>
    <w:p>
      <w:pPr>
        <w:pStyle w:val="BodyText"/>
        <w:spacing w:line="288" w:lineRule="auto" w:after="120"/>
      </w:pPr>
      <w:r>
        <w:rPr>
          <w:rFonts w:ascii="Arial Unicode MS" w:hAnsi="Arial Unicode MS" w:eastAsia="Arial Unicode MS"/>
          <w:color w:val="000000"/>
          <w:sz w:val="22"/>
        </w:rPr>
        <w:t>两阶段四格比较检验相对ICIC继承配置的条件增量，对象成员分析进一步区分重叠恢复、独有恢复和新增损失。它们用于解释两项研究的关系，不另列为第三项算法创新。</w:t>
      </w:r>
    </w:p>
    <w:p>
      <w:pPr>
        <w:pStyle w:val="Heading2"/>
        <w:keepNext/>
        <w:spacing w:before="240" w:after="140"/>
      </w:pPr>
      <w:r>
        <w:rPr>
          <w:rFonts w:ascii="Arial Unicode MS" w:hAnsi="Arial Unicode MS" w:eastAsia="Arial Unicode MS"/>
          <w:color w:val="000000"/>
          <w:sz w:val="23"/>
        </w:rPr>
        <w:t>1.3.2 主要研究内容</w:t>
      </w:r>
    </w:p>
    <w:p>
      <w:pPr>
        <w:pStyle w:val="BodyText"/>
        <w:spacing w:line="288" w:lineRule="auto" w:after="120"/>
      </w:pPr>
      <w:commentRangeStart w:id="3"/>
      <w:r>
        <w:rPr>
          <w:rFonts w:ascii="Arial Unicode MS" w:hAnsi="Arial Unicode MS" w:eastAsia="Arial Unicode MS"/>
          <w:color w:val="000000"/>
          <w:sz w:val="22"/>
        </w:rPr>
        <w:t>（1）可靠对应因素上的关系感知成对学习。围绕局部改写建立关系影响域和标注输运规则，以逐因素审核状态确定哪些组件与关系可以参与学习。原文提供完整图生成监督，变体只在有效因素上提供辅助监督与分布对齐。默认因素掩码与完整影响域整例筛选分别评价；数据构造与学习目标分开比较，其中成对目标采用同数据消融。</w:t>
      </w:r>
      <w:commentRangeEnd w:id="3"/>
      <w:r>
        <w:rPr>
          <w:rStyle w:val="CommentReference"/>
        </w:rPr>
        <w:commentReference w:id="3"/>
      </w:r>
    </w:p>
    <w:p>
      <w:pPr>
        <w:pStyle w:val="BodyText"/>
        <w:spacing w:line="288" w:lineRule="auto" w:after="120"/>
      </w:pPr>
      <w:r>
        <w:rPr>
          <w:rFonts w:ascii="Arial Unicode MS" w:hAnsi="Arial Unicode MS" w:eastAsia="Arial Unicode MS"/>
          <w:color w:val="000000"/>
          <w:sz w:val="22"/>
        </w:rPr>
        <w:t>（2）候选与评分约束下的依赖闭合修正。将组件变化与全部受影响关系的重建组织为统一事务，明确对象身份、缺失分数处理、分项接受条件和编辑预算。在这一规约下比较纯关系修改、分步决策、单对象共同决策和集合动作，并检查全局与局部求解的适用条件。依赖闭合规定需要共同处理的对象，实现是否值得保留还取决于误改和资源成本。</w:t>
      </w:r>
    </w:p>
    <w:p>
      <w:pPr>
        <w:pStyle w:val="BodyText"/>
        <w:spacing w:line="288" w:lineRule="auto" w:after="120"/>
      </w:pPr>
      <w:r>
        <w:rPr>
          <w:rFonts w:ascii="Arial Unicode MS" w:hAnsi="Arial Unicode MS" w:eastAsia="Arial Unicode MS"/>
          <w:color w:val="000000"/>
          <w:sz w:val="22"/>
        </w:rPr>
        <w:t>候选接口、训练辅助头和推理评分器用于实现上述研究。训练辅助头与推理评分器具有不同的监督对象和使用阶段，第二章统一说明其接口。</w:t>
      </w:r>
    </w:p>
    <w:p>
      <w:pPr>
        <w:pStyle w:val="BodyText"/>
        <w:spacing w:line="288" w:lineRule="auto" w:after="120"/>
      </w:pPr>
      <w:commentRangeStart w:id="4"/>
      <w:r>
        <w:rPr>
          <w:rFonts w:ascii="Arial Unicode MS" w:hAnsi="Arial Unicode MS" w:eastAsia="Arial Unicode MS"/>
          <w:color w:val="000000"/>
          <w:sz w:val="22"/>
        </w:rPr>
        <w:t>本文将贡献与证据分为三个层次。研究设计层面，提出可靠对应因素的学习规约与依赖闭合的事务规约，并给出可检验的控制比较；系统效果层面，在规定的数据、候选和预算条件下报告整套训练、整套推理及两阶段系统的条件增量；机制归因层面，分别检验成对项、共同接受、集合动作和求解路径的独立作用。</w:t>
      </w:r>
      <w:commentRangeEnd w:id="4"/>
      <w:r>
        <w:rPr>
          <w:rStyle w:val="CommentReference"/>
        </w:rPr>
        <w:commentReference w:id="4"/>
      </w:r>
    </w:p>
    <w:p>
      <w:pPr>
        <w:pStyle w:val="BodyText"/>
        <w:spacing w:line="288" w:lineRule="auto" w:after="120"/>
      </w:pPr>
      <w:r>
        <w:rPr>
          <w:rFonts w:ascii="Arial Unicode MS" w:hAnsi="Arial Unicode MS" w:eastAsia="Arial Unicode MS"/>
          <w:color w:val="000000"/>
          <w:sz w:val="22"/>
        </w:rPr>
        <w:t>第三、四章报告的比较支持配置层面的条件改善，但尚未确立成对项及单对象共同决策的稳定独立优势；集合局部动作未显示额外收益，主测试的I1又全部进入全局路径，因此这些结果不足以支持集合动作或局部求解在主测试中的独立优势。两项规约构成本文的方法内容，各项机制的效果与必要性则按表1-2所列比较判断。</w:t>
      </w:r>
    </w:p>
    <w:p>
      <w:pPr>
        <w:pStyle w:val="Caption"/>
        <w:keepNext/>
        <w:spacing w:before="100" w:after="120"/>
      </w:pPr>
      <w:r>
        <w:rPr>
          <w:rFonts w:ascii="Arial Unicode MS" w:hAnsi="Arial Unicode MS" w:eastAsia="Arial Unicode MS"/>
          <w:color w:val="000000"/>
          <w:sz w:val="20"/>
        </w:rPr>
        <w:t>表1-2 研究问题与承担证明责任的比较</w:t>
      </w:r>
    </w:p>
    <w:tbl>
      <w:tblPr>
        <w:tblW w:type="auto" w:w="0"/>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1862"/>
        <w:gridCol w:w="3429"/>
        <w:gridCol w:w="2776"/>
        <w:gridCol w:w="2025"/>
      </w:tblGrid>
      <w:tr>
        <w:trPr>
          <w:cantSplit/>
          <w:tblHeader/>
        </w:trPr>
        <w:tc>
          <w:tcPr>
            <w:tcW w:type="dxa" w:w="1862"/>
            <w:shd w:fill="E7E6E6"/>
            <w:tcMar>
              <w:top w:w="80" w:type="dxa"/>
              <w:bottom w:w="80" w:type="dxa"/>
              <w:left w:w="85" w:type="dxa"/>
              <w:right w:w="85" w:type="dxa"/>
            </w:tcMar>
            <w:vAlign w:val="center"/>
          </w:tcPr>
          <w:p>
            <w:pPr>
              <w:keepNext w:val="0"/>
              <w:spacing w:before="0" w:after="0" w:line="264" w:lineRule="auto"/>
              <w:jc w:val="center"/>
            </w:pPr>
            <w:commentRangeStart w:id="5"/>
            <w:r>
              <w:rPr>
                <w:rFonts w:ascii="Arial Unicode MS" w:hAnsi="Arial Unicode MS" w:eastAsia="Arial Unicode MS"/>
                <w:b/>
                <w:color w:val="000000"/>
                <w:sz w:val="19"/>
              </w:rPr>
              <w:t>需要回答的问题</w:t>
            </w:r>
            <w:commentRangeEnd w:id="5"/>
            <w:r>
              <w:rPr>
                <w:rStyle w:val="CommentReference"/>
              </w:rPr>
              <w:commentReference w:id="5"/>
            </w:r>
          </w:p>
        </w:tc>
        <w:tc>
          <w:tcPr>
            <w:tcW w:type="dxa" w:w="3429"/>
            <w:shd w:fill="E7E6E6"/>
            <w:tcMar>
              <w:top w:w="80" w:type="dxa"/>
              <w:bottom w:w="80" w:type="dxa"/>
              <w:left w:w="85" w:type="dxa"/>
              <w:right w:w="85" w:type="dxa"/>
            </w:tcMar>
            <w:vAlign w:val="center"/>
          </w:tcPr>
          <w:p>
            <w:pPr>
              <w:keepNext w:val="0"/>
              <w:spacing w:before="0" w:after="0" w:line="264" w:lineRule="auto"/>
              <w:jc w:val="center"/>
            </w:pPr>
            <w:r>
              <w:rPr>
                <w:rFonts w:ascii="Arial Unicode MS" w:hAnsi="Arial Unicode MS" w:eastAsia="Arial Unicode MS"/>
                <w:b/>
                <w:color w:val="000000"/>
                <w:sz w:val="19"/>
              </w:rPr>
              <w:t>承担证明的比较</w:t>
            </w:r>
          </w:p>
        </w:tc>
        <w:tc>
          <w:tcPr>
            <w:tcW w:type="dxa" w:w="2776"/>
            <w:shd w:fill="E7E6E6"/>
            <w:tcMar>
              <w:top w:w="80" w:type="dxa"/>
              <w:bottom w:w="80" w:type="dxa"/>
              <w:left w:w="85" w:type="dxa"/>
              <w:right w:w="85" w:type="dxa"/>
            </w:tcMar>
            <w:vAlign w:val="center"/>
          </w:tcPr>
          <w:p>
            <w:pPr>
              <w:keepNext w:val="0"/>
              <w:spacing w:before="0" w:after="0" w:line="264" w:lineRule="auto"/>
              <w:jc w:val="center"/>
            </w:pPr>
            <w:r>
              <w:rPr>
                <w:rFonts w:ascii="Arial Unicode MS" w:hAnsi="Arial Unicode MS" w:eastAsia="Arial Unicode MS"/>
                <w:b/>
                <w:color w:val="000000"/>
                <w:sz w:val="19"/>
              </w:rPr>
              <w:t>不能由此单独推出</w:t>
            </w:r>
          </w:p>
        </w:tc>
        <w:tc>
          <w:tcPr>
            <w:tcW w:type="dxa" w:w="2025"/>
            <w:shd w:fill="E7E6E6"/>
            <w:tcMar>
              <w:top w:w="80" w:type="dxa"/>
              <w:bottom w:w="80" w:type="dxa"/>
              <w:left w:w="85" w:type="dxa"/>
              <w:right w:w="85" w:type="dxa"/>
            </w:tcMar>
            <w:vAlign w:val="center"/>
          </w:tcPr>
          <w:p>
            <w:pPr>
              <w:keepNext w:val="0"/>
              <w:spacing w:before="0" w:after="0" w:line="264" w:lineRule="auto"/>
              <w:jc w:val="center"/>
            </w:pPr>
            <w:r>
              <w:rPr>
                <w:rFonts w:ascii="Arial Unicode MS" w:hAnsi="Arial Unicode MS" w:eastAsia="Arial Unicode MS"/>
                <w:b/>
                <w:color w:val="000000"/>
                <w:sz w:val="19"/>
              </w:rPr>
              <w:t>报告位置</w:t>
            </w:r>
          </w:p>
        </w:tc>
      </w:tr>
      <w:tr>
        <w:trPr>
          <w:cantSplit/>
        </w:trPr>
        <w:tc>
          <w:tcPr>
            <w:tcW w:type="dxa" w:w="186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整套新训练是否有用</w:t>
            </w:r>
          </w:p>
        </w:tc>
        <w:tc>
          <w:tcPr>
            <w:tcW w:type="dxa" w:w="342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T1/I0对T0/I0</w:t>
            </w:r>
          </w:p>
        </w:tc>
        <w:tc>
          <w:tcPr>
            <w:tcW w:type="dxa" w:w="277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成对项是全部收益来源</w:t>
            </w:r>
          </w:p>
        </w:tc>
        <w:tc>
          <w:tcPr>
            <w:tcW w:type="dxa" w:w="2025"/>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表3-3、表5-3</w:t>
            </w:r>
          </w:p>
        </w:tc>
      </w:tr>
      <w:tr>
        <w:trPr>
          <w:cantSplit/>
        </w:trPr>
        <w:tc>
          <w:tcPr>
            <w:tcW w:type="dxa" w:w="186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成对学习是否有额外作用</w:t>
            </w:r>
          </w:p>
        </w:tc>
        <w:tc>
          <w:tcPr>
            <w:tcW w:type="dxa" w:w="342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同视图、同掩码、同辅助头下完整成对对NoPair</w:t>
            </w:r>
          </w:p>
        </w:tc>
        <w:tc>
          <w:tcPr>
            <w:tcW w:type="dxa" w:w="277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增强构造本身更优</w:t>
            </w:r>
          </w:p>
        </w:tc>
        <w:tc>
          <w:tcPr>
            <w:tcW w:type="dxa" w:w="2025"/>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表3-4</w:t>
            </w:r>
          </w:p>
        </w:tc>
      </w:tr>
      <w:tr>
        <w:trPr>
          <w:cantSplit/>
        </w:trPr>
        <w:tc>
          <w:tcPr>
            <w:tcW w:type="dxa" w:w="186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可靠对应构造是否优于近邻构造</w:t>
            </w:r>
          </w:p>
        </w:tc>
        <w:tc>
          <w:tcPr>
            <w:tcW w:type="dxa" w:w="342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同规模、同辅助头、无成对项下可靠对应对QOS式适配</w:t>
            </w:r>
          </w:p>
        </w:tc>
        <w:tc>
          <w:tcPr>
            <w:tcW w:type="dxa" w:w="277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成对学习的作用</w:t>
            </w:r>
          </w:p>
        </w:tc>
        <w:tc>
          <w:tcPr>
            <w:tcW w:type="dxa" w:w="2025"/>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表3-4</w:t>
            </w:r>
          </w:p>
        </w:tc>
      </w:tr>
      <w:tr>
        <w:trPr>
          <w:cantSplit/>
        </w:trPr>
        <w:tc>
          <w:tcPr>
            <w:tcW w:type="dxa" w:w="186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整个新推理配置是否有用</w:t>
            </w:r>
          </w:p>
        </w:tc>
        <w:tc>
          <w:tcPr>
            <w:tcW w:type="dxa" w:w="342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T1/I1对T1/I0</w:t>
            </w:r>
          </w:p>
        </w:tc>
        <w:tc>
          <w:tcPr>
            <w:tcW w:type="dxa" w:w="277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收益来自某一事务机制</w:t>
            </w:r>
          </w:p>
        </w:tc>
        <w:tc>
          <w:tcPr>
            <w:tcW w:type="dxa" w:w="2025"/>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表5-3</w:t>
            </w:r>
          </w:p>
        </w:tc>
      </w:tr>
      <w:tr>
        <w:trPr>
          <w:cantSplit/>
        </w:trPr>
        <w:tc>
          <w:tcPr>
            <w:tcW w:type="dxa" w:w="186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修改范围与共同接受各有何作用</w:t>
            </w:r>
          </w:p>
        </w:tc>
        <w:tc>
          <w:tcPr>
            <w:tcW w:type="dxa" w:w="342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同候选、同评分下I1对RelationOnly；Single对Sequential</w:t>
            </w:r>
          </w:p>
        </w:tc>
        <w:tc>
          <w:tcPr>
            <w:tcW w:type="dxa" w:w="277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允许组件修改的收益即共同接受的收益</w:t>
            </w:r>
          </w:p>
        </w:tc>
        <w:tc>
          <w:tcPr>
            <w:tcW w:type="dxa" w:w="2025"/>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表4-3、表4-4</w:t>
            </w:r>
          </w:p>
        </w:tc>
      </w:tr>
      <w:tr>
        <w:trPr>
          <w:cantSplit/>
        </w:trPr>
        <w:tc>
          <w:tcPr>
            <w:tcW w:type="dxa" w:w="186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修正是否优于等预算重生成</w:t>
            </w:r>
          </w:p>
        </w:tc>
        <w:tc>
          <w:tcPr>
            <w:tcW w:type="dxa" w:w="342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T1/I1对完整图重生成与重排序</w:t>
            </w:r>
          </w:p>
        </w:tc>
        <w:tc>
          <w:tcPr>
            <w:tcW w:type="dxa" w:w="277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独立重采样已实现等token调用</w:t>
            </w:r>
          </w:p>
        </w:tc>
        <w:tc>
          <w:tcPr>
            <w:tcW w:type="dxa" w:w="2025"/>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表4-4、表4-9</w:t>
            </w:r>
          </w:p>
        </w:tc>
      </w:tr>
      <w:tr>
        <w:trPr>
          <w:cantSplit/>
        </w:trPr>
        <w:tc>
          <w:tcPr>
            <w:tcW w:type="dxa" w:w="186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开发风险限制是否值得保留</w:t>
            </w:r>
          </w:p>
        </w:tc>
        <w:tc>
          <w:tcPr>
            <w:tcW w:type="dxa" w:w="342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T1/I1对取消开发风险限制</w:t>
            </w:r>
          </w:p>
        </w:tc>
        <w:tc>
          <w:tcPr>
            <w:tcW w:type="dxa" w:w="277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开发保留率保证测试安全</w:t>
            </w:r>
          </w:p>
        </w:tc>
        <w:tc>
          <w:tcPr>
            <w:tcW w:type="dxa" w:w="2025"/>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表4-4、表4-6</w:t>
            </w:r>
          </w:p>
        </w:tc>
      </w:tr>
      <w:tr>
        <w:trPr>
          <w:cantSplit/>
        </w:trPr>
        <w:tc>
          <w:tcPr>
            <w:tcW w:type="dxa" w:w="186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集合动作或局部求解是否值得保留</w:t>
            </w:r>
          </w:p>
        </w:tc>
        <w:tc>
          <w:tcPr>
            <w:tcW w:type="dxa" w:w="342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单对象、集合局部、同目标全局；分别核对可行域和预算</w:t>
            </w:r>
          </w:p>
        </w:tc>
        <w:tc>
          <w:tcPr>
            <w:tcW w:type="dxa" w:w="277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差异全部来自搜索效率</w:t>
            </w:r>
          </w:p>
        </w:tc>
        <w:tc>
          <w:tcPr>
            <w:tcW w:type="dxa" w:w="2025"/>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表4-4、表4-9</w:t>
            </w:r>
          </w:p>
        </w:tc>
      </w:tr>
      <w:tr>
        <w:trPr>
          <w:cantSplit/>
        </w:trPr>
        <w:tc>
          <w:tcPr>
            <w:tcW w:type="dxa" w:w="186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审核与评分是否可靠</w:t>
            </w:r>
          </w:p>
        </w:tc>
        <w:tc>
          <w:tcPr>
            <w:tcW w:type="dxa" w:w="342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按使用单位分层审核；分开报告评分质量、逐次接受与终态净变化</w:t>
            </w:r>
          </w:p>
        </w:tc>
        <w:tc>
          <w:tcPr>
            <w:tcW w:type="dxa" w:w="277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组件审核代表关系审核；策略指标代表概率质量；净变化代表过程风险</w:t>
            </w:r>
          </w:p>
        </w:tc>
        <w:tc>
          <w:tcPr>
            <w:tcW w:type="dxa" w:w="2025"/>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表3-6、表4-7、表4-8a、表4-8b</w:t>
            </w:r>
          </w:p>
        </w:tc>
      </w:tr>
    </w:tbl>
    <w:p>
      <w:pPr>
        <w:pStyle w:val="BodyText"/>
        <w:spacing w:line="288" w:lineRule="auto" w:after="120" w:before="120"/>
      </w:pPr>
      <w:r>
        <w:rPr>
          <w:rFonts w:ascii="Arial Unicode MS" w:hAnsi="Arial Unicode MS" w:eastAsia="Arial Unicode MS"/>
          <w:color w:val="000000"/>
          <w:sz w:val="22"/>
        </w:rPr>
        <w:t>主要关系F1比较族共14项，定义见2.6.3，其余分析列为探索性。表1-2规定每项主张的证据来源，不预设所有机制、数据集或次级指标都应得到显著正结果；结论随对应比较的支持范围表述。</w:t>
      </w:r>
    </w:p>
    <w:p>
      <w:pPr>
        <w:pStyle w:val="Heading2"/>
        <w:keepNext/>
        <w:spacing w:before="240" w:after="140"/>
      </w:pPr>
      <w:r>
        <w:rPr>
          <w:rFonts w:ascii="Arial Unicode MS" w:hAnsi="Arial Unicode MS" w:eastAsia="Arial Unicode MS"/>
          <w:color w:val="000000"/>
          <w:sz w:val="23"/>
        </w:rPr>
        <w:t>1.3.3 与MCR-BR的关系</w:t>
      </w:r>
    </w:p>
    <w:p>
      <w:pPr>
        <w:pStyle w:val="BodyText"/>
        <w:spacing w:line="288" w:lineRule="auto" w:after="120"/>
      </w:pPr>
      <w:r>
        <w:rPr>
          <w:rFonts w:ascii="Arial Unicode MS" w:hAnsi="Arial Unicode MS" w:eastAsia="Arial Unicode MS"/>
          <w:color w:val="000000"/>
          <w:sz w:val="22"/>
        </w:rPr>
        <w:t>本文以ICIC 2026发表的MCR-BR方法[34]为基础。表1-3明确已有机制与本研究深化内容，避免将继承能力计为新增贡献。</w:t>
      </w:r>
    </w:p>
    <w:p>
      <w:pPr>
        <w:pStyle w:val="Caption"/>
        <w:keepNext/>
        <w:spacing w:before="100" w:after="120"/>
      </w:pPr>
      <w:r>
        <w:rPr>
          <w:rFonts w:ascii="Arial Unicode MS" w:hAnsi="Arial Unicode MS" w:eastAsia="Arial Unicode MS"/>
          <w:color w:val="000000"/>
          <w:sz w:val="20"/>
        </w:rPr>
        <w:t>表1-3 MCR-BR已公开机制与本文深化内容</w:t>
      </w:r>
    </w:p>
    <w:tbl>
      <w:tblPr>
        <w:tblW w:type="auto" w:w="0"/>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1666"/>
        <w:gridCol w:w="2841"/>
        <w:gridCol w:w="2890"/>
        <w:gridCol w:w="2694"/>
      </w:tblGrid>
      <w:tr>
        <w:trPr>
          <w:cantSplit/>
          <w:tblHeader/>
        </w:trPr>
        <w:tc>
          <w:tcPr>
            <w:tcW w:type="dxa" w:w="1666"/>
            <w:shd w:fill="E7E6E6"/>
            <w:tcMar>
              <w:top w:w="80" w:type="dxa"/>
              <w:bottom w:w="80" w:type="dxa"/>
              <w:left w:w="85" w:type="dxa"/>
              <w:right w:w="85" w:type="dxa"/>
            </w:tcMar>
            <w:vAlign w:val="center"/>
          </w:tcPr>
          <w:p>
            <w:pPr>
              <w:keepNext w:val="0"/>
              <w:spacing w:before="0" w:after="0" w:line="264" w:lineRule="auto"/>
              <w:jc w:val="center"/>
            </w:pPr>
            <w:commentRangeStart w:id="6"/>
            <w:r>
              <w:rPr>
                <w:rFonts w:ascii="Arial Unicode MS" w:hAnsi="Arial Unicode MS" w:eastAsia="Arial Unicode MS"/>
                <w:b/>
                <w:color w:val="000000"/>
                <w:sz w:val="19"/>
              </w:rPr>
              <w:t>研究层次</w:t>
            </w:r>
            <w:commentRangeEnd w:id="6"/>
            <w:r>
              <w:rPr>
                <w:rStyle w:val="CommentReference"/>
              </w:rPr>
              <w:commentReference w:id="6"/>
            </w:r>
          </w:p>
        </w:tc>
        <w:tc>
          <w:tcPr>
            <w:tcW w:type="dxa" w:w="2841"/>
            <w:shd w:fill="E7E6E6"/>
            <w:tcMar>
              <w:top w:w="80" w:type="dxa"/>
              <w:bottom w:w="80" w:type="dxa"/>
              <w:left w:w="85" w:type="dxa"/>
              <w:right w:w="85" w:type="dxa"/>
            </w:tcMar>
            <w:vAlign w:val="center"/>
          </w:tcPr>
          <w:p>
            <w:pPr>
              <w:keepNext w:val="0"/>
              <w:spacing w:before="0" w:after="0" w:line="264" w:lineRule="auto"/>
              <w:jc w:val="center"/>
            </w:pPr>
            <w:r>
              <w:rPr>
                <w:rFonts w:ascii="Arial Unicode MS" w:hAnsi="Arial Unicode MS" w:eastAsia="Arial Unicode MS"/>
                <w:b/>
                <w:color w:val="000000"/>
                <w:sz w:val="19"/>
              </w:rPr>
              <w:t>ICIC已公开机制</w:t>
            </w:r>
          </w:p>
        </w:tc>
        <w:tc>
          <w:tcPr>
            <w:tcW w:type="dxa" w:w="2890"/>
            <w:shd w:fill="E7E6E6"/>
            <w:tcMar>
              <w:top w:w="80" w:type="dxa"/>
              <w:bottom w:w="80" w:type="dxa"/>
              <w:left w:w="85" w:type="dxa"/>
              <w:right w:w="85" w:type="dxa"/>
            </w:tcMar>
            <w:vAlign w:val="center"/>
          </w:tcPr>
          <w:p>
            <w:pPr>
              <w:keepNext w:val="0"/>
              <w:spacing w:before="0" w:after="0" w:line="264" w:lineRule="auto"/>
              <w:jc w:val="center"/>
            </w:pPr>
            <w:r>
              <w:rPr>
                <w:rFonts w:ascii="Arial Unicode MS" w:hAnsi="Arial Unicode MS" w:eastAsia="Arial Unicode MS"/>
                <w:b/>
                <w:color w:val="000000"/>
                <w:sz w:val="19"/>
              </w:rPr>
              <w:t>本文深化内容</w:t>
            </w:r>
          </w:p>
        </w:tc>
        <w:tc>
          <w:tcPr>
            <w:tcW w:type="dxa" w:w="2694"/>
            <w:shd w:fill="E7E6E6"/>
            <w:tcMar>
              <w:top w:w="80" w:type="dxa"/>
              <w:bottom w:w="80" w:type="dxa"/>
              <w:left w:w="85" w:type="dxa"/>
              <w:right w:w="85" w:type="dxa"/>
            </w:tcMar>
            <w:vAlign w:val="center"/>
          </w:tcPr>
          <w:p>
            <w:pPr>
              <w:keepNext w:val="0"/>
              <w:spacing w:before="0" w:after="0" w:line="264" w:lineRule="auto"/>
              <w:jc w:val="center"/>
            </w:pPr>
            <w:r>
              <w:rPr>
                <w:rFonts w:ascii="Arial Unicode MS" w:hAnsi="Arial Unicode MS" w:eastAsia="Arial Unicode MS"/>
                <w:b/>
                <w:color w:val="000000"/>
                <w:sz w:val="19"/>
              </w:rPr>
              <w:t>结果归属</w:t>
            </w:r>
          </w:p>
        </w:tc>
      </w:tr>
      <w:tr>
        <w:trPr>
          <w:cantSplit/>
        </w:trPr>
        <w:tc>
          <w:tcPr>
            <w:tcW w:type="dxa" w:w="166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训练与表示</w:t>
            </w:r>
          </w:p>
        </w:tc>
        <w:tc>
          <w:tcPr>
            <w:tcW w:type="dxa" w:w="2841"/>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结论专项适配、线索提示、句子辅助监督</w:t>
            </w:r>
          </w:p>
        </w:tc>
        <w:tc>
          <w:tcPr>
            <w:tcW w:type="dxa" w:w="2890"/>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可靠对应构造、因素掩码与成对学习</w:t>
            </w:r>
          </w:p>
        </w:tc>
        <w:tc>
          <w:tcPr>
            <w:tcW w:type="dxa" w:w="2694"/>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原表支持MCR-BR训练配置</w:t>
            </w:r>
          </w:p>
        </w:tc>
      </w:tr>
      <w:tr>
        <w:trPr>
          <w:cantSplit/>
        </w:trPr>
        <w:tc>
          <w:tcPr>
            <w:tcW w:type="dxa" w:w="166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候选生成与选择</w:t>
            </w:r>
          </w:p>
        </w:tc>
        <w:tc>
          <w:tcPr>
            <w:tcW w:type="dxa" w:w="2841"/>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多候选组件、关系构建、整图重排序</w:t>
            </w:r>
          </w:p>
        </w:tc>
        <w:tc>
          <w:tcPr>
            <w:tcW w:type="dxa" w:w="2890"/>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保留初始图接口，建立固定候选空间</w:t>
            </w:r>
          </w:p>
        </w:tc>
        <w:tc>
          <w:tcPr>
            <w:tcW w:type="dxa" w:w="2694"/>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候选质量与决策效果分别分析</w:t>
            </w:r>
          </w:p>
        </w:tc>
      </w:tr>
      <w:tr>
        <w:trPr>
          <w:cantSplit/>
        </w:trPr>
        <w:tc>
          <w:tcPr>
            <w:tcW w:type="dxa" w:w="166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组件及关系修正</w:t>
            </w:r>
          </w:p>
        </w:tc>
        <w:tc>
          <w:tcPr>
            <w:tcW w:type="dxa" w:w="2841"/>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类型调整、候选跨度替换、删边与局部重预测</w:t>
            </w:r>
          </w:p>
        </w:tc>
        <w:tc>
          <w:tcPr>
            <w:tcW w:type="dxa" w:w="2890"/>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完整依赖重建与事务接受，比较单对象及集合动作</w:t>
            </w:r>
          </w:p>
        </w:tc>
        <w:tc>
          <w:tcPr>
            <w:tcW w:type="dxa" w:w="2694"/>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新增机制分别采用控制比较</w:t>
            </w:r>
          </w:p>
        </w:tc>
      </w:tr>
      <w:tr>
        <w:trPr>
          <w:cantSplit/>
        </w:trPr>
        <w:tc>
          <w:tcPr>
            <w:tcW w:type="dxa" w:w="166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评分与评价</w:t>
            </w:r>
          </w:p>
        </w:tc>
        <w:tc>
          <w:tcPr>
            <w:tcW w:type="dxa" w:w="2841"/>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覆盖、语义、合法性混合评分及非下降接受</w:t>
            </w:r>
          </w:p>
        </w:tc>
        <w:tc>
          <w:tcPr>
            <w:tcW w:type="dxa" w:w="2890"/>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完整对象正确性、计数效用与风险分析</w:t>
            </w:r>
          </w:p>
        </w:tc>
        <w:tc>
          <w:tcPr>
            <w:tcW w:type="dxa" w:w="2694"/>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新效用及原生超边评价单独报告</w:t>
            </w:r>
          </w:p>
        </w:tc>
      </w:tr>
    </w:tbl>
    <w:p>
      <w:pPr>
        <w:pStyle w:val="BodyText"/>
        <w:spacing w:line="288" w:lineRule="auto" w:after="120" w:before="120"/>
      </w:pPr>
      <w:r>
        <w:rPr>
          <w:rFonts w:ascii="Arial Unicode MS" w:hAnsi="Arial Unicode MS" w:eastAsia="Arial Unicode MS"/>
          <w:color w:val="000000"/>
          <w:sz w:val="22"/>
        </w:rPr>
        <w:t>MCR-BR已有组件类型和候选跨度修改能力。本文的深化集中在可靠因素上的学习，以及组件修改后的依赖完整性和共同决策规约。LoRA、提示、辅助头和散度函数作为继承基础或实现手段，不单独计为原创贡献；具体归属见附录C.1。</w:t>
      </w:r>
    </w:p>
    <w:p>
      <w:pPr>
        <w:pStyle w:val="Heading1"/>
        <w:keepNext/>
        <w:spacing w:before="240" w:after="140"/>
      </w:pPr>
      <w:r>
        <w:rPr>
          <w:rFonts w:ascii="Arial Unicode MS" w:hAnsi="Arial Unicode MS" w:eastAsia="Arial Unicode MS"/>
          <w:color w:val="000000"/>
          <w:sz w:val="26"/>
        </w:rPr>
        <w:t>1.4 论文组织结构</w:t>
      </w:r>
    </w:p>
    <w:p>
      <w:pPr>
        <w:pStyle w:val="BodyText"/>
        <w:spacing w:line="288" w:lineRule="auto" w:after="120"/>
      </w:pPr>
      <w:r>
        <w:rPr>
          <w:rFonts w:ascii="Arial Unicode MS" w:hAnsi="Arial Unicode MS" w:eastAsia="Arial Unicode MS"/>
          <w:color w:val="000000"/>
          <w:sz w:val="22"/>
        </w:rPr>
        <w:t>第二章统一任务表示、数据、配置与统计协议，为各项比较建立共同基础；第三章定义可靠对应与成对学习，并报告训练比较和因素审核；第四章定义依赖闭合修正，分析评分、候选覆盖、决策比较、资源成本与案例；第五章通过四格和对象成员分析说明两阶段的作用关系；第六章总结配置收益、机制证据及适用条件。附录提供数据坐标、实现验收、实验登记、外部对照、逐种子记录与案例定位。</w:t>
      </w:r>
    </w:p>
    <w:sectPr w:rsidR="00FC693F" w:rsidRPr="0006063C" w:rsidSect="00034616">
      <w:headerReference w:type="default" r:id="rId11"/>
      <w:footerReference w:type="default" r:id="rId12"/>
      <w:pgSz w:w="11906" w:h="16838"/>
      <w:pgMar w:top="1020" w:right="907" w:bottom="1020" w:left="907"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修订说明" w:initials="REV" w:date="2026-10-12T01:50:55Z">
    <w:p>
      <w:pPr>
        <w:pStyle w:val="CommentText"/>
      </w:pPr>
      <w:r>
        <w:rPr>
          <w:rStyle w:val="CommentReference"/>
        </w:rPr>
        <w:annotationRef/>
      </w:r>
      <w:r>
        <w:t>强化组件身份变化与关系依赖的因果衔接，保留原生例证。</w:t>
      </w:r>
    </w:p>
  </w:comment>
  <w:comment w:id="1" w:author="修订说明" w:initials="REV" w:date="2026-10-12T01:50:55Z">
    <w:p>
      <w:pPr>
        <w:pStyle w:val="CommentText"/>
      </w:pPr>
      <w:r>
        <w:rPr>
          <w:rStyle w:val="CommentReference"/>
        </w:rPr>
        <w:annotationRef/>
      </w:r>
      <w:r>
        <w:t>Q-02：文献段保留近邻机制，将本文最小差异集中到表1-1后。</w:t>
      </w:r>
    </w:p>
  </w:comment>
  <w:comment w:id="2" w:author="修订说明" w:initials="REV" w:date="2026-10-12T01:50:55Z">
    <w:p>
      <w:pPr>
        <w:pStyle w:val="CommentText"/>
      </w:pPr>
      <w:r>
        <w:rPr>
          <w:rStyle w:val="CommentReference"/>
        </w:rPr>
        <w:annotationRef/>
      </w:r>
      <w:r>
        <w:t>Q-02：新增两段最小差异，明确审核因素、掩码、固定视图的成对目标，以及依赖闭合、接受条件和事务记录；绑定表3-4与表4-4。</w:t>
      </w:r>
    </w:p>
  </w:comment>
  <w:comment w:id="3" w:author="修订说明" w:initials="REV" w:date="2026-10-12T01:50:55Z">
    <w:p>
      <w:pPr>
        <w:pStyle w:val="CommentText"/>
      </w:pPr>
      <w:r>
        <w:rPr>
          <w:rStyle w:val="CommentReference"/>
        </w:rPr>
        <w:annotationRef/>
      </w:r>
      <w:r>
        <w:t>压缩方法细节，保留两项研究内容，接口说明转接第二章。</w:t>
      </w:r>
    </w:p>
  </w:comment>
  <w:comment w:id="4" w:author="修订说明" w:initials="REV" w:date="2026-10-12T01:50:55Z">
    <w:p>
      <w:pPr>
        <w:pStyle w:val="CommentText"/>
      </w:pPr>
      <w:r>
        <w:rPr>
          <w:rStyle w:val="CommentReference"/>
        </w:rPr>
        <w:annotationRef/>
      </w:r>
      <w:r>
        <w:t>Q-01：将贡献分为研究规约、配置条件效果、独立机制增量，并如实保留尚未确立的机制优势。</w:t>
      </w:r>
    </w:p>
  </w:comment>
  <w:comment w:id="5" w:author="修订说明" w:initials="REV" w:date="2026-10-12T01:50:55Z">
    <w:p>
      <w:pPr>
        <w:pStyle w:val="CommentText"/>
      </w:pPr>
      <w:r>
        <w:rPr>
          <w:rStyle w:val="CommentReference"/>
        </w:rPr>
        <w:annotationRef/>
      </w:r>
      <w:r>
        <w:t>Q-01：区分I1/RelationOnly的动作范围比较与Single/Sequential的共同接受比较，避免混淆归因。</w:t>
      </w:r>
    </w:p>
  </w:comment>
  <w:comment w:id="6" w:author="修订说明" w:initials="REV" w:date="2026-10-12T01:50:55Z">
    <w:p>
      <w:pPr>
        <w:pStyle w:val="CommentText"/>
      </w:pPr>
      <w:r>
        <w:rPr>
          <w:rStyle w:val="CommentReference"/>
        </w:rPr>
        <w:annotationRef/>
      </w:r>
      <w:r>
        <w:t>保留继承归属，避免把集合动作预设为已证实增量。</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第一章审阅版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Unicode MS" w:hAnsi="Arial Unicode MS"/>
        <w:color w:val="000000"/>
        <w:sz w:val="16"/>
      </w:rPr>
      <w:t>test稿件  第一章审阅版  沿用原稿模拟说明  未新增实验数值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Unicode MS" w:hAnsi="Arial Unicode MS" w:eastAsia="Arial Unicode MS"/>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Unicode MS" w:hAnsi="Arial Unicode MS" w:eastAsia="Arial Unicode M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Unicode MS" w:hAnsi="Arial Unicode MS" w:eastAsia="Arial Unicode M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Unicode MS" w:hAnsi="Arial Unicode MS" w:eastAsia="Arial Unicode M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Unicode MS" w:hAnsi="Arial Unicode MS" w:eastAsia="Arial Unicode M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Unicode MS" w:hAnsi="Arial Unicode MS" w:eastAsia="Arial Unicode M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Unicode MS" w:hAnsi="Arial Unicode MS" w:eastAsia="Arial Unicode MS"/>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Unicode MS" w:hAnsi="Arial Unicode MS" w:eastAsia="Arial Unicode MS"/>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Unicode MS" w:hAnsi="Arial Unicode MS" w:eastAsia="Arial Unicode MS"/>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Unicode MS" w:hAnsi="Arial Unicode MS" w:eastAsia="Arial Unicode MS"/>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Unicode MS" w:hAnsi="Arial Unicode MS" w:eastAsia="Arial Unicode MS"/>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Unicode MS" w:hAnsi="Arial Unicode MS" w:eastAsia="Arial Unicode MS"/>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Unicode MS" w:hAnsi="Arial Unicode MS" w:eastAsia="Arial Unicode MS"/>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Unicode MS" w:hAnsi="Arial Unicode MS" w:eastAsia="Arial Unicode M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Unicode MS" w:hAnsi="Arial Unicode MS" w:eastAsia="Arial Unicode M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Unicode MS" w:hAnsi="Arial Unicode MS" w:eastAsia="Arial Unicode MS"/>
      <w:color w:val="000000"/>
    </w:rPr>
  </w:style>
  <w:style w:type="paragraph" w:styleId="BodyText">
    <w:name w:val="Body Text"/>
    <w:basedOn w:val="Normal"/>
    <w:link w:val="BodyTextChar"/>
    <w:uiPriority w:val="99"/>
    <w:unhideWhenUsed/>
    <w:rsid w:val="00AA1D8D"/>
    <w:pPr>
      <w:spacing w:after="120"/>
    </w:pPr>
    <w:rPr>
      <w:rFonts w:ascii="Arial Unicode MS" w:hAnsi="Arial Unicode MS" w:eastAsia="Arial Unicode MS"/>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Unicode MS" w:hAnsi="Arial Unicode MS" w:eastAsia="Arial Unicode MS"/>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Unicode MS" w:hAnsi="Arial Unicode MS" w:eastAsia="Arial Unicode MS"/>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Unicode MS" w:hAnsi="Arial Unicode MS" w:eastAsia="Arial Unicode MS"/>
      <w:color w:val="000000"/>
    </w:rPr>
  </w:style>
  <w:style w:type="paragraph" w:styleId="List2">
    <w:name w:val="List 2"/>
    <w:basedOn w:val="Normal"/>
    <w:uiPriority w:val="99"/>
    <w:unhideWhenUsed/>
    <w:rsid w:val="00326F90"/>
    <w:pPr>
      <w:ind w:left="720" w:hanging="360"/>
      <w:contextualSpacing/>
    </w:pPr>
    <w:rPr>
      <w:rFonts w:ascii="Arial Unicode MS" w:hAnsi="Arial Unicode MS" w:eastAsia="Arial Unicode MS"/>
      <w:color w:val="000000"/>
    </w:rPr>
  </w:style>
  <w:style w:type="paragraph" w:styleId="List3">
    <w:name w:val="List 3"/>
    <w:basedOn w:val="Normal"/>
    <w:uiPriority w:val="99"/>
    <w:unhideWhenUsed/>
    <w:rsid w:val="00326F90"/>
    <w:pPr>
      <w:ind w:left="1080" w:hanging="360"/>
      <w:contextualSpacing/>
    </w:pPr>
    <w:rPr>
      <w:rFonts w:ascii="Arial Unicode MS" w:hAnsi="Arial Unicode MS" w:eastAsia="Arial Unicode MS"/>
      <w:color w:val="000000"/>
    </w:rPr>
  </w:style>
  <w:style w:type="paragraph" w:styleId="ListBullet">
    <w:name w:val="List Bullet"/>
    <w:basedOn w:val="Normal"/>
    <w:uiPriority w:val="99"/>
    <w:unhideWhenUsed/>
    <w:rsid w:val="00326F90"/>
    <w:pPr>
      <w:numPr>
        <w:numId w:val="1"/>
      </w:numPr>
      <w:contextualSpacing/>
    </w:pPr>
    <w:rPr>
      <w:rFonts w:ascii="Arial Unicode MS" w:hAnsi="Arial Unicode MS" w:eastAsia="Arial Unicode MS"/>
      <w:color w:val="000000"/>
    </w:rPr>
  </w:style>
  <w:style w:type="paragraph" w:styleId="ListBullet2">
    <w:name w:val="List Bullet 2"/>
    <w:basedOn w:val="Normal"/>
    <w:uiPriority w:val="99"/>
    <w:unhideWhenUsed/>
    <w:rsid w:val="00326F90"/>
    <w:pPr>
      <w:numPr>
        <w:numId w:val="2"/>
      </w:numPr>
      <w:contextualSpacing/>
    </w:pPr>
    <w:rPr>
      <w:rFonts w:ascii="Arial Unicode MS" w:hAnsi="Arial Unicode MS" w:eastAsia="Arial Unicode MS"/>
      <w:color w:val="000000"/>
    </w:rPr>
  </w:style>
  <w:style w:type="paragraph" w:styleId="ListBullet3">
    <w:name w:val="List Bullet 3"/>
    <w:basedOn w:val="Normal"/>
    <w:uiPriority w:val="99"/>
    <w:unhideWhenUsed/>
    <w:rsid w:val="00326F90"/>
    <w:pPr>
      <w:numPr>
        <w:numId w:val="3"/>
      </w:numPr>
      <w:contextualSpacing/>
    </w:pPr>
    <w:rPr>
      <w:rFonts w:ascii="Arial Unicode MS" w:hAnsi="Arial Unicode MS" w:eastAsia="Arial Unicode MS"/>
      <w:color w:val="000000"/>
    </w:rPr>
  </w:style>
  <w:style w:type="paragraph" w:styleId="ListNumber">
    <w:name w:val="List Number"/>
    <w:basedOn w:val="Normal"/>
    <w:uiPriority w:val="99"/>
    <w:unhideWhenUsed/>
    <w:rsid w:val="00326F90"/>
    <w:pPr>
      <w:numPr>
        <w:numId w:val="5"/>
      </w:numPr>
      <w:contextualSpacing/>
    </w:pPr>
    <w:rPr>
      <w:rFonts w:ascii="Arial Unicode MS" w:hAnsi="Arial Unicode MS" w:eastAsia="Arial Unicode MS"/>
      <w:color w:val="000000"/>
    </w:rPr>
  </w:style>
  <w:style w:type="paragraph" w:styleId="ListNumber2">
    <w:name w:val="List Number 2"/>
    <w:basedOn w:val="Normal"/>
    <w:uiPriority w:val="99"/>
    <w:unhideWhenUsed/>
    <w:rsid w:val="0029639D"/>
    <w:pPr>
      <w:numPr>
        <w:numId w:val="6"/>
      </w:numPr>
      <w:contextualSpacing/>
    </w:pPr>
    <w:rPr>
      <w:rFonts w:ascii="Arial Unicode MS" w:hAnsi="Arial Unicode MS" w:eastAsia="Arial Unicode MS"/>
      <w:color w:val="000000"/>
    </w:rPr>
  </w:style>
  <w:style w:type="paragraph" w:styleId="ListNumber3">
    <w:name w:val="List Number 3"/>
    <w:basedOn w:val="Normal"/>
    <w:uiPriority w:val="99"/>
    <w:unhideWhenUsed/>
    <w:rsid w:val="0029639D"/>
    <w:pPr>
      <w:numPr>
        <w:numId w:val="7"/>
      </w:numPr>
      <w:contextualSpacing/>
    </w:pPr>
    <w:rPr>
      <w:rFonts w:ascii="Arial Unicode MS" w:hAnsi="Arial Unicode MS" w:eastAsia="Arial Unicode MS"/>
      <w:color w:val="000000"/>
    </w:rPr>
  </w:style>
  <w:style w:type="paragraph" w:styleId="ListContinue">
    <w:name w:val="List Continue"/>
    <w:basedOn w:val="Normal"/>
    <w:uiPriority w:val="99"/>
    <w:unhideWhenUsed/>
    <w:rsid w:val="0029639D"/>
    <w:pPr>
      <w:spacing w:after="120"/>
      <w:ind w:left="360"/>
      <w:contextualSpacing/>
    </w:pPr>
    <w:rPr>
      <w:rFonts w:ascii="Arial Unicode MS" w:hAnsi="Arial Unicode MS" w:eastAsia="Arial Unicode MS"/>
      <w:color w:val="000000"/>
    </w:rPr>
  </w:style>
  <w:style w:type="paragraph" w:styleId="ListContinue2">
    <w:name w:val="List Continue 2"/>
    <w:basedOn w:val="Normal"/>
    <w:uiPriority w:val="99"/>
    <w:unhideWhenUsed/>
    <w:rsid w:val="0029639D"/>
    <w:pPr>
      <w:spacing w:after="120"/>
      <w:ind w:left="720"/>
      <w:contextualSpacing/>
    </w:pPr>
    <w:rPr>
      <w:rFonts w:ascii="Arial Unicode MS" w:hAnsi="Arial Unicode MS" w:eastAsia="Arial Unicode MS"/>
      <w:color w:val="000000"/>
    </w:rPr>
  </w:style>
  <w:style w:type="paragraph" w:styleId="ListContinue3">
    <w:name w:val="List Continue 3"/>
    <w:basedOn w:val="Normal"/>
    <w:uiPriority w:val="99"/>
    <w:unhideWhenUsed/>
    <w:rsid w:val="0029639D"/>
    <w:pPr>
      <w:spacing w:after="120"/>
      <w:ind w:left="1080"/>
      <w:contextualSpacing/>
    </w:pPr>
    <w:rPr>
      <w:rFonts w:ascii="Arial Unicode MS" w:hAnsi="Arial Unicode MS" w:eastAsia="Arial Unicode MS"/>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Unicode MS" w:hAnsi="Arial Unicode MS" w:eastAsia="Arial Unicode MS"/>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Unicode MS" w:hAnsi="Arial Unicode MS" w:eastAsia="Arial Unicode MS"/>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Unicode MS" w:hAnsi="Arial Unicode MS" w:eastAsia="Arial Unicode M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Unicode MS" w:hAnsi="Arial Unicode MS" w:eastAsia="Arial Unicode MS"/>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Unicode MS" w:hAnsi="Arial Unicode MS" w:eastAsia="Arial Unicode MS"/>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