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rial Unicode MS" w:hAnsi="Arial Unicode MS" w:eastAsia="Arial Unicode MS"/>
          <w:b/>
          <w:color w:val="000000"/>
          <w:sz w:val="32"/>
        </w:rPr>
        <w:t>第一章 绪论</w:t>
      </w:r>
    </w:p>
    <w:p>
      <w:pPr>
        <w:pStyle w:val="Heading1"/>
        <w:keepNext/>
        <w:spacing w:before="240" w:after="140"/>
      </w:pPr>
      <w:r>
        <w:rPr>
          <w:sz w:val="26"/>
        </w:rPr>
        <w:t>1.1 研究背景与意义</w:t>
      </w:r>
    </w:p>
    <w:p>
      <w:pPr>
        <w:pStyle w:val="BodyText"/>
        <w:spacing w:line="288" w:lineRule="auto" w:after="120"/>
        <w:ind w:firstLine="440"/>
      </w:pPr>
      <w:commentRangeStart w:id="7"/>
      <w:r>
        <w:rPr>
          <w:sz w:val="22"/>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Style w:val="CommentReference"/>
        </w:rPr>
        <w:commentReference w:id="7"/>
      </w:r>
    </w:p>
    <w:p>
      <w:pPr>
        <w:pStyle w:val="BodyText"/>
        <w:spacing w:line="288" w:lineRule="auto" w:after="120"/>
        <w:ind w:firstLine="440"/>
      </w:pPr>
      <w:r>
        <w:rPr>
          <w:sz w:val="22"/>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spacing w:line="288" w:lineRule="auto" w:after="120"/>
        <w:ind w:firstLine="440"/>
      </w:pPr>
      <w:commentRangeStart w:id="8"/>
      <w:r>
        <w:rPr>
          <w:sz w:val="22"/>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Style w:val="CommentReference"/>
        </w:rPr>
        <w:commentReference w:id="8"/>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2502449"/>
            <wp:docPr id="1" name="Picture 1"/>
            <wp:cNvGraphicFramePr>
              <a:graphicFrameLocks noChangeAspect="1"/>
            </wp:cNvGraphicFramePr>
            <a:graphic>
              <a:graphicData uri="http://schemas.openxmlformats.org/drawingml/2006/picture">
                <pic:pic>
                  <pic:nvPicPr>
                    <pic:cNvPr id="0" name="rId22.png"/>
                    <pic:cNvPicPr/>
                  </pic:nvPicPr>
                  <pic:blipFill>
                    <a:blip r:embed="rId9"/>
                    <a:stretch>
                      <a:fillRect/>
                    </a:stretch>
                  </pic:blipFill>
                  <pic:spPr>
                    <a:xfrm>
                      <a:off x="0" y="0"/>
                      <a:ext cx="6408420" cy="2502449"/>
                    </a:xfrm>
                    <a:prstGeom prst="rect"/>
                  </pic:spPr>
                </pic:pic>
              </a:graphicData>
            </a:graphic>
          </wp:inline>
        </w:drawing>
      </w:r>
    </w:p>
    <w:p>
      <w:pPr>
        <w:pStyle w:val="Caption"/>
        <w:keepNext w:val="0"/>
        <w:spacing w:before="100" w:after="120"/>
        <w:ind w:firstLine="0"/>
      </w:pPr>
      <w:r>
        <w:rPr>
          <w:sz w:val="20"/>
        </w:rPr>
        <w:t>图1-1 AAEC作文中的观点与理由及其支持关系（essay001局部结构，中文为阅读提示）</w:t>
      </w:r>
    </w:p>
    <w:p>
      <w:pPr>
        <w:pStyle w:val="BodyText"/>
        <w:spacing w:line="288" w:lineRule="auto" w:after="120"/>
        <w:ind w:firstLine="440"/>
      </w:pPr>
      <w:r>
        <w:rPr>
          <w:sz w:val="22"/>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spacing w:line="288" w:lineRule="auto" w:after="120"/>
        <w:ind w:firstLine="440"/>
      </w:pPr>
      <w:r>
        <w:rPr>
          <w:sz w:val="22"/>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spacing w:line="288" w:lineRule="auto" w:after="120"/>
        <w:ind w:firstLine="440"/>
      </w:pPr>
      <w:r>
        <w:rPr>
          <w:sz w:val="22"/>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spacing w:line="288" w:lineRule="auto" w:after="120"/>
        <w:ind w:firstLine="440"/>
      </w:pPr>
      <w:commentRangeStart w:id="9"/>
      <w:r>
        <w:rPr>
          <w:sz w:val="22"/>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Style w:val="CommentReference"/>
        </w:rPr>
        <w:commentReference w:id="9"/>
      </w:r>
    </w:p>
    <w:p>
      <w:pPr>
        <w:pStyle w:val="BodyText"/>
        <w:spacing w:line="288" w:lineRule="auto" w:after="120"/>
        <w:ind w:firstLine="440"/>
      </w:pPr>
      <w:r>
        <w:rPr>
          <w:sz w:val="22"/>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1"/>
        <w:keepNext/>
        <w:spacing w:before="240" w:after="140"/>
      </w:pPr>
      <w:r>
        <w:rPr>
          <w:rFonts w:ascii="Arial Unicode MS" w:hAnsi="Arial Unicode MS" w:eastAsia="Arial Unicode MS"/>
          <w:color w:val="000000"/>
          <w:sz w:val="26"/>
        </w:rPr>
        <w:t>1.2 国内外研究现状</w:t>
      </w:r>
    </w:p>
    <w:p>
      <w:pPr>
        <w:pStyle w:val="BodyText"/>
        <w:spacing w:line="288" w:lineRule="auto" w:after="120"/>
      </w:pPr>
      <w:r>
        <w:rPr>
          <w:sz w:val="22"/>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2"/>
        <w:keepNext/>
        <w:spacing w:before="240" w:after="140"/>
      </w:pPr>
      <w:r>
        <w:rPr>
          <w:rFonts w:ascii="Arial Unicode MS" w:hAnsi="Arial Unicode MS" w:eastAsia="Arial Unicode MS"/>
          <w:color w:val="000000"/>
          <w:sz w:val="23"/>
        </w:rPr>
        <w:t>1.2.1 端到端论辩挖掘与生成建模</w:t>
      </w:r>
    </w:p>
    <w:p>
      <w:pPr>
        <w:pStyle w:val="BodyText"/>
        <w:spacing w:line="288" w:lineRule="auto" w:after="120"/>
      </w:pPr>
      <w:r>
        <w:rPr>
          <w:rFonts w:ascii="Arial Unicode MS" w:hAnsi="Arial Unicode MS" w:eastAsia="Arial Unicode MS"/>
          <w:color w:val="000000"/>
          <w:sz w:val="22"/>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spacing w:line="288" w:lineRule="auto" w:after="120"/>
      </w:pPr>
      <w:r>
        <w:rPr>
          <w:rFonts w:ascii="Arial Unicode MS" w:hAnsi="Arial Unicode MS" w:eastAsia="Arial Unicode MS"/>
          <w:color w:val="000000"/>
          <w:sz w:val="22"/>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spacing w:line="288" w:lineRule="auto" w:after="120"/>
      </w:pPr>
      <w:r>
        <w:rPr>
          <w:rFonts w:ascii="Arial Unicode MS" w:hAnsi="Arial Unicode MS" w:eastAsia="Arial Unicode MS"/>
          <w:color w:val="000000"/>
          <w:sz w:val="22"/>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spacing w:line="288" w:lineRule="auto" w:after="120"/>
      </w:pPr>
      <w:r>
        <w:rPr>
          <w:rFonts w:ascii="Arial Unicode MS" w:hAnsi="Arial Unicode MS" w:eastAsia="Arial Unicode MS"/>
          <w:color w:val="000000"/>
          <w:sz w:val="22"/>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spacing w:line="288" w:lineRule="auto" w:after="120"/>
      </w:pPr>
      <w:r>
        <w:rPr>
          <w:rFonts w:ascii="Arial Unicode MS" w:hAnsi="Arial Unicode MS" w:eastAsia="Arial Unicode MS"/>
          <w:color w:val="000000"/>
          <w:sz w:val="22"/>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2"/>
        <w:keepNext/>
        <w:spacing w:before="240" w:after="140"/>
      </w:pPr>
      <w:r>
        <w:rPr>
          <w:rFonts w:ascii="Arial Unicode MS" w:hAnsi="Arial Unicode MS" w:eastAsia="Arial Unicode MS"/>
          <w:color w:val="000000"/>
          <w:sz w:val="23"/>
        </w:rPr>
        <w:t>1.2.2 关系保持数据增强</w:t>
      </w:r>
    </w:p>
    <w:p>
      <w:pPr>
        <w:pStyle w:val="BodyText"/>
        <w:spacing w:line="288" w:lineRule="auto" w:after="120"/>
      </w:pPr>
      <w:r>
        <w:rPr>
          <w:rFonts w:ascii="Arial Unicode MS" w:hAnsi="Arial Unicode MS" w:eastAsia="Arial Unicode MS"/>
          <w:color w:val="000000"/>
          <w:sz w:val="22"/>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spacing w:line="288" w:lineRule="auto" w:after="120"/>
      </w:pPr>
      <w:commentRangeStart w:id="1"/>
      <w:r>
        <w:rPr>
          <w:rFonts w:ascii="Arial Unicode MS" w:hAnsi="Arial Unicode MS" w:eastAsia="Arial Unicode MS"/>
          <w:color w:val="000000"/>
          <w:sz w:val="22"/>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Style w:val="CommentReference"/>
        </w:rPr>
        <w:commentReference w:id="1"/>
      </w:r>
    </w:p>
    <w:p>
      <w:pPr>
        <w:pStyle w:val="BodyText"/>
        <w:spacing w:line="288" w:lineRule="auto" w:after="120"/>
      </w:pPr>
      <w:r>
        <w:rPr>
          <w:rFonts w:ascii="Arial Unicode MS" w:hAnsi="Arial Unicode MS" w:eastAsia="Arial Unicode MS"/>
          <w:color w:val="000000"/>
          <w:sz w:val="22"/>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spacing w:line="288" w:lineRule="auto" w:after="120"/>
      </w:pPr>
      <w:r>
        <w:rPr>
          <w:rFonts w:ascii="Arial Unicode MS" w:hAnsi="Arial Unicode MS" w:eastAsia="Arial Unicode MS"/>
          <w:color w:val="000000"/>
          <w:sz w:val="22"/>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spacing w:line="288" w:lineRule="auto" w:after="120"/>
      </w:pPr>
      <w:r>
        <w:rPr>
          <w:rFonts w:ascii="Arial Unicode MS" w:hAnsi="Arial Unicode MS" w:eastAsia="Arial Unicode MS"/>
          <w:color w:val="000000"/>
          <w:sz w:val="22"/>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2"/>
        <w:keepNext/>
        <w:spacing w:before="240" w:after="140"/>
      </w:pPr>
      <w:r>
        <w:rPr>
          <w:rFonts w:ascii="Arial Unicode MS" w:hAnsi="Arial Unicode MS" w:eastAsia="Arial Unicode MS"/>
          <w:color w:val="000000"/>
          <w:sz w:val="23"/>
        </w:rPr>
        <w:t>1.2.3 结构化预测与论辩图修正</w:t>
      </w:r>
    </w:p>
    <w:p>
      <w:pPr>
        <w:pStyle w:val="BodyText"/>
        <w:spacing w:line="288" w:lineRule="auto" w:after="120"/>
      </w:pPr>
      <w:r>
        <w:rPr>
          <w:rFonts w:ascii="Arial Unicode MS" w:hAnsi="Arial Unicode MS" w:eastAsia="Arial Unicode MS"/>
          <w:color w:val="000000"/>
          <w:sz w:val="22"/>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spacing w:line="288" w:lineRule="auto" w:after="120"/>
      </w:pPr>
      <w:r>
        <w:rPr>
          <w:rFonts w:ascii="Arial Unicode MS" w:hAnsi="Arial Unicode MS" w:eastAsia="Arial Unicode MS"/>
          <w:color w:val="000000"/>
          <w:sz w:val="22"/>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spacing w:line="288" w:lineRule="auto" w:after="120"/>
      </w:pPr>
      <w:r>
        <w:rPr>
          <w:rFonts w:ascii="Arial Unicode MS" w:hAnsi="Arial Unicode MS" w:eastAsia="Arial Unicode MS"/>
          <w:color w:val="000000"/>
          <w:sz w:val="22"/>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spacing w:line="288" w:lineRule="auto" w:after="120"/>
      </w:pPr>
      <w:r>
        <w:rPr>
          <w:rFonts w:ascii="Arial Unicode MS" w:hAnsi="Arial Unicode MS" w:eastAsia="Arial Unicode MS"/>
          <w:color w:val="000000"/>
          <w:sz w:val="22"/>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spacing w:line="288" w:lineRule="auto" w:after="120"/>
      </w:pPr>
      <w:r>
        <w:rPr>
          <w:rFonts w:ascii="Arial Unicode MS" w:hAnsi="Arial Unicode MS" w:eastAsia="Arial Unicode MS"/>
          <w:color w:val="000000"/>
          <w:sz w:val="22"/>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spacing w:line="288" w:lineRule="auto" w:after="120"/>
      </w:pPr>
      <w:r>
        <w:rPr>
          <w:rFonts w:ascii="Arial Unicode MS" w:hAnsi="Arial Unicode MS" w:eastAsia="Arial Unicode MS"/>
          <w:color w:val="000000"/>
          <w:sz w:val="22"/>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spacing w:line="288" w:lineRule="auto" w:after="120"/>
      </w:pPr>
      <w:r>
        <w:rPr>
          <w:rFonts w:ascii="Arial Unicode MS" w:hAnsi="Arial Unicode MS" w:eastAsia="Arial Unicode MS"/>
          <w:color w:val="000000"/>
          <w:sz w:val="22"/>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spacing w:before="100" w:after="120"/>
      </w:pPr>
      <w:r>
        <w:rPr>
          <w:rFonts w:ascii="Arial Unicode MS" w:hAnsi="Arial Unicode MS" w:eastAsia="Arial Unicode MS"/>
          <w:color w:val="000000"/>
          <w:sz w:val="20"/>
        </w:rPr>
        <w:t>表1-1 近邻方法与本文研究位置</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796"/>
        <w:gridCol w:w="2482"/>
        <w:gridCol w:w="2694"/>
        <w:gridCol w:w="3119"/>
      </w:tblGrid>
      <w:tr>
        <w:trPr>
          <w:cantSplit/>
          <w:tblHeader/>
        </w:trPr>
        <w:tc>
          <w:tcPr>
            <w:tcW w:type="dxa" w:w="179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研究</w:t>
            </w:r>
          </w:p>
        </w:tc>
        <w:tc>
          <w:tcPr>
            <w:tcW w:type="dxa" w:w="2482"/>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任务或输入条件</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相关机制</w:t>
            </w:r>
          </w:p>
        </w:tc>
        <w:tc>
          <w:tcPr>
            <w:tcW w:type="dxa" w:w="311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本文比较重点</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QOS[35]</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论辩标注文本的槽位化增强</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改写后恢复跨度并继承类型及关系</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内部与跨边界关系、NONE检查及资源匹配</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ConsistRE与CovEReD[38][37]</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关系抽取及文档级关系预测</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关系条件生成或反事实一致性</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论辩角色依赖与组件关系成对学习</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AASP[9]</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自回归论辩结构生成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受约束动作构建结构</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生成过程约束与生成后事务决策的区别</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Re-Cent[43]</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联合实体关系抽取</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关系引导跨度对抽取与修正</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组件集合修改的依赖域与整体接受条件</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MCR-BR[34]</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从原文生成多个完整论辩图</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整图重排序及有界组件关系修改</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集合替换、完整关系重建与风险成本归因</w:t>
            </w:r>
          </w:p>
        </w:tc>
      </w:tr>
    </w:tbl>
    <w:p>
      <w:pPr>
        <w:pStyle w:val="BodyText"/>
        <w:spacing w:line="288" w:lineRule="auto" w:after="120" w:before="120"/>
      </w:pPr>
      <w:commentRangeStart w:id="2"/>
      <w:r>
        <w:rPr>
          <w:rFonts w:ascii="Arial Unicode MS" w:hAnsi="Arial Unicode MS" w:eastAsia="Arial Unicode MS"/>
          <w:color w:val="000000"/>
          <w:sz w:val="22"/>
        </w:rPr>
        <w:t>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-4分别比较可靠对应构造与QOS式适配、完整成对与NoPair，以区分数据构造和学习目标的作用。</w:t>
      </w:r>
      <w:commentRangeEnd w:id="2"/>
      <w:r>
        <w:rPr>
          <w:rStyle w:val="CommentReference"/>
        </w:rPr>
        <w:commentReference w:id="2"/>
      </w:r>
    </w:p>
    <w:p>
      <w:pPr>
        <w:pStyle w:val="BodyText"/>
        <w:spacing w:line="288" w:lineRule="auto" w:after="120"/>
      </w:pPr>
      <w:r>
        <w:rPr>
          <w:rFonts w:ascii="Arial Unicode MS" w:hAnsi="Arial Unicode MS" w:eastAsia="Arial Unicode MS"/>
          <w:color w:val="000000"/>
          <w:sz w:val="22"/>
        </w:rPr>
        <w:t>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-4以I1对RelationOnly考察组件修改范围，以Single对Sequential考察共同接受方式；集合动作及局部、全局求解的作用另由对应比较判断。</w:t>
      </w:r>
    </w:p>
    <w:p>
      <w:pPr>
        <w:pStyle w:val="BodyText"/>
        <w:spacing w:line="288" w:lineRule="auto" w:after="120"/>
      </w:pPr>
      <w:r>
        <w:rPr>
          <w:rFonts w:ascii="Arial Unicode MS" w:hAnsi="Arial Unicode MS" w:eastAsia="Arial Unicode MS"/>
          <w:color w:val="000000"/>
          <w:sz w:val="22"/>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1"/>
        <w:keepNext/>
        <w:spacing w:before="240" w:after="140"/>
      </w:pPr>
      <w:r>
        <w:rPr>
          <w:rFonts w:ascii="Arial Unicode MS" w:hAnsi="Arial Unicode MS" w:eastAsia="Arial Unicode MS"/>
          <w:color w:val="000000"/>
          <w:sz w:val="26"/>
        </w:rPr>
        <w:t>1.3 研究问题与主要研究工作</w:t>
      </w:r>
    </w:p>
    <w:p>
      <w:pPr>
        <w:pStyle w:val="BodyText"/>
        <w:spacing w:line="288" w:lineRule="auto" w:after="120"/>
      </w:pPr>
      <w:r>
        <w:rPr>
          <w:sz w:val="22"/>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4100303"/>
            <wp:docPr id="2" name="Picture 2"/>
            <wp:cNvGraphicFramePr>
              <a:graphicFrameLocks noChangeAspect="1"/>
            </wp:cNvGraphicFramePr>
            <a:graphic>
              <a:graphicData uri="http://schemas.openxmlformats.org/drawingml/2006/picture">
                <pic:pic>
                  <pic:nvPicPr>
                    <pic:cNvPr id="0" name="rId31.png"/>
                    <pic:cNvPicPr/>
                  </pic:nvPicPr>
                  <pic:blipFill>
                    <a:blip r:embed="rId10"/>
                    <a:stretch>
                      <a:fillRect/>
                    </a:stretch>
                  </pic:blipFill>
                  <pic:spPr>
                    <a:xfrm>
                      <a:off x="0" y="0"/>
                      <a:ext cx="6408420" cy="4100303"/>
                    </a:xfrm>
                    <a:prstGeom prst="rect"/>
                  </pic:spPr>
                </pic:pic>
              </a:graphicData>
            </a:graphic>
          </wp:inline>
        </w:drawing>
      </w:r>
    </w:p>
    <w:p>
      <w:pPr>
        <w:pStyle w:val="Caption"/>
        <w:keepNext w:val="0"/>
        <w:spacing w:before="100" w:after="120"/>
      </w:pPr>
      <w:r>
        <w:rPr>
          <w:rFonts w:ascii="Arial Unicode MS" w:hAnsi="Arial Unicode MS" w:eastAsia="Arial Unicode MS"/>
          <w:color w:val="000000"/>
          <w:sz w:val="20"/>
        </w:rPr>
        <w:t>图1-2 组件关系依赖下的两项研究内容</w:t>
      </w:r>
    </w:p>
    <w:p>
      <w:pPr>
        <w:pStyle w:val="BodyText"/>
        <w:spacing w:line="288" w:lineRule="auto" w:after="120"/>
        <w:ind w:firstLine="440"/>
      </w:pPr>
      <w:r>
        <w:rPr>
          <w:b w:val="0"/>
          <w:sz w:val="22"/>
        </w:rPr>
        <w:t>围绕上述两个阶段，本文提出以下研究问题。</w:t>
      </w:r>
    </w:p>
    <w:p>
      <w:pPr>
        <w:pStyle w:val="BodyText"/>
        <w:spacing w:line="288" w:lineRule="auto" w:after="120"/>
      </w:pPr>
      <w:r>
        <w:rPr>
          <w:rFonts w:ascii="Arial Unicode MS" w:hAnsi="Arial Unicode MS" w:eastAsia="Arial Unicode MS"/>
          <w:color w:val="000000"/>
          <w:sz w:val="22"/>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spacing w:line="288" w:lineRule="auto" w:after="120"/>
      </w:pPr>
      <w:r>
        <w:rPr>
          <w:rFonts w:ascii="Arial Unicode MS" w:hAnsi="Arial Unicode MS" w:eastAsia="Arial Unicode MS"/>
          <w:color w:val="000000"/>
          <w:sz w:val="22"/>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spacing w:line="288" w:lineRule="auto" w:after="120"/>
      </w:pPr>
      <w:r>
        <w:rPr>
          <w:rFonts w:ascii="Arial Unicode MS" w:hAnsi="Arial Unicode MS" w:eastAsia="Arial Unicode MS"/>
          <w:color w:val="000000"/>
          <w:sz w:val="22"/>
        </w:rPr>
        <w:t>两阶段四格比较检验相对ICIC继承配置的条件增量，对象成员分析进一步区分重叠恢复、独有恢复和新增损失。它们用于解释两项研究的关系，不另列为第三项算法创新。</w:t>
      </w:r>
    </w:p>
    <w:p>
      <w:pPr>
        <w:pStyle w:val="BodyText"/>
        <w:spacing w:line="288" w:lineRule="auto" w:after="120"/>
        <w:ind w:firstLine="440"/>
      </w:pPr>
      <w:r>
        <w:rPr>
          <w:b w:val="0"/>
          <w:sz w:val="22"/>
        </w:rPr>
        <w:t>针对上述研究问题，本文开展以下两项研究工作。</w:t>
      </w:r>
    </w:p>
    <w:p>
      <w:pPr>
        <w:pStyle w:val="BodyText"/>
        <w:spacing w:line="288" w:lineRule="auto" w:after="120"/>
      </w:pPr>
      <w:commentRangeStart w:id="3"/>
      <w:r>
        <w:rPr>
          <w:rFonts w:ascii="Arial Unicode MS" w:hAnsi="Arial Unicode MS" w:eastAsia="Arial Unicode MS"/>
          <w:color w:val="000000"/>
          <w:sz w:val="22"/>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Style w:val="CommentReference"/>
        </w:rPr>
        <w:commentReference w:id="3"/>
      </w:r>
    </w:p>
    <w:p>
      <w:pPr>
        <w:pStyle w:val="BodyText"/>
        <w:spacing w:line="288" w:lineRule="auto" w:after="120"/>
      </w:pPr>
      <w:r>
        <w:rPr>
          <w:rFonts w:ascii="Arial Unicode MS" w:hAnsi="Arial Unicode MS" w:eastAsia="Arial Unicode MS"/>
          <w:color w:val="000000"/>
          <w:sz w:val="22"/>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spacing w:line="288" w:lineRule="auto" w:after="120"/>
      </w:pPr>
      <w:r>
        <w:rPr>
          <w:rFonts w:ascii="Arial Unicode MS" w:hAnsi="Arial Unicode MS" w:eastAsia="Arial Unicode MS"/>
          <w:color w:val="000000"/>
          <w:sz w:val="22"/>
        </w:rPr>
        <w:t>候选接口、训练辅助头和推理评分器用于实现上述研究。训练辅助头与推理评分器具有不同的监督对象和使用阶段，第二章统一说明其接口。</w:t>
      </w:r>
    </w:p>
    <w:p>
      <w:pPr>
        <w:pStyle w:val="BodyText"/>
        <w:spacing w:line="288" w:lineRule="auto" w:after="120"/>
      </w:pPr>
      <w:commentRangeStart w:id="4"/>
      <w:r>
        <w:rPr>
          <w:rFonts w:ascii="Arial Unicode MS" w:hAnsi="Arial Unicode MS" w:eastAsia="Arial Unicode MS"/>
          <w:color w:val="000000"/>
          <w:sz w:val="22"/>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Style w:val="CommentReference"/>
        </w:rPr>
        <w:commentReference w:id="4"/>
      </w:r>
    </w:p>
    <w:p>
      <w:pPr>
        <w:pStyle w:val="BodyText"/>
        <w:spacing w:line="288" w:lineRule="auto" w:after="120"/>
      </w:pPr>
      <w:r>
        <w:rPr>
          <w:sz w:val="22"/>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spacing w:line="288" w:lineRule="auto" w:after="120" w:before="120"/>
      </w:pPr>
      <w:commentRangeStart w:id="10"/>
      <w:r>
        <w:rPr>
          <w:sz w:val="22"/>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Style w:val="CommentReference"/>
        </w:rPr>
        <w:commentReference w:id="10"/>
      </w:r>
    </w:p>
    <w:p>
      <w:pPr>
        <w:pStyle w:val="BodyText"/>
        <w:spacing w:line="288" w:lineRule="auto" w:after="120"/>
      </w:pPr>
      <w:commentRangeStart w:id="11"/>
      <w:r>
        <w:rPr>
          <w:sz w:val="22"/>
        </w:rPr>
        <w:t>本文以ICIC 2026发表的MCR-BR方法[34]为基础。表1-2概括已有机制与本文研究内容。</w:t>
      </w:r>
      <w:commentRangeEnd w:id="11"/>
      <w:r>
        <w:rPr>
          <w:rStyle w:val="CommentReference"/>
        </w:rPr>
        <w:commentReference w:id="11"/>
      </w:r>
    </w:p>
    <w:p>
      <w:pPr>
        <w:pStyle w:val="Caption"/>
        <w:keepNext/>
        <w:spacing w:before="100" w:after="120"/>
      </w:pPr>
      <w:r>
        <w:rPr>
          <w:sz w:val="20"/>
        </w:rPr>
        <w:t>表1-2 MCR-BR已有机制与本文研究内容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7"/>
        <w:gridCol w:w="3936"/>
        <w:gridCol w:w="4340"/>
      </w:tblGrid>
      <w:tr>
        <w:trPr>
          <w:cantSplit/>
          <w:tblHeader/>
        </w:trPr>
        <w:tc>
          <w:tcPr>
            <w:tcW w:type="dxa" w:w="1817"/>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研究层次</w:t>
            </w:r>
          </w:p>
        </w:tc>
        <w:tc>
          <w:tcPr>
            <w:tcW w:type="dxa" w:w="3936"/>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MCR-BR已有机制</w:t>
            </w:r>
          </w:p>
        </w:tc>
        <w:tc>
          <w:tcPr>
            <w:tcW w:type="dxa" w:w="4340"/>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本文研究内容</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训练与表示</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结论专项适配、线索提示、句子辅助监督</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可靠对应构造、因素掩码与成对学习</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候选生成与选择</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多候选组件、关系构建与整图重排序</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保留初始图接口，明确固定候选及完整对象身份</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组件与关系修正</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类型调整、候选跨度替换、删边与局部重预测</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依赖完整重建与事务接受，比较单对象及集合动作</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评分与评价</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覆盖、语义、合法性混合评分及非下降接受</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完整对象正确性评分、计数效用与风险分析</w:t>
            </w:r>
          </w:p>
        </w:tc>
      </w:tr>
    </w:tbl>
    <w:p>
      <w:pPr>
        <w:pStyle w:val="BodyText"/>
        <w:spacing w:line="288" w:lineRule="auto" w:after="120" w:before="120"/>
      </w:pPr>
      <w:r>
        <w:rPr>
          <w:rFonts w:ascii="Arial Unicode MS" w:hAnsi="Arial Unicode MS" w:eastAsia="Arial Unicode MS"/>
          <w:color w:val="000000"/>
          <w:sz w:val="22"/>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1"/>
        <w:keepNext/>
        <w:spacing w:before="240" w:after="140"/>
      </w:pPr>
      <w:r>
        <w:rPr>
          <w:rFonts w:ascii="Arial Unicode MS" w:hAnsi="Arial Unicode MS" w:eastAsia="Arial Unicode MS"/>
          <w:color w:val="000000"/>
          <w:sz w:val="26"/>
        </w:rPr>
        <w:t>1.4 论文组织结构</w:t>
      </w:r>
    </w:p>
    <w:p>
      <w:pPr>
        <w:pStyle w:val="BodyText"/>
        <w:spacing w:line="288" w:lineRule="auto" w:after="120"/>
      </w:pPr>
      <w:r>
        <w:rPr>
          <w:sz w:val="22"/>
        </w:rPr>
        <w:t>第二章介绍论辩挖掘的任务表示、相关理论与技术，并统一评价和公共实验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sectPr w:rsidR="00FC693F" w:rsidRPr="0006063C" w:rsidSect="00034616">
      <w:headerReference w:type="default" r:id="rId11"/>
      <w:footerReference w:type="default" r:id="rId12"/>
      <w:pgSz w:w="11906" w:h="16838"/>
      <w:pgMar w:top="1020" w:right="907" w:bottom="1020" w:left="90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1" w:author="修订说明" w:initials="REV" w:date="2026-10-12T01:50:55Z">
    <w:p>
      <w:pPr>
        <w:pStyle w:val="CommentText"/>
      </w:pPr>
      <w:r>
        <w:rPr>
          <w:rStyle w:val="CommentReference"/>
        </w:rPr>
        <w:annotationRef/>
      </w:r>
      <w:r>
        <w:t>Q-02：文献段保留近邻机制，将本文最小差异集中到表1-1后。</w:t>
      </w:r>
    </w:p>
  </w:comment>
  <w:comment w:id="2" w:author="修订说明" w:initials="REV" w:date="2026-10-12T01:50:55Z">
    <w:p>
      <w:pPr>
        <w:pStyle w:val="CommentText"/>
      </w:pPr>
      <w:r>
        <w:rPr>
          <w:rStyle w:val="CommentReference"/>
        </w:rPr>
        <w:annotationRef/>
      </w:r>
      <w:r>
        <w:t>Q-02：新增两段最小差异，明确审核因素、掩码、固定视图的成对目标，以及依赖闭合、接受条件和事务记录；绑定表3-4与表4-4。</w:t>
      </w:r>
    </w:p>
  </w:comment>
  <w:comment w:id="3" w:author="修订说明" w:initials="REV" w:date="2026-10-12T01:50:55Z">
    <w:p>
      <w:pPr>
        <w:pStyle w:val="CommentText"/>
      </w:pPr>
      <w:r>
        <w:rPr>
          <w:rStyle w:val="CommentReference"/>
        </w:rPr>
        <w:annotationRef/>
      </w:r>
      <w:r>
        <w:t>压缩方法细节，保留两项研究内容，接口说明转接第二章。</w:t>
      </w:r>
    </w:p>
  </w:comment>
  <w:comment w:id="4" w:author="修订说明" w:initials="REV" w:date="2026-10-12T01:50:55Z">
    <w:p>
      <w:pPr>
        <w:pStyle w:val="CommentText"/>
      </w:pPr>
      <w:r>
        <w:rPr>
          <w:rStyle w:val="CommentReference"/>
        </w:rPr>
        <w:annotationRef/>
      </w:r>
      <w:r>
        <w:t>Q-01：将贡献分为研究规约、配置条件效果、独立机制增量，并如实保留尚未确立的机制优势。</w:t>
      </w:r>
    </w:p>
  </w:comment>
  <w:comment w:id="7" w:author="修订说明" w:initials="REV" w:date="2026-10-12T02:47:24Z">
    <w:p>
      <w:pPr>
        <w:pStyle w:val="CommentText"/>
      </w:pPr>
      <w:r>
        <w:rPr>
          <w:rStyle w:val="CommentReference"/>
        </w:rPr>
        <w:annotationRef/>
      </w:r>
      <w:r>
        <w:t>按参照论文的绪论顺序，先交代研究背景与需求，再引入任务、困难和研究意义。</w:t>
      </w:r>
    </w:p>
  </w:comment>
  <w:comment w:id="8" w:author="修订说明" w:initials="REV" w:date="2026-10-12T02:47:24Z">
    <w:p>
      <w:pPr>
        <w:pStyle w:val="CommentText"/>
      </w:pPr>
      <w:r>
        <w:rPr>
          <w:rStyle w:val="CommentReference"/>
        </w:rPr>
        <w:annotationRef/>
      </w:r>
      <w:r>
        <w:t>示例用于解释论辩组件和支持关系；原稿中的标签输运、对象身份和比较协议不在背景部分展开。</w:t>
      </w:r>
    </w:p>
  </w:comment>
  <w:comment w:id="9" w:author="修订说明" w:initials="REV" w:date="2026-10-12T02:47:24Z">
    <w:p>
      <w:pPr>
        <w:pStyle w:val="CommentText"/>
      </w:pPr>
      <w:r>
        <w:rPr>
          <w:rStyle w:val="CommentReference"/>
        </w:rPr>
        <w:annotationRef/>
      </w:r>
      <w:r>
        <w:t>新增方法层面的研究意义；应用意义按潜在用途表述，不作为已完成的应用验证。</w:t>
      </w:r>
    </w:p>
  </w:comment>
  <w:comment w:id="10" w:author="修订说明" w:initials="REV" w:date="2026-10-12T06:56:31Z">
    <w:p>
      <w:pPr>
        <w:pStyle w:val="CommentText"/>
      </w:pPr>
      <w:r>
        <w:rPr>
          <w:rStyle w:val="CommentReference"/>
        </w:rPr>
        <w:annotationRef/>
      </w:r>
      <w:r>
        <w:t>按已确认方案，将原表1-2的详细比较责任后移至第二章补充表S2-4；绪论保留研究问题、比较族与归因边界的概括。</w:t>
      </w:r>
    </w:p>
  </w:comment>
  <w:comment w:id="11" w:author="修订说明" w:initials="REV" w:date="2026-10-12T06:56:31Z">
    <w:p>
      <w:pPr>
        <w:pStyle w:val="CommentText"/>
      </w:pPr>
      <w:r>
        <w:rPr>
          <w:rStyle w:val="CommentReference"/>
        </w:rPr>
        <w:annotationRef/>
      </w:r>
      <w:r>
        <w:t>原表1-3压缩为三列四项，顺序改为表1-2。继承与新增内容继续明确区分；删去的结果归属内容由实验章节及附录C.1承担。</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第一章审阅版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color w:val="000000"/>
        <w:sz w:val="16"/>
      </w:rPr>
      <w:t>test稿件  第一章审阅版  沿用原稿模拟说明  未新增实验数值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