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第二章 相关理论与技术</w:t>
      </w:r>
    </w:p>
    <w:p>
      <w:pPr/>
      <w: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1"/>
      </w:pPr>
      <w:r>
        <w:t>2.1 论辩挖掘任务与结构表示</w:t>
      </w:r>
    </w:p>
    <w:p>
      <w:pPr>
        <w:pStyle w:val="Heading2"/>
      </w:pPr>
      <w:r>
        <w:t>2.1.1 文档与论辩组件</w:t>
      </w:r>
    </w:p>
    <w:p>
      <w:pPr/>
      <w: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pPr>
      <w:r>
        <w:t xml:space="preserve">记固定文本版本的文档为 </w:t>
      </w:r>
      <m:oMath>
        <m:r>
          <m:t xml:space="preserve">x</m:t>
        </m:r>
      </m:oMath>
      <w:r>
        <w:t xml:space="preserve">，其标识为 </w:t>
      </w:r>
      <m:oMath>
        <m:r>
          <m:t xml:space="preserve">d</m:t>
        </m:r>
      </m:oMath>
      <w:r>
        <w:t>。文档标识同时关联语料、原生文档编号及文本版本，字符位置按照原文中的Unicode码点从0开始计数。组件的规范表示定义为</w:t>
      </w:r>
    </w:p>
    <w:p>
      <w:pPr>
        <w:spacing w:line="276" w:lineRule="auto" w:after="140"/>
        <w:ind w:firstLine="0"/>
        <w:jc w:val="center"/>
      </w:pPr>
      <m:oMath>
        <m:r>
          <m:t xml:space="preserve">c</m:t>
        </m:r>
        <m:r>
          <m:t xml:space="preserve">=</m:t>
        </m:r>
        <m:r>
          <m:t xml:space="preserve">(</m:t>
        </m:r>
        <m:r>
          <m:t xml:space="preserve">d</m:t>
        </m:r>
        <m:r>
          <m:t xml:space="preserve">,</m:t>
        </m:r>
        <m:r>
          <m:t xml:space="preserve">b</m:t>
        </m:r>
        <m:r>
          <m:t xml:space="preserve">,</m:t>
        </m:r>
        <m:r>
          <m:t xml:space="preserve">e</m:t>
        </m:r>
        <m:r>
          <m:t xml:space="preserve">,</m:t>
        </m:r>
        <m:r>
          <m:t xml:space="preserve">t</m:t>
        </m:r>
        <m:r>
          <m:t xml:space="preserve">)</m:t>
        </m:r>
        <m:r>
          <m:t xml:space="preserve">,</m:t>
        </m:r>
        <m:r>
          <m:t xml:space="preserve">    </m:t>
        </m:r>
        <m:r>
          <m:t xml:space="preserve">0</m:t>
        </m:r>
        <m:r>
          <m:t xml:space="preserve">≤</m:t>
        </m:r>
        <m:r>
          <m:t xml:space="preserve">b</m:t>
        </m:r>
        <m:r>
          <m:t xml:space="preserve">&lt;</m:t>
        </m:r>
        <m:r>
          <m:t xml:space="preserve">e</m:t>
        </m:r>
        <m:r>
          <m:t xml:space="preserve">≤</m:t>
        </m:r>
        <m:r>
          <m:t xml:space="preserve">|</m:t>
        </m:r>
        <m:r>
          <m:t xml:space="preserve">x</m:t>
        </m:r>
        <m:r>
          <m:t xml:space="preserve">|</m:t>
        </m:r>
        <m:r>
          <m:t xml:space="preserve">.</m:t>
        </m:r>
      </m:oMath>
      <w:r>
        <w:rPr>
          <w:sz w:val="18"/>
        </w:rPr>
        <w:t xml:space="preserve">   （2-1）</w:t>
      </w:r>
    </w:p>
    <w:p>
      <w:pPr/>
      <w:r>
        <w:t>其中，</w:t>
      </w:r>
      <m:oMath>
        <m:r>
          <m:t xml:space="preserve">[</m:t>
        </m:r>
        <m:r>
          <m:t xml:space="preserve">b</m:t>
        </m:r>
        <m:r>
          <m:t xml:space="preserve">,</m:t>
        </m:r>
        <m:r>
          <m:t xml:space="preserve">e</m:t>
        </m:r>
        <m:r>
          <m:t xml:space="preserve">)</m:t>
        </m:r>
      </m:oMath>
      <w:r>
        <w:t xml:space="preserve"> 为左闭右开的字符区间，</w:t>
      </w:r>
      <m:oMath>
        <m:r>
          <m:t xml:space="preserve">x</m:t>
        </m:r>
        <m:r>
          <m:t xml:space="preserve">[</m:t>
        </m:r>
        <m:r>
          <m:t xml:space="preserve">b</m:t>
        </m:r>
        <m:r>
          <m:t xml:space="preserve">:</m:t>
        </m:r>
        <m:r>
          <m:t xml:space="preserve">e</m:t>
        </m:r>
        <m:r>
          <m:t xml:space="preserve">]</m:t>
        </m:r>
      </m:oMath>
      <w:r>
        <w:t xml:space="preserve"> 是组件的原文片段，</w:t>
      </w:r>
      <m:oMath>
        <m:r>
          <m:t xml:space="preserve">t</m:t>
        </m:r>
      </m:oMath>
      <w:r>
        <w:t xml:space="preserve"> 为该语料的原生组件类型。相同文字在文档的不同位置出现时，对应不同组件；同一字符区间被赋予不同类型时，也对应不同的预测对象。本文将字符区间和类型共同作为严格匹配的依据。</w:t>
      </w:r>
    </w:p>
    <w:p>
      <w:pPr/>
      <w: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pStyle w:val="Heading2"/>
      </w:pPr>
      <w:r>
        <w:t>2.1.2 二元关系与多前提关系</w:t>
      </w:r>
    </w:p>
    <w:p>
      <w:pPr/>
      <w: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t xml:space="preserve">，其中 </w:t>
      </w:r>
      <m:oMath>
        <m:sSub>
          <m:e>
            <m:r>
              <m:t xml:space="preserve">c</m:t>
            </m:r>
          </m:e>
          <m:sub>
            <m:r>
              <m:t xml:space="preserve">i</m:t>
            </m:r>
          </m:sub>
        </m:sSub>
      </m:oMath>
      <w:r>
        <w:t xml:space="preserve"> 为源组件，</w:t>
      </w:r>
      <m:oMath>
        <m:sSub>
          <m:e>
            <m:r>
              <m:t xml:space="preserve">c</m:t>
            </m:r>
          </m:e>
          <m:sub>
            <m:r>
              <m:t xml:space="preserve">j</m:t>
            </m:r>
          </m:sub>
        </m:sSub>
      </m:oMath>
      <w:r>
        <w:t xml:space="preserve"> 为目标组件，</w:t>
      </w:r>
      <m:oMath>
        <m:r>
          <m:t xml:space="preserve">ℓ</m:t>
        </m:r>
      </m:oMath>
      <w: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t xml:space="preserve">，其中 </w:t>
      </w:r>
      <m:oMath>
        <m:r>
          <m:t xml:space="preserve">C</m:t>
        </m:r>
      </m:oMath>
      <w:r>
        <w:t xml:space="preserve"> 为组件集合，</w:t>
      </w:r>
      <m:oMath>
        <m:r>
          <m:t xml:space="preserve">R</m:t>
        </m:r>
      </m:oMath>
      <w:r>
        <w:t xml:space="preserve"> 为关系集合。</w:t>
      </w:r>
    </w:p>
    <w:p>
      <w:pPr/>
      <w: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t xml:space="preserve">，其中 </w:t>
      </w:r>
      <m:oMath>
        <m:r>
          <m:t xml:space="preserve">S</m:t>
        </m:r>
      </m:oMath>
      <w: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keepNext/>
        <w:spacing w:before="80" w:after="100"/>
        <w:ind w:firstLine="0"/>
      </w:pPr>
      <w:r>
        <w:rPr>
          <w:b/>
          <w:sz w:val="19"/>
        </w:rPr>
        <w:t>表2-1 两种语料的原生任务表示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4"/>
        <w:gridCol w:w="2587"/>
        <w:gridCol w:w="2293"/>
        <w:gridCol w:w="3603"/>
      </w:tblGrid>
      <w:tr>
        <w:trPr>
          <w:cantSplit/>
          <w:tblHeader/>
        </w:trPr>
        <w:tc>
          <w:tcPr>
            <w:tcW w:type="dxa" w:w="1064"/>
            <w:vAlign w:val="center"/>
            <w:tcMar>
              <w:top w:w="50" w:type="dxa"/>
              <w:bottom w:w="50" w:type="dxa"/>
              <w:left w:w="80" w:type="dxa"/>
              <w:right w:w="80" w:type="dxa"/>
            </w:tcMar>
            <w:shd w:fill="E7E6E6"/>
          </w:tcPr>
          <w:p>
            <w:pPr>
              <w:spacing w:after="0" w:line="264" w:lineRule="auto"/>
              <w:ind w:firstLine="0"/>
              <w:jc w:val="center"/>
            </w:pPr>
            <w:r>
              <w:rPr>
                <w:b/>
                <w:sz w:val="19"/>
              </w:rPr>
              <w:t>语料</w:t>
            </w:r>
          </w:p>
        </w:tc>
        <w:tc>
          <w:tcPr>
            <w:tcW w:type="dxa" w:w="2587"/>
            <w:vAlign w:val="center"/>
            <w:tcMar>
              <w:top w:w="50" w:type="dxa"/>
              <w:bottom w:w="50" w:type="dxa"/>
              <w:left w:w="80" w:type="dxa"/>
              <w:right w:w="80" w:type="dxa"/>
            </w:tcMar>
            <w:shd w:fill="E7E6E6"/>
          </w:tcPr>
          <w:p>
            <w:pPr>
              <w:spacing w:after="0" w:line="264" w:lineRule="auto"/>
              <w:ind w:firstLine="0"/>
              <w:jc w:val="center"/>
            </w:pPr>
            <w:r>
              <w:rPr>
                <w:b/>
                <w:sz w:val="19"/>
              </w:rPr>
              <w:t>组件类型</w:t>
            </w:r>
          </w:p>
        </w:tc>
        <w:tc>
          <w:tcPr>
            <w:tcW w:type="dxa" w:w="2293"/>
            <w:vAlign w:val="center"/>
            <w:tcMar>
              <w:top w:w="50" w:type="dxa"/>
              <w:bottom w:w="50" w:type="dxa"/>
              <w:left w:w="80" w:type="dxa"/>
              <w:right w:w="80" w:type="dxa"/>
            </w:tcMar>
            <w:shd w:fill="E7E6E6"/>
          </w:tcPr>
          <w:p>
            <w:pPr>
              <w:spacing w:after="0" w:line="264" w:lineRule="auto"/>
              <w:ind w:firstLine="0"/>
              <w:jc w:val="center"/>
            </w:pPr>
            <w:r>
              <w:rPr>
                <w:b/>
                <w:sz w:val="19"/>
              </w:rPr>
              <w:t>关系对象</w:t>
            </w:r>
          </w:p>
        </w:tc>
        <w:tc>
          <w:tcPr>
            <w:tcW w:type="dxa" w:w="3603"/>
            <w:vAlign w:val="center"/>
            <w:tcMar>
              <w:top w:w="50" w:type="dxa"/>
              <w:bottom w:w="50" w:type="dxa"/>
              <w:left w:w="80" w:type="dxa"/>
              <w:right w:w="80" w:type="dxa"/>
            </w:tcMar>
            <w:shd w:fill="E7E6E6"/>
          </w:tcPr>
          <w:p>
            <w:pPr>
              <w:spacing w:after="0" w:line="264" w:lineRule="auto"/>
              <w:ind w:firstLine="0"/>
              <w:jc w:val="center"/>
            </w:pPr>
            <w:r>
              <w:rPr>
                <w:b/>
                <w:sz w:val="19"/>
              </w:rPr>
              <w:t>评价时保留的边界</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AAEC</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MajorClaim、Claim、Premise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Support、Attack二元关系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Claim对MajorClaim的stance单列，不补造普通关系</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CDCP</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Fact、Testimony、Value、Policy、Reference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Reason、Evidence多前提关系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完整源集合参与匹配，不归并组件类型、不拆分超边</w:t>
            </w:r>
          </w:p>
        </w:tc>
      </w:tr>
    </w:tbl>
    <w:p>
      <w:pPr/>
      <w: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1"/>
      </w:pPr>
      <w:r>
        <w:t>2.2 对象身份与结构化表示</w:t>
      </w:r>
    </w:p>
    <w:p>
      <w:pPr>
        <w:pStyle w:val="Heading2"/>
      </w:pPr>
      <w:r>
        <w:t>2.2.1 字符坐标与分词坐标的无损转换</w:t>
      </w:r>
    </w:p>
    <w:p>
      <w:pPr/>
      <w: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pPr>
      <w: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t xml:space="preserve">。对于组件字符区间 </w:t>
      </w:r>
      <m:oMath>
        <m:r>
          <m:t xml:space="preserve">[</m:t>
        </m:r>
        <m:r>
          <m:t xml:space="preserve">b</m:t>
        </m:r>
        <m:r>
          <m:t xml:space="preserve">,</m:t>
        </m:r>
        <m:r>
          <m:t xml:space="preserve">e</m:t>
        </m:r>
        <m:r>
          <m:t xml:space="preserve">)</m:t>
        </m:r>
      </m:oMath>
      <w:r>
        <w:t xml:space="preserve">，取与其相交的首、末token索引 </w:t>
      </w:r>
      <m:oMath>
        <m:r>
          <m:t xml:space="preserve">s</m:t>
        </m:r>
        <m:r>
          <m:t xml:space="preserve">,</m:t>
        </m:r>
        <m:r>
          <m:t xml:space="preserve">u</m:t>
        </m:r>
      </m:oMath>
      <w:r>
        <w:t>，索引从1开始。记录左右字符残差后，有</w:t>
      </w:r>
    </w:p>
    <w:p>
      <w:pPr>
        <w:spacing w:line="276" w:lineRule="auto" w:after="140"/>
        <w:ind w:firstLine="0"/>
        <w:jc w:val="center"/>
      </w:pPr>
      <m:oMath>
        <m:sSub>
          <m:e>
            <m:r>
              <m:t xml:space="preserve">ρ</m:t>
            </m:r>
          </m:e>
          <m:sub>
            <m:r>
              <m:t xml:space="preserve">L</m:t>
            </m:r>
          </m:sub>
        </m:sSub>
        <m:r>
          <m:t xml:space="preserve">=</m:t>
        </m:r>
        <m:r>
          <m:t xml:space="preserve">b</m:t>
        </m:r>
        <m:r>
          <m:t xml:space="preserve">-</m:t>
        </m:r>
        <m:sSub>
          <m:e>
            <m:r>
              <m:t xml:space="preserve">a</m:t>
            </m:r>
          </m:e>
          <m:sub>
            <m:r>
              <m:t xml:space="preserve">s</m:t>
            </m:r>
          </m:sub>
        </m:sSub>
        <m:r>
          <m:t xml:space="preserve">,</m:t>
        </m:r>
        <m:r>
          <m:t xml:space="preserve">  </m:t>
        </m:r>
        <m:sSub>
          <m:e>
            <m:r>
              <m:t xml:space="preserve">ρ</m:t>
            </m:r>
          </m:e>
          <m:sub>
            <m:r>
              <m:t xml:space="preserve">R</m:t>
            </m:r>
          </m:sub>
        </m:sSub>
        <m:r>
          <m:t xml:space="preserve">=</m:t>
        </m:r>
        <m:sSub>
          <m:e>
            <m:r>
              <m:t xml:space="preserve">z</m:t>
            </m:r>
          </m:e>
          <m:sub>
            <m:r>
              <m:t xml:space="preserve">u</m:t>
            </m:r>
          </m:sub>
        </m:sSub>
        <m:r>
          <m:t xml:space="preserve">-</m:t>
        </m:r>
        <m:r>
          <m:t xml:space="preserve">e</m:t>
        </m:r>
        <m:r>
          <m:t xml:space="preserve">;</m:t>
        </m:r>
        <m:r>
          <m:t xml:space="preserve">    </m:t>
        </m:r>
        <m:r>
          <m:t xml:space="preserve">b</m:t>
        </m:r>
        <m:r>
          <m:t xml:space="preserve">=</m:t>
        </m:r>
        <m:sSub>
          <m:e>
            <m:r>
              <m:t xml:space="preserve">a</m:t>
            </m:r>
          </m:e>
          <m:sub>
            <m:r>
              <m:t xml:space="preserve">s</m:t>
            </m:r>
          </m:sub>
        </m:sSub>
        <m:r>
          <m:t xml:space="preserve">+</m:t>
        </m:r>
        <m:sSub>
          <m:e>
            <m:r>
              <m:t xml:space="preserve">ρ</m:t>
            </m:r>
          </m:e>
          <m:sub>
            <m:r>
              <m:t xml:space="preserve">L</m:t>
            </m:r>
          </m:sub>
        </m:sSub>
        <m:r>
          <m:t xml:space="preserve">,</m:t>
        </m:r>
        <m:r>
          <m:t xml:space="preserve">  </m:t>
        </m:r>
        <m:r>
          <m:t xml:space="preserve">e</m:t>
        </m:r>
        <m:r>
          <m:t xml:space="preserve">=</m:t>
        </m:r>
        <m:sSub>
          <m:e>
            <m:r>
              <m:t xml:space="preserve">z</m:t>
            </m:r>
          </m:e>
          <m:sub>
            <m:r>
              <m:t xml:space="preserve">u</m:t>
            </m:r>
          </m:sub>
        </m:sSub>
        <m:r>
          <m:t xml:space="preserve">-</m:t>
        </m:r>
        <m:sSub>
          <m:e>
            <m:r>
              <m:t xml:space="preserve">ρ</m:t>
            </m:r>
          </m:e>
          <m:sub>
            <m:r>
              <m:t xml:space="preserve">R</m:t>
            </m:r>
          </m:sub>
        </m:sSub>
        <m:r>
          <m:t xml:space="preserve">.</m:t>
        </m:r>
      </m:oMath>
      <w:r>
        <w:rPr>
          <w:sz w:val="18"/>
        </w:rPr>
        <w:t xml:space="preserve">   （2-2）</w:t>
      </w:r>
    </w:p>
    <w:p>
      <w:pPr/>
      <w: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t xml:space="preserve"> 可以恢复原字符区间；只有 </w:t>
      </w:r>
      <m:oMath>
        <m:r>
          <m:t xml:space="preserve">(</m:t>
        </m:r>
        <m:r>
          <m:t xml:space="preserve">s</m:t>
        </m:r>
        <m:r>
          <m:t xml:space="preserve">,</m:t>
        </m:r>
        <m:r>
          <m:t xml:space="preserve">u</m:t>
        </m:r>
        <m:r>
          <m:t xml:space="preserve">)</m:t>
        </m:r>
      </m:oMath>
      <w: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keepNext/>
        <w:spacing w:before="80" w:after="100"/>
        <w:ind w:firstLine="0"/>
      </w:pPr>
      <w:r>
        <w:rPr>
          <w:b/>
          <w:sz w:val="19"/>
        </w:rPr>
        <w:t>表2-2 同一token外包范围下的不同字符对象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4"/>
        <w:gridCol w:w="1806"/>
        <w:gridCol w:w="2010"/>
        <w:gridCol w:w="1413"/>
        <w:gridCol w:w="1884"/>
      </w:tblGrid>
      <w:tr>
        <w:trPr>
          <w:cantSplit/>
          <w:tblHeader/>
        </w:trPr>
        <w:tc>
          <w:tcPr>
            <w:tcW w:type="dxa" w:w="2434"/>
            <w:vAlign w:val="center"/>
            <w:tcMar>
              <w:top w:w="50" w:type="dxa"/>
              <w:bottom w:w="50" w:type="dxa"/>
              <w:left w:w="80" w:type="dxa"/>
              <w:right w:w="80" w:type="dxa"/>
            </w:tcMar>
            <w:shd w:fill="E7E6E6"/>
          </w:tcPr>
          <w:p>
            <w:pPr>
              <w:spacing w:after="0" w:line="264" w:lineRule="auto"/>
              <w:ind w:firstLine="0"/>
              <w:jc w:val="center"/>
            </w:pPr>
            <w:r>
              <w:rPr>
                <w:b/>
                <w:sz w:val="19"/>
              </w:rPr>
              <w:t>对象</w:t>
            </w:r>
          </w:p>
        </w:tc>
        <w:tc>
          <w:tcPr>
            <w:tcW w:type="dxa" w:w="1806"/>
            <w:vAlign w:val="center"/>
            <w:tcMar>
              <w:top w:w="50" w:type="dxa"/>
              <w:bottom w:w="50" w:type="dxa"/>
              <w:left w:w="80" w:type="dxa"/>
              <w:right w:w="80" w:type="dxa"/>
            </w:tcMar>
            <w:shd w:fill="E7E6E6"/>
          </w:tcPr>
          <w:p>
            <w:pPr>
              <w:spacing w:after="0" w:line="264" w:lineRule="auto"/>
              <w:ind w:firstLine="0"/>
              <w:jc w:val="center"/>
            </w:pPr>
            <w:r>
              <w:rPr>
                <w:b/>
                <w:sz w:val="19"/>
              </w:rPr>
              <w:t>字符区间</w:t>
            </w:r>
          </w:p>
        </w:tc>
        <w:tc>
          <w:tcPr>
            <w:tcW w:type="dxa" w:w="2010"/>
            <w:vAlign w:val="center"/>
            <w:tcMar>
              <w:top w:w="50" w:type="dxa"/>
              <w:bottom w:w="50" w:type="dxa"/>
              <w:left w:w="80" w:type="dxa"/>
              <w:right w:w="80" w:type="dxa"/>
            </w:tcMar>
            <w:shd w:fill="E7E6E6"/>
          </w:tcPr>
          <w:p>
            <w:pPr>
              <w:spacing w:after="0" w:line="264" w:lineRule="auto"/>
              <w:ind w:firstLine="0"/>
              <w:jc w:val="center"/>
            </w:pPr>
            <w:r>
              <w:rPr>
                <w:b/>
                <w:sz w:val="19"/>
              </w:rPr>
              <w:t>评价token闭区间</w:t>
            </w:r>
          </w:p>
        </w:tc>
        <w:tc>
          <w:tcPr>
            <w:tcW w:type="dxa" w:w="1413"/>
            <w:vAlign w:val="center"/>
            <w:tcMar>
              <w:top w:w="50" w:type="dxa"/>
              <w:bottom w:w="50" w:type="dxa"/>
              <w:left w:w="80" w:type="dxa"/>
              <w:right w:w="80" w:type="dxa"/>
            </w:tcMar>
            <w:shd w:fill="E7E6E6"/>
          </w:tcPr>
          <w:p>
            <w:pPr>
              <w:spacing w:after="0" w:line="264" w:lineRule="auto"/>
              <w:ind w:firstLine="0"/>
              <w:jc w:val="center"/>
            </w:pPr>
            <w:r>
              <w:rPr>
                <w:b/>
                <w:sz w:val="19"/>
              </w:rPr>
              <w:t>左右残差</w:t>
            </w:r>
          </w:p>
        </w:tc>
        <w:tc>
          <w:tcPr>
            <w:tcW w:type="dxa" w:w="1884"/>
            <w:vAlign w:val="center"/>
            <w:tcMar>
              <w:top w:w="50" w:type="dxa"/>
              <w:bottom w:w="50" w:type="dxa"/>
              <w:left w:w="80" w:type="dxa"/>
              <w:right w:w="80" w:type="dxa"/>
            </w:tcMar>
            <w:shd w:fill="E7E6E6"/>
          </w:tcPr>
          <w:p>
            <w:pPr>
              <w:spacing w:after="0" w:line="264" w:lineRule="auto"/>
              <w:ind w:firstLine="0"/>
              <w:jc w:val="center"/>
            </w:pPr>
            <w:r>
              <w:rPr>
                <w:b/>
                <w:sz w:val="19"/>
              </w:rPr>
              <w:t>片段末尾</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原生T6，Claim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[858,914)</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(0,1)</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扩展边界的构造对照，Claim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[858,915)</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(0,0)</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responsible</w:t>
            </w:r>
          </w:p>
        </w:tc>
      </w:tr>
    </w:tbl>
    <w:p>
      <w:pPr/>
      <w: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t xml:space="preserve"> 与 </w:t>
      </w:r>
      <m:oMath>
        <m:r>
          <m:t xml:space="preserve">9</m:t>
        </m:r>
        <m:r>
          <m:t xml:space="preserve">1</m:t>
        </m:r>
        <m:r>
          <m:t xml:space="preserve">5</m:t>
        </m:r>
        <m:r>
          <m:t xml:space="preserve">-</m:t>
        </m:r>
        <m:r>
          <m:t xml:space="preserve">1</m:t>
        </m:r>
      </m:oMath>
      <w:r>
        <w:t xml:space="preserve"> 恢复为[858,914)，第二行则恢复为[858,915)。两行的文档、token范围和类型相同，但规范组件键中的结束字符不同，所以不会被合并。字符残差负责保存信息，并不用于推测或修正原生标注。</w:t>
      </w:r>
    </w:p>
    <w:p>
      <w:pPr>
        <w:pStyle w:val="Heading2"/>
      </w:pPr>
      <w:r>
        <w:t>2.2.2 组件键、关系键与标注对应</w:t>
      </w:r>
    </w:p>
    <w:p>
      <w:pPr/>
      <w:r>
        <w:t>组件的规范键由式（2-1）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r>
        <w:t xml:space="preserve">原文与增强视图属于不同文本版本。第三章的对应映射 </w:t>
      </w:r>
      <m:oMath>
        <m:r>
          <m:t xml:space="preserve">φ</m:t>
        </m:r>
      </m:oMath>
      <w: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pStyle w:val="Heading2"/>
      </w:pPr>
      <w:r>
        <w:t>2.2.3 对象、候选与预测的层次关系</w:t>
      </w:r>
    </w:p>
    <w:p>
      <w:pPr/>
      <w:r>
        <w:t>结构化预测需要区分对象的定义、可搜索范围、实际输出及其评价。表2-3将后续使用的五个层次放在同一框架下，避免把“存在候选”“评分较高”和“预测正确”混为一谈。</w:t>
      </w:r>
    </w:p>
    <w:p>
      <w:pPr>
        <w:keepNext/>
        <w:spacing w:before="80" w:after="100"/>
        <w:ind w:firstLine="0"/>
      </w:pPr>
      <w:r>
        <w:rPr>
          <w:b/>
          <w:sz w:val="19"/>
        </w:rPr>
        <w:t>表2-3 论辩结构预测的五个层次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主要内容</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需要回答的问题</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对象</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按字符区间、类型和完整端点定义的组件或关系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比较的是不是同一个对象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候选</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有限组件集合及完整关系候选集合</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正确对象是否进入可选择范围</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预测</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模型或决策过程实际输出的合法结构</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系统最终选择了哪些对象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对候选对象正确性的估计及其决策用途</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分数能否支持可靠选择</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指标</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与金标匹配后的TP、FP、FN及其汇总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预测在统一任务下有多准确</w:t>
            </w:r>
          </w:p>
        </w:tc>
      </w:tr>
    </w:tbl>
    <w:p>
      <w:pPr/>
      <w:r>
        <w:t xml:space="preserve">合法结构集合记为 </w:t>
      </w:r>
      <m:oMath>
        <m:sSub>
          <m:e>
            <m:box>
              <m:e>
                <m:r>
                  <m:rPr>
                    <m:scr m:val="script"/>
                  </m:rPr>
                  <m:t xml:space="preserve">G</m:t>
                </m:r>
              </m:e>
            </m:box>
          </m:e>
          <m:sub>
            <m:box>
              <m:e>
                <m:r>
                  <m:rPr>
                    <m:scr m:val="script"/>
                  </m:rPr>
                  <m:t xml:space="preserve">A</m:t>
                </m:r>
              </m:e>
            </m:box>
          </m:sub>
        </m:sSub>
      </m:oMath>
      <w:r>
        <w:t xml:space="preserve">，其中 </w:t>
      </w:r>
      <m:oMath>
        <m:box>
          <m:e>
            <m:r>
              <m:rPr>
                <m:scr m:val="script"/>
              </m:rPr>
              <m:t xml:space="preserve">A</m:t>
            </m:r>
          </m:e>
        </m:box>
      </m:oMath>
      <w: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1"/>
      </w:pPr>
      <w:r>
        <w:t>2.3 预训练语言模型与学习方法</w:t>
      </w:r>
    </w:p>
    <w:p>
      <w:pPr>
        <w:pStyle w:val="Heading2"/>
      </w:pPr>
      <w:r>
        <w:t>2.3.1 注意力机制与自回归生成</w:t>
      </w:r>
    </w:p>
    <w:p>
      <w:pPr>
        <w:keepNext/>
      </w:pPr>
      <w:r>
        <w:t>Transformer利用注意力机制聚合不同位置的信息，是本文参考骨干的基础[30][31]。注意力将查询与键的相似程度转换为权重，再对值向量进行加权。缩放点积注意力写为</w:t>
      </w:r>
    </w:p>
    <w:p>
      <w:pPr>
        <w:spacing w:line="276" w:lineRule="auto" w:after="140"/>
        <w:ind w:firstLine="0"/>
        <w:jc w:val="center"/>
      </w:pPr>
      <m:oMath>
        <m:r>
          <m:rPr>
            <m:nor/>
          </m:rPr>
          <m:t xml:space="preserve">Attention</m:t>
        </m:r>
        <m:r>
          <m:t xml:space="preserve">(</m:t>
        </m:r>
        <m:r>
          <m:t xml:space="preserve">Q</m:t>
        </m:r>
        <m:r>
          <m:t xml:space="preserve">,</m:t>
        </m:r>
        <m:r>
          <m:t xml:space="preserve">K</m:t>
        </m:r>
        <m:r>
          <m:t xml:space="preserve">,</m:t>
        </m:r>
        <m:r>
          <m:t xml:space="preserve">V</m:t>
        </m:r>
        <m:r>
          <m:t xml:space="preserve">)</m:t>
        </m:r>
        <m:r>
          <m:t xml:space="preserve">=</m:t>
        </m:r>
        <m:r>
          <m:rPr>
            <m:nor/>
          </m:rPr>
          <m:t xml:space="preserve">softmax</m:t>
        </m:r>
        <m:r>
          <m:t xml:space="preserve"/>
        </m:r>
        <m:r>
          <m:t xml:space="preserve">(</m:t>
        </m:r>
        <m:f>
          <m:num>
            <m:r>
              <m:t xml:space="preserve">Q</m:t>
            </m:r>
            <m:sSup>
              <m:e>
                <m:r>
                  <m:t xml:space="preserve">K</m:t>
                </m:r>
              </m:e>
              <m:sup>
                <m:r>
                  <m:rPr>
                    <m:nor/>
                  </m:rPr>
                  <m:t xml:space="preserve">T</m:t>
                </m:r>
              </m:sup>
            </m:sSup>
          </m:num>
          <m:den>
            <m:rad>
              <m:radPr>
                <m:degHide m:val="1"/>
              </m:radPr>
              <m:deg/>
              <m:e>
                <m:sSub>
                  <m:e>
                    <m:r>
                      <m:t xml:space="preserve">d</m:t>
                    </m:r>
                  </m:e>
                  <m:sub>
                    <m:r>
                      <m:t xml:space="preserve">k</m:t>
                    </m:r>
                  </m:sub>
                </m:sSub>
              </m:e>
            </m:rad>
          </m:den>
        </m:f>
        <m:r>
          <m:t xml:space="preserve"/>
        </m:r>
        <m:r>
          <m:t xml:space="preserve">)</m:t>
        </m:r>
        <m:r>
          <m:t xml:space="preserve">V</m:t>
        </m:r>
        <m:r>
          <m:t xml:space="preserve">.</m:t>
        </m:r>
      </m:oMath>
      <w:r>
        <w:rPr>
          <w:sz w:val="18"/>
        </w:rPr>
        <w:t xml:space="preserve">   （2-3）</w:t>
      </w:r>
    </w:p>
    <w:p>
      <w:pPr/>
      <w:r>
        <w:t>其中，</w:t>
      </w:r>
      <m:oMath>
        <m:r>
          <m:t xml:space="preserve">Q</m:t>
        </m:r>
      </m:oMath>
      <w:r>
        <w:t>、</w:t>
      </w:r>
      <m:oMath>
        <m:r>
          <m:t xml:space="preserve">K</m:t>
        </m:r>
      </m:oMath>
      <w:r>
        <w:t>、</w:t>
      </w:r>
      <m:oMath>
        <m:r>
          <m:t xml:space="preserve">V</m:t>
        </m:r>
      </m:oMath>
      <w:r>
        <w:t xml:space="preserve"> 分别为查询、键和值矩阵，</w:t>
      </w:r>
      <m:oMath>
        <m:sSub>
          <m:e>
            <m:r>
              <m:t xml:space="preserve">d</m:t>
            </m:r>
          </m:e>
          <m:sub>
            <m:r>
              <m:t xml:space="preserve">k</m:t>
            </m:r>
          </m:sub>
        </m:sSub>
      </m:oMath>
      <w:r>
        <w:t xml:space="preserve"> 为键向量维度。此处的 </w:t>
      </w:r>
      <m:oMath>
        <m:r>
          <m:t xml:space="preserve">V</m:t>
        </m:r>
      </m:oMath>
      <w: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pPr>
      <w: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t xml:space="preserve">。给定原文 </w:t>
      </w:r>
      <m:oMath>
        <m:r>
          <m:t xml:space="preserve">x</m:t>
        </m:r>
      </m:oMath>
      <w:r>
        <w:t>，其生成概率及监督目标分别为</w:t>
      </w:r>
    </w:p>
    <w:p>
      <w:pPr>
        <w:spacing w:line="276" w:lineRule="auto" w:after="140"/>
        <w:ind w:firstLine="0"/>
        <w:jc w:val="center"/>
      </w:pPr>
      <m:oMath>
        <m:sSub>
          <m:e>
            <m:r>
              <m:t xml:space="preserve">P</m:t>
            </m:r>
          </m:e>
          <m:sub>
            <m:r>
              <m:t xml:space="preserve">θ</m:t>
            </m:r>
          </m:sub>
        </m:sSub>
        <m:r>
          <m:t xml:space="preserve">(</m:t>
        </m:r>
        <m:r>
          <m:t xml:space="preserve">Y</m:t>
        </m:r>
        <m:r>
          <m:t xml:space="preserve">|</m:t>
        </m:r>
        <m:r>
          <m:t xml:space="preserve">x</m:t>
        </m:r>
        <m:r>
          <m:t xml:space="preserve">)</m:t>
        </m:r>
        <m:r>
          <m:t xml:space="preserve">=</m:t>
        </m:r>
        <m:nary>
          <m:naryPr>
            <m:chr m:val="∏"/>
            <m:limLoc m:val="undOvr"/>
          </m:naryPr>
          <m:sub>
            <m:r>
              <m:t xml:space="preserve">k</m:t>
            </m:r>
            <m:r>
              <m:t xml:space="preserve">=</m:t>
            </m:r>
            <m:r>
              <m:t xml:space="preserve">1</m:t>
            </m:r>
          </m:sub>
          <m:sup>
            <m:r>
              <m:t xml:space="preserve">L</m:t>
            </m:r>
          </m:sup>
          <m:e>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18"/>
        </w:rPr>
        <w:t xml:space="preserve">   （2-4）</w:t>
      </w:r>
    </w:p>
    <w:p>
      <w:pPr>
        <w:spacing w:line="276" w:lineRule="auto" w:after="140"/>
        <w:ind w:firstLine="0"/>
        <w:jc w:val="center"/>
      </w:pPr>
      <m:oMath>
        <m:sSub>
          <m:e>
            <m:box>
              <m:e>
                <m:r>
                  <m:rPr>
                    <m:scr m:val="script"/>
                  </m:rPr>
                  <m:t xml:space="preserve">L</m:t>
                </m:r>
              </m:e>
            </m:box>
          </m:e>
          <m:sub>
            <m:r>
              <m:rPr>
                <m:nor/>
              </m:rPr>
              <m:t xml:space="preserve">gen</m:t>
            </m:r>
          </m:sub>
        </m:sSub>
        <m:r>
          <m:t xml:space="preserve">=</m:t>
        </m:r>
        <m:r>
          <m:t xml:space="preserve">-</m:t>
        </m:r>
        <m:nary>
          <m:naryPr>
            <m:chr m:val="∑"/>
            <m:limLoc m:val="undOvr"/>
          </m:naryPr>
          <m:sub>
            <m:r>
              <m:t xml:space="preserve">k</m:t>
            </m:r>
            <m:r>
              <m:t xml:space="preserve">=</m:t>
            </m:r>
            <m:r>
              <m:t xml:space="preserve">1</m:t>
            </m:r>
          </m:sub>
          <m:sup>
            <m:r>
              <m:t xml:space="preserve">L</m:t>
            </m:r>
          </m:sup>
          <m:e>
            <m:r>
              <m:rPr>
                <m:nor/>
              </m:rPr>
              <m:t xml:space="preserve">log</m:t>
            </m:r>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18"/>
        </w:rPr>
        <w:t xml:space="preserve">   （2-5）</w:t>
      </w:r>
    </w:p>
    <w:p>
      <w:pPr/>
      <w: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2"/>
      </w:pPr>
      <w:r>
        <w:t>2.3.2 参数高效适配与连续提示</w:t>
      </w:r>
    </w:p>
    <w:p>
      <w:pPr>
        <w:keepNext/>
      </w:pPr>
      <w:r>
        <w:t>预训练模型包含大量参数，针对具体任务更新全部权重会增加训练和存储成本。低秩适配LoRA在冻结基础权重的同时学习低秩增量[32]：</w:t>
      </w:r>
    </w:p>
    <w:p>
      <w:pPr>
        <w:spacing w:line="276" w:lineRule="auto"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t xml:space="preserve">    </m:t>
        </m:r>
        <m:r>
          <m:t xml:space="preserve">A</m:t>
        </m:r>
        <m:r>
          <m:t xml:space="preserve">∈</m:t>
        </m:r>
        <m:sSup>
          <m:e>
            <m:box>
              <m:e>
                <m:r>
                  <m:t xml:space="preserve">ℝ</m:t>
                </m:r>
              </m:e>
            </m:box>
          </m:e>
          <m:sup>
            <m:r>
              <m:t xml:space="preserve">r</m:t>
            </m:r>
            <m:r>
              <m:t xml:space="preserve">×</m:t>
            </m:r>
            <m:sSub>
              <m:e>
                <m:r>
                  <m:t xml:space="preserve">d</m:t>
                </m:r>
              </m:e>
              <m:sub>
                <m:r>
                  <m:rPr>
                    <m:nor/>
                  </m:rPr>
                  <m:t xml:space="preserve">in</m:t>
                </m:r>
              </m:sub>
            </m:sSub>
          </m:sup>
        </m:sSup>
        <m:r>
          <m:t xml:space="preserve">,</m:t>
        </m:r>
        <m:r>
          <m:t xml:space="preserve">  </m:t>
        </m:r>
        <m:r>
          <m:t xml:space="preserve">B</m:t>
        </m:r>
        <m:r>
          <m:t xml:space="preserve">∈</m:t>
        </m:r>
        <m:sSup>
          <m:e>
            <m:box>
              <m:e>
                <m:r>
                  <m:t xml:space="preserve">ℝ</m:t>
                </m:r>
              </m:e>
            </m:box>
          </m:e>
          <m:sup>
            <m:sSub>
              <m:e>
                <m:r>
                  <m:t xml:space="preserve">d</m:t>
                </m:r>
              </m:e>
              <m:sub>
                <m:r>
                  <m:rPr>
                    <m:nor/>
                  </m:rPr>
                  <m:t xml:space="preserve">out</m:t>
                </m:r>
              </m:sub>
            </m:sSub>
            <m:r>
              <m:t xml:space="preserve">×</m:t>
            </m:r>
            <m:r>
              <m:t xml:space="preserve">r</m:t>
            </m:r>
          </m:sup>
        </m:sSup>
        <m:r>
          <m:t xml:space="preserve">.</m:t>
        </m:r>
      </m:oMath>
      <w:r>
        <w:rPr>
          <w:sz w:val="18"/>
        </w:rPr>
        <w:t xml:space="preserve">   （2-6）</w:t>
      </w:r>
    </w:p>
    <w:p>
      <w:pPr/>
      <w:r>
        <w:t>其中，</w:t>
      </w:r>
      <m:oMath>
        <m:r>
          <m:t xml:space="preserve">r</m:t>
        </m:r>
      </m:oMath>
      <w:r>
        <w:t xml:space="preserve"> 为低秩维度，</w:t>
      </w:r>
      <m:oMath>
        <m:r>
          <m:t xml:space="preserve">α</m:t>
        </m:r>
      </m:oMath>
      <w:r>
        <w:t xml:space="preserve"> 为缩放系数。训练主要更新增量矩阵，而保留基础权重 </w:t>
      </w:r>
      <m:oMath>
        <m:sSub>
          <m:e>
            <m:r>
              <m:t xml:space="preserve">W</m:t>
            </m:r>
          </m:e>
          <m:sub>
            <m:r>
              <m:t xml:space="preserve">0</m:t>
            </m:r>
          </m:sub>
        </m:sSub>
      </m:oMath>
      <w:r>
        <w:t>。连续提示则通过可学习的提示向量表达任务条件，是另一种参数高效适配方式[33]。二者分别从权重更新和输入条件入手，可为下游任务提供可训练接口。</w:t>
      </w:r>
    </w:p>
    <w:p>
      <w:pPr/>
      <w:r>
        <w:t>本文沿用Qwen2.5-7B-Instruct作为参考骨干，并继承MCR-BR中的结论专项适配、线索提示及相关监督基础[31][34]。这些机制构成后续研究的已有条件；本文的新增内容集中于增强监督的可靠对应和预测修改的依赖处理。具体参数在本章补充配置表中统一列出。</w:t>
      </w:r>
    </w:p>
    <w:p>
      <w:pPr>
        <w:pStyle w:val="Heading2"/>
      </w:pPr>
      <w:r>
        <w:t>2.3.3 数据增强与因素一致性学习</w:t>
      </w:r>
    </w:p>
    <w:p>
      <w:pPr/>
      <w: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pPr>
      <w:r>
        <w:t xml:space="preserve">一致性学习用于约束不同视图下可对应预测的分布。以同一因素的两个类别分布 </w:t>
      </w:r>
      <m:oMath>
        <m:r>
          <m:t xml:space="preserve">p</m:t>
        </m:r>
      </m:oMath>
      <w:r>
        <w:t>、</w:t>
      </w:r>
      <m:oMath>
        <m:r>
          <m:t xml:space="preserve">q</m:t>
        </m:r>
      </m:oMath>
      <w: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t>，Jensen–Shannon散度定义为</w:t>
      </w:r>
    </w:p>
    <w:p>
      <w:pPr>
        <w:spacing w:line="276" w:lineRule="auto" w:after="140"/>
        <w:ind w:firstLine="0"/>
        <w:jc w:val="center"/>
      </w:pPr>
      <m:oMath>
        <m:r>
          <m:rPr>
            <m:nor/>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nor/>
          </m:rPr>
          <m:t xml:space="preserve">KL</m:t>
        </m:r>
        <m:r>
          <m:t xml:space="preserve">(</m:t>
        </m:r>
        <m:r>
          <m:t xml:space="preserve">p</m:t>
        </m:r>
        <m:r>
          <m:t xml:space="preserve">‖</m:t>
        </m:r>
        <m:r>
          <m:t xml:space="preserve">m</m:t>
        </m:r>
        <m:r>
          <m:t xml:space="preserve">)</m:t>
        </m:r>
        <m:r>
          <m:t xml:space="preserve">+</m:t>
        </m:r>
        <m:f>
          <m:num>
            <m:r>
              <m:t xml:space="preserve">1</m:t>
            </m:r>
          </m:num>
          <m:den>
            <m:r>
              <m:t xml:space="preserve">2</m:t>
            </m:r>
          </m:den>
        </m:f>
        <m:r>
          <m:rPr>
            <m:nor/>
          </m:rPr>
          <m:t xml:space="preserve">KL</m:t>
        </m:r>
        <m:r>
          <m:t xml:space="preserve">(</m:t>
        </m:r>
        <m:r>
          <m:t xml:space="preserve">q</m:t>
        </m:r>
        <m:r>
          <m:t xml:space="preserve">‖</m:t>
        </m:r>
        <m:r>
          <m:t xml:space="preserve">m</m:t>
        </m:r>
        <m:r>
          <m:t xml:space="preserve">)</m:t>
        </m:r>
        <m:r>
          <m:t xml:space="preserve">,</m:t>
        </m:r>
        <m:r>
          <m:t xml:space="preserve">    </m:t>
        </m:r>
        <m:r>
          <m:t xml:space="preserve">m</m:t>
        </m:r>
        <m:r>
          <m:t xml:space="preserve">=</m:t>
        </m:r>
        <m:f>
          <m:num>
            <m:r>
              <m:t xml:space="preserve">p</m:t>
            </m:r>
            <m:r>
              <m:t xml:space="preserve">+</m:t>
            </m:r>
            <m:r>
              <m:t xml:space="preserve">q</m:t>
            </m:r>
          </m:num>
          <m:den>
            <m:r>
              <m:t xml:space="preserve">2</m:t>
            </m:r>
          </m:den>
        </m:f>
        <m:r>
          <m:t xml:space="preserve">.</m:t>
        </m:r>
      </m:oMath>
      <w:r>
        <w:rPr>
          <w:sz w:val="18"/>
        </w:rPr>
        <w:t xml:space="preserve">   （2-7）</w:t>
      </w:r>
    </w:p>
    <w:p>
      <w:pPr/>
      <w:r>
        <w:t>其中，KL散度衡量两个分布的差异，式（2-7）对两侧分布对称。将这一量加入学习目标，可以鼓励原文与改写在可靠对应因素上产生接近的判断。未确认的关系标签应从相应监督和一致性项中屏蔽，不能直接改标为NONE。</w:t>
      </w:r>
    </w:p>
    <w:p>
      <w:pPr/>
      <w: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1"/>
      </w:pPr>
      <w:r>
        <w:t>2.4 候选评分与结构化决策</w:t>
      </w:r>
    </w:p>
    <w:p>
      <w:pPr>
        <w:pStyle w:val="Heading2"/>
      </w:pPr>
      <w:r>
        <w:t>2.4.1 多候选生成与初始结构选择</w:t>
      </w:r>
    </w:p>
    <w:p>
      <w:pPr>
        <w:keepNext/>
      </w:pPr>
      <w:r>
        <w:t xml:space="preserve">一次生成可能遗漏组件或产生错误关系，多候选方法通过形成若干备选结构增加可选择范围。设完整图候选集合为 </w:t>
      </w:r>
      <m:oMath>
        <m:box>
          <m:e>
            <m:r>
              <m:rPr>
                <m:scr m:val="script"/>
              </m:rPr>
              <m:t xml:space="preserve">S</m:t>
            </m:r>
          </m:e>
        </m:box>
      </m:oMath>
      <w:r>
        <w:t xml:space="preserve">，重排序函数为 </w:t>
      </w:r>
      <m:oMath>
        <m:sSub>
          <m:e>
            <m:r>
              <m:t xml:space="preserve">E</m:t>
            </m:r>
          </m:e>
          <m:sub>
            <m:r>
              <m:rPr>
                <m:nor/>
              </m:rPr>
              <m:t xml:space="preserve">rank</m:t>
            </m:r>
          </m:sub>
        </m:sSub>
      </m:oMath>
      <w:r>
        <w:t>，则初始图按以下过程确定：</w:t>
      </w:r>
    </w:p>
    <w:p>
      <w:pPr>
        <w:spacing w:line="276" w:lineRule="auto" w:after="140"/>
        <w:ind w:firstLine="0"/>
        <w:jc w:val="center"/>
      </w:pPr>
      <m:oMath>
        <m:sSub>
          <m:e>
            <m:r>
              <m:t xml:space="preserve">G</m:t>
            </m:r>
          </m:e>
          <m:sub>
            <m:r>
              <m:rPr>
                <m:nor/>
              </m:rPr>
              <m:t xml:space="preserve">rank</m:t>
            </m:r>
          </m:sub>
        </m:sSub>
        <m:r>
          <m:t xml:space="preserve">=</m:t>
        </m:r>
        <m:sSub>
          <m:e>
            <m:r>
              <m:rPr>
                <m:nor/>
              </m:rPr>
              <m:t xml:space="preserve">argmax</m:t>
            </m:r>
          </m:e>
          <m:sub>
            <m:r>
              <m:t xml:space="preserve">G</m:t>
            </m:r>
            <m:r>
              <m:t xml:space="preserve">∈</m:t>
            </m:r>
            <m:box>
              <m:e>
                <m:r>
                  <m:rPr>
                    <m:scr m:val="script"/>
                  </m:rPr>
                  <m:t xml:space="preserve">S</m:t>
                </m:r>
              </m:e>
            </m:box>
          </m:sub>
        </m:sSub>
        <m:sSub>
          <m:e>
            <m:r>
              <m:t xml:space="preserve">E</m:t>
            </m:r>
          </m:e>
          <m:sub>
            <m:r>
              <m:rPr>
                <m:nor/>
              </m:rPr>
              <m:t xml:space="preserve">rank</m:t>
            </m:r>
          </m:sub>
        </m:sSub>
        <m:r>
          <m:t xml:space="preserve">(</m:t>
        </m:r>
        <m:r>
          <m:t xml:space="preserve">G</m:t>
        </m:r>
        <m:r>
          <m:t xml:space="preserve">)</m:t>
        </m:r>
        <m:r>
          <m:t xml:space="preserve">,</m:t>
        </m:r>
        <m:r>
          <m:t xml:space="preserve">    </m:t>
        </m:r>
        <m:sSub>
          <m:e>
            <m:r>
              <m:t xml:space="preserve">G</m:t>
            </m:r>
          </m:e>
          <m:sub>
            <m:r>
              <m:t xml:space="preserve">0</m:t>
            </m:r>
          </m:sub>
        </m:sSub>
        <m:r>
          <m:t xml:space="preserve">=</m:t>
        </m:r>
        <m:sSub>
          <m:e>
            <m:box>
              <m:e>
                <m:r>
                  <m:rPr>
                    <m:scr m:val="script"/>
                  </m:rPr>
                  <m:t xml:space="preserve">L</m:t>
                </m:r>
              </m:e>
            </m:box>
          </m:e>
          <m:sub>
            <m:box>
              <m:e>
                <m:r>
                  <m:rPr>
                    <m:scr m:val="script"/>
                  </m:rPr>
                  <m:t xml:space="preserve">A</m:t>
                </m:r>
              </m:e>
            </m:box>
          </m:sub>
        </m:sSub>
        <m:r>
          <m:t xml:space="preserve">(</m:t>
        </m:r>
        <m:sSub>
          <m:e>
            <m:r>
              <m:t xml:space="preserve">G</m:t>
            </m:r>
          </m:e>
          <m:sub>
            <m:r>
              <m:rPr>
                <m:nor/>
              </m:rPr>
              <m:t xml:space="preserve">rank</m:t>
            </m:r>
          </m:sub>
        </m:sSub>
        <m:r>
          <m:t xml:space="preserve">)</m:t>
        </m:r>
        <m:r>
          <m:t xml:space="preserve">.</m:t>
        </m:r>
      </m:oMath>
      <w:r>
        <w:rPr>
          <w:sz w:val="18"/>
        </w:rPr>
        <w:t xml:space="preserve">   （2-8）</w:t>
      </w:r>
    </w:p>
    <w:p>
      <w:pPr/>
      <w:r>
        <w:t>这里，</w:t>
      </w:r>
      <m:oMath>
        <m:sSub>
          <m:e>
            <m:box>
              <m:e>
                <m:r>
                  <m:rPr>
                    <m:scr m:val="script"/>
                  </m:rPr>
                  <m:t xml:space="preserve">L</m:t>
                </m:r>
              </m:e>
            </m:box>
          </m:e>
          <m:sub>
            <m:box>
              <m:e>
                <m:r>
                  <m:rPr>
                    <m:scr m:val="script"/>
                  </m:rPr>
                  <m:t xml:space="preserve">A</m:t>
                </m:r>
              </m:e>
            </m:box>
          </m:sub>
        </m:sSub>
      </m:oMath>
      <w: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r>
        <w:t xml:space="preserve">第四章在初始选择后固定跨度集合 </w:t>
      </w:r>
      <m:oMath>
        <m:r>
          <m:t xml:space="preserve">U</m:t>
        </m:r>
      </m:oMath>
      <w:r>
        <w:t xml:space="preserve">、带类型组件集合 </w:t>
      </w:r>
      <m:oMath>
        <m:r>
          <m:t xml:space="preserve">V</m:t>
        </m:r>
      </m:oMath>
      <w:r>
        <w:t xml:space="preserve"> 和关系候选集合 </w:t>
      </w:r>
      <m:oMath>
        <m:r>
          <m:t xml:space="preserve">P</m:t>
        </m:r>
      </m:oMath>
      <w: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pStyle w:val="Heading2"/>
      </w:pPr>
      <w:r>
        <w:t>2.4.2 完整对象评分与概率校准</w:t>
      </w:r>
    </w:p>
    <w:p>
      <w:pPr/>
      <w: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pStyle w:val="Heading2"/>
      </w:pPr>
      <w:r>
        <w:t>2.4.3 结构约束、搜索范围与计算预算</w:t>
      </w:r>
    </w:p>
    <w:p>
      <w:pPr/>
      <w: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1"/>
      </w:pPr>
      <w:r>
        <w:t>2.5 评价指标与计数原则</w:t>
      </w:r>
    </w:p>
    <w:p>
      <w:pPr>
        <w:pStyle w:val="Heading2"/>
      </w:pPr>
      <w:r>
        <w:t>2.5.1 严格对象匹配与micro-F1</w:t>
      </w:r>
    </w:p>
    <w:p>
      <w:pPr>
        <w:keepNext/>
      </w:pPr>
      <w:r>
        <w:t>评价分别对组件和完整关系计算真正例TP、假正例FP与假负例FN。精确率、召回率和F1定义为</w:t>
      </w:r>
    </w:p>
    <w:p>
      <w:pPr>
        <w:spacing w:line="276" w:lineRule="auto" w:after="140"/>
        <w:ind w:firstLine="0"/>
        <w:jc w:val="center"/>
      </w:pPr>
      <m:oMath>
        <m:r>
          <m:rPr>
            <m:nor/>
          </m:rPr>
          <m:t xml:space="preserve">Precision</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t xml:space="preserve">  </m:t>
        </m:r>
        <m:r>
          <m:rPr>
            <m:nor/>
          </m:rPr>
          <m:t xml:space="preserve">Recall</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sz w:val="18"/>
        </w:rPr>
        <w:t xml:space="preserve">   （2-9）</w:t>
      </w:r>
    </w:p>
    <w:p>
      <w:pPr/>
      <w: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r>
        <w:t>micro-F1先汇总对象计数，再代入式（2-9）；它与逐文档F1或各类别F1的平均值不同。本文分数采用百分制，方法间差值用百分点表示。域内细粒度Relation-F1与历史跨域无标签Link-F1分别命名，避免将不同评价对象的数值直接求差。</w:t>
      </w:r>
    </w:p>
    <w:p>
      <w:pPr>
        <w:pStyle w:val="Heading2"/>
      </w:pPr>
      <w:r>
        <w:t>2.5.2 重复、失败与结果关联</w:t>
      </w:r>
    </w:p>
    <w:p>
      <w:pPr/>
      <w: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1"/>
      </w:pPr>
      <w:r>
        <w:t>2.6 公共实验条件与统计分析</w:t>
      </w:r>
    </w:p>
    <w:p>
      <w:pPr>
        <w:pStyle w:val="Heading2"/>
      </w:pPr>
      <w:r>
        <w:t>2.6.1 数据划分与使用原则</w:t>
      </w:r>
    </w:p>
    <w:p>
      <w:pPr/>
      <w:r>
        <w:t>AAEC采用发布的train-test-split.csv，CDCP采用原始数据包的train/test目录。重复文档仅在训练侧按全文哈希处理，测试文档全部保留。数据规模沿用本稿固定快照，如表2-4所示。</w:t>
      </w:r>
    </w:p>
    <w:p>
      <w:pPr>
        <w:keepNext/>
        <w:spacing w:before="80" w:after="100"/>
        <w:ind w:firstLine="0"/>
      </w:pPr>
      <w:r>
        <w:rPr>
          <w:b/>
          <w:sz w:val="19"/>
        </w:rPr>
        <w:t>表2-4 数据规模与官方划分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1067"/>
        <w:gridCol w:w="1220"/>
        <w:gridCol w:w="1220"/>
        <w:gridCol w:w="1201"/>
        <w:gridCol w:w="1353"/>
        <w:gridCol w:w="1220"/>
        <w:gridCol w:w="1086"/>
      </w:tblGrid>
      <w:tr>
        <w:trPr>
          <w:cantSplit/>
          <w:tblHeader/>
        </w:trPr>
        <w:tc>
          <w:tcPr>
            <w:tcW w:type="dxa" w:w="1181"/>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067"/>
            <w:vAlign w:val="center"/>
            <w:tcMar>
              <w:top w:w="50" w:type="dxa"/>
              <w:bottom w:w="50" w:type="dxa"/>
              <w:left w:w="80" w:type="dxa"/>
              <w:right w:w="80" w:type="dxa"/>
            </w:tcMar>
            <w:shd w:fill="E7E6E6"/>
          </w:tcPr>
          <w:p>
            <w:pPr>
              <w:spacing w:after="0" w:line="264" w:lineRule="auto"/>
              <w:ind w:firstLine="0"/>
              <w:jc w:val="center"/>
            </w:pPr>
            <w:r>
              <w:rPr>
                <w:b/>
                <w:sz w:val="18"/>
              </w:rPr>
              <w:t>划分</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原始文档</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保留文档</w:t>
            </w:r>
          </w:p>
        </w:tc>
        <w:tc>
          <w:tcPr>
            <w:tcW w:type="dxa" w:w="1201"/>
            <w:vAlign w:val="center"/>
            <w:tcMar>
              <w:top w:w="50" w:type="dxa"/>
              <w:bottom w:w="50" w:type="dxa"/>
              <w:left w:w="80" w:type="dxa"/>
              <w:right w:w="80" w:type="dxa"/>
            </w:tcMar>
            <w:shd w:fill="E7E6E6"/>
          </w:tcPr>
          <w:p>
            <w:pPr>
              <w:spacing w:after="0" w:line="264" w:lineRule="auto"/>
              <w:ind w:firstLine="0"/>
              <w:jc w:val="center"/>
            </w:pPr>
            <w:r>
              <w:rPr>
                <w:b/>
                <w:sz w:val="18"/>
              </w:rPr>
              <w:t>组件</w:t>
            </w:r>
          </w:p>
        </w:tc>
        <w:tc>
          <w:tcPr>
            <w:tcW w:type="dxa" w:w="1353"/>
            <w:vAlign w:val="center"/>
            <w:tcMar>
              <w:top w:w="50" w:type="dxa"/>
              <w:bottom w:w="50" w:type="dxa"/>
              <w:left w:w="80" w:type="dxa"/>
              <w:right w:w="80" w:type="dxa"/>
            </w:tcMar>
            <w:shd w:fill="E7E6E6"/>
          </w:tcPr>
          <w:p>
            <w:pPr>
              <w:spacing w:after="0" w:line="264" w:lineRule="auto"/>
              <w:ind w:firstLine="0"/>
              <w:jc w:val="center"/>
            </w:pPr>
            <w:r>
              <w:rPr>
                <w:b/>
                <w:sz w:val="18"/>
              </w:rPr>
              <w:t>完整关系</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多源关系</w:t>
            </w:r>
          </w:p>
        </w:tc>
        <w:tc>
          <w:tcPr>
            <w:tcW w:type="dxa" w:w="1086"/>
            <w:vAlign w:val="center"/>
            <w:tcMar>
              <w:top w:w="50" w:type="dxa"/>
              <w:bottom w:w="50" w:type="dxa"/>
              <w:left w:w="80" w:type="dxa"/>
              <w:right w:w="80" w:type="dxa"/>
            </w:tcMar>
            <w:shd w:fill="E7E6E6"/>
          </w:tcPr>
          <w:p>
            <w:pPr>
              <w:spacing w:after="0" w:line="264" w:lineRule="auto"/>
              <w:ind w:firstLine="0"/>
              <w:jc w:val="center"/>
            </w:pPr>
            <w:r>
              <w:rPr>
                <w:b/>
                <w:sz w:val="18"/>
              </w:rPr>
              <w:t>最大源数</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322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319</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4793</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3006</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1266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809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581</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3901</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969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85</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8</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1026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252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34</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10</w:t>
            </w:r>
          </w:p>
        </w:tc>
      </w:tr>
    </w:tbl>
    <w:p>
      <w:pPr/>
      <w:r>
        <w:t>训练去重、首尾空白处理和24个词中边界组件的具体记录保留在补充说明S2.2及附录A。所有坐标处理均保留到原文的映射，以2.1、2.2节的字符身份进行评价。数据异常检查用于固定协议，不用于删除难以预测的测试对象。</w:t>
      </w:r>
    </w:p>
    <w:p>
      <w:pPr/>
      <w: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pStyle w:val="Heading2"/>
      </w:pPr>
      <w:r>
        <w:t>2.6.2 公共配置与成本口径</w:t>
      </w:r>
    </w:p>
    <w:p>
      <w:pPr/>
      <w: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pStyle w:val="Heading2"/>
      </w:pPr>
      <w:r>
        <w:t>2.6.3 配对重采样与多重比较</w:t>
      </w:r>
    </w:p>
    <w:p>
      <w:pPr/>
      <w:r>
        <w:t xml:space="preserve">对于每个训练种子，先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t xml:space="preserve"> 保持一致，才能进行配对比较。</w:t>
      </w:r>
    </w:p>
    <w:p>
      <w:pPr/>
      <w: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pPr>
      <w:r>
        <w:t xml:space="preserve">设观测差值为 </w:t>
      </w:r>
      <m:oMath>
        <m:acc>
          <m:accPr>
            <m:chr m:val="̂"/>
          </m:accPr>
          <m:e>
            <m:r>
              <m:t xml:space="preserve">Δ</m:t>
            </m:r>
          </m:e>
        </m:acc>
      </m:oMath>
      <w:r>
        <w:t xml:space="preserve">，第 </w:t>
      </w:r>
      <m:oMath>
        <m:r>
          <m:t xml:space="preserve">b</m:t>
        </m:r>
      </m:oMath>
      <w:r>
        <w:t xml:space="preserve"> 次重采样差值为 </w:t>
      </w:r>
      <m:oMath>
        <m:sSubSup>
          <m:e>
            <m:r>
              <m:t xml:space="preserve">Δ</m:t>
            </m:r>
          </m:e>
          <m:sub>
            <m:r>
              <m:t xml:space="preserve">b</m:t>
            </m:r>
          </m:sub>
          <m:sup>
            <m:r>
              <m:t xml:space="preserve">*</m:t>
            </m:r>
          </m:sup>
        </m:sSubSup>
      </m:oMath>
      <w:r>
        <w:t xml:space="preserve">，重采样次数为 </w:t>
      </w:r>
      <m:oMath>
        <m:r>
          <m:t xml:space="preserve">B</m:t>
        </m:r>
      </m:oMath>
      <w:r>
        <w:t>。单项95%区间取重采样差值分布的2.5%和97.5%分位数。双侧检验使用中心化差值及加一修正：</w:t>
      </w:r>
    </w:p>
    <w:p>
      <w:pPr>
        <w:spacing w:line="276" w:lineRule="auto" w:after="140"/>
        <w:ind w:firstLine="0"/>
        <w:jc w:val="center"/>
      </w:pPr>
      <m:oMath>
        <m:r>
          <m:t xml:space="preserve">p</m:t>
        </m:r>
        <m:r>
          <m:t xml:space="preserve">=</m:t>
        </m:r>
        <m:f>
          <m:num>
            <m:r>
              <m:t xml:space="preserve">1</m:t>
            </m:r>
            <m:r>
              <m:t xml:space="preserve">+</m:t>
            </m:r>
            <m:nary>
              <m:naryPr>
                <m:chr m:val="∑"/>
                <m:limLoc m:val="undOvr"/>
              </m:naryPr>
              <m:sub>
                <m:r>
                  <m:t xml:space="preserve">b</m:t>
                </m:r>
                <m:r>
                  <m:t xml:space="preserve">=</m:t>
                </m:r>
                <m:r>
                  <m:t xml:space="preserve">1</m:t>
                </m:r>
              </m:sub>
              <m:sup>
                <m:r>
                  <m:t xml:space="preserve">B</m:t>
                </m:r>
              </m:sup>
              <m:e>
                <m:box>
                  <m:e>
                    <m:r>
                      <m:t xml:space="preserve">1</m:t>
                    </m:r>
                  </m:e>
                </m:box>
                <m:r>
                  <m:t xml:space="preserve"/>
                </m:r>
                <m:r>
                  <m:t xml:space="preserve">(</m:t>
                </m:r>
                <m:r>
                  <m:t xml:space="preserve">|</m:t>
                </m:r>
                <m:sSubSup>
                  <m:e>
                    <m:r>
                      <m:t xml:space="preserve">Δ</m:t>
                    </m:r>
                  </m:e>
                  <m:sub>
                    <m:r>
                      <m:t xml:space="preserve">b</m:t>
                    </m:r>
                  </m:sub>
                  <m:sup>
                    <m:r>
                      <m:t xml:space="preserve">*</m:t>
                    </m:r>
                  </m:sup>
                </m:sSubSup>
                <m:r>
                  <m:t xml:space="preserve">-</m:t>
                </m:r>
                <m:acc>
                  <m:accPr>
                    <m:chr m:val="̂"/>
                  </m:accPr>
                  <m:e>
                    <m:r>
                      <m:t xml:space="preserve">Δ</m:t>
                    </m:r>
                  </m:e>
                </m:acc>
                <m:r>
                  <m:t xml:space="preserve">|</m:t>
                </m:r>
                <m:r>
                  <m:t xml:space="preserve">≥</m:t>
                </m:r>
                <m:r>
                  <m:t xml:space="preserve">|</m:t>
                </m:r>
                <m:acc>
                  <m:accPr>
                    <m:chr m:val="̂"/>
                  </m:accPr>
                  <m:e>
                    <m:r>
                      <m:t xml:space="preserve">Δ</m:t>
                    </m:r>
                  </m:e>
                </m:acc>
                <m:r>
                  <m:t xml:space="preserve">|</m:t>
                </m:r>
                <m:r>
                  <m:t xml:space="preserve"/>
                </m:r>
                <m:r>
                  <m:t xml:space="preserve">)</m:t>
                </m:r>
              </m:e>
            </m:nary>
          </m:num>
          <m:den>
            <m:r>
              <m:t xml:space="preserve">B</m:t>
            </m:r>
            <m:r>
              <m:t xml:space="preserve">+</m:t>
            </m:r>
            <m:r>
              <m:t xml:space="preserve">1</m:t>
            </m:r>
          </m:den>
        </m:f>
        <m:r>
          <m:t xml:space="preserve">.</m:t>
        </m:r>
      </m:oMath>
      <w:r>
        <w:rPr>
          <w:sz w:val="18"/>
        </w:rPr>
        <w:t xml:space="preserve">   （2-10）</w:t>
      </w:r>
    </w:p>
    <w:p>
      <w:pPr/>
      <w: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1"/>
      </w:pPr>
      <w:r>
        <w:t>2.7 训练与推理的阶段接口</w:t>
      </w:r>
    </w:p>
    <w:p>
      <w:pPr/>
      <w: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ind w:firstLine="0"/>
        <w:jc w:val="center"/>
      </w:pPr>
      <w:r>
        <w:drawing>
          <wp:inline xmlns:a="http://schemas.openxmlformats.org/drawingml/2006/main" xmlns:pic="http://schemas.openxmlformats.org/drawingml/2006/picture">
            <wp:extent cx="6062472" cy="946531"/>
            <wp:docPr id="1" name="Picture 1"/>
            <wp:cNvGraphicFramePr>
              <a:graphicFrameLocks noChangeAspect="1"/>
            </wp:cNvGraphicFramePr>
            <a:graphic>
              <a:graphicData uri="http://schemas.openxmlformats.org/drawingml/2006/picture">
                <pic:pic>
                  <pic:nvPicPr>
                    <pic:cNvPr id="0" name="rId55.png"/>
                    <pic:cNvPicPr/>
                  </pic:nvPicPr>
                  <pic:blipFill>
                    <a:blip r:embed="rId11"/>
                    <a:stretch>
                      <a:fillRect/>
                    </a:stretch>
                  </pic:blipFill>
                  <pic:spPr>
                    <a:xfrm>
                      <a:off x="0" y="0"/>
                      <a:ext cx="6062472" cy="946531"/>
                    </a:xfrm>
                    <a:prstGeom prst="rect"/>
                  </pic:spPr>
                </pic:pic>
              </a:graphicData>
            </a:graphic>
          </wp:inline>
        </w:drawing>
      </w:r>
    </w:p>
    <w:p>
      <w:pPr>
        <w:keepNext w:val="0"/>
        <w:spacing w:before="80" w:after="100"/>
        <w:ind w:firstLine="0"/>
      </w:pPr>
      <w:r>
        <w:rPr>
          <w:b/>
          <w:sz w:val="19"/>
        </w:rPr>
        <w:t>图2-1 训练监督保持与推理结构恢复的阶段接口</w:t>
      </w:r>
    </w:p>
    <w:p>
      <w:pPr/>
      <w: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1"/>
      </w:pPr>
      <w:r>
        <w:t>2.8 本章小结</w:t>
      </w:r>
    </w:p>
    <w:p>
      <w:pPr/>
      <w: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r>
        <w:br w:type="page"/>
      </w:r>
    </w:p>
    <w:p>
      <w:pPr>
        <w:pStyle w:val="Title"/>
      </w:pPr>
      <w:r>
        <w:t>第二章补充材料</w:t>
      </w:r>
    </w:p>
    <w:p>
      <w:pPr/>
      <w:r>
        <w:t>以下保留原稿的实验配置和模拟数值，供共同实验条件核对；它们不属于本轮新增实验结果。正文先讲任务与理论，参数、旧协议核查及详细比较责任集中于此。</w:t>
      </w:r>
    </w:p>
    <w:p>
      <w:pPr>
        <w:pStyle w:val="Heading1"/>
      </w:pPr>
      <w:r>
        <w:t>S2.1 继承配置的原协议核查</w:t>
      </w:r>
    </w:p>
    <w:p>
      <w:pPr>
        <w:keepNext/>
        <w:spacing w:before="80" w:after="100"/>
        <w:ind w:firstLine="0"/>
      </w:pPr>
      <w:r>
        <w:rPr>
          <w:b/>
          <w:sz w:val="19"/>
        </w:rPr>
        <w:t>补充表S2-1 原协议复现核查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3"/>
        <w:gridCol w:w="1116"/>
        <w:gridCol w:w="1116"/>
        <w:gridCol w:w="1116"/>
        <w:gridCol w:w="1824"/>
        <w:gridCol w:w="1842"/>
        <w:gridCol w:w="1470"/>
      </w:tblGrid>
      <w:tr>
        <w:trPr>
          <w:cantSplit/>
          <w:tblHeader/>
        </w:trPr>
        <w:tc>
          <w:tcPr>
            <w:tcW w:type="dxa" w:w="1063"/>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种子17</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种子29</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种子43</w:t>
            </w:r>
          </w:p>
        </w:tc>
        <w:tc>
          <w:tcPr>
            <w:tcW w:type="dxa" w:w="1824"/>
            <w:vAlign w:val="center"/>
            <w:tcMar>
              <w:top w:w="50" w:type="dxa"/>
              <w:bottom w:w="50" w:type="dxa"/>
              <w:left w:w="80" w:type="dxa"/>
              <w:right w:w="80" w:type="dxa"/>
            </w:tcMar>
            <w:shd w:fill="E7E6E6"/>
          </w:tcPr>
          <w:p>
            <w:pPr>
              <w:spacing w:after="0" w:line="264" w:lineRule="auto"/>
              <w:ind w:firstLine="0"/>
              <w:jc w:val="center"/>
            </w:pPr>
            <w:r>
              <w:rPr>
                <w:b/>
                <w:sz w:val="18"/>
              </w:rPr>
              <w:t>均值 ± SD</w:t>
            </w:r>
          </w:p>
        </w:tc>
        <w:tc>
          <w:tcPr>
            <w:tcW w:type="dxa" w:w="1842"/>
            <w:vAlign w:val="center"/>
            <w:tcMar>
              <w:top w:w="50" w:type="dxa"/>
              <w:bottom w:w="50" w:type="dxa"/>
              <w:left w:w="80" w:type="dxa"/>
              <w:right w:w="80" w:type="dxa"/>
            </w:tcMar>
            <w:shd w:fill="E7E6E6"/>
          </w:tcPr>
          <w:p>
            <w:pPr>
              <w:spacing w:after="0" w:line="264" w:lineRule="auto"/>
              <w:ind w:firstLine="0"/>
              <w:jc w:val="center"/>
            </w:pPr>
            <w:r>
              <w:rPr>
                <w:b/>
                <w:sz w:val="18"/>
              </w:rPr>
              <w:t>原稿已发表值</w:t>
            </w:r>
          </w:p>
        </w:tc>
        <w:tc>
          <w:tcPr>
            <w:tcW w:type="dxa" w:w="1470"/>
            <w:vAlign w:val="center"/>
            <w:tcMar>
              <w:top w:w="50" w:type="dxa"/>
              <w:bottom w:w="50" w:type="dxa"/>
              <w:left w:w="80" w:type="dxa"/>
              <w:right w:w="80" w:type="dxa"/>
            </w:tcMar>
            <w:shd w:fill="E7E6E6"/>
          </w:tcPr>
          <w:p>
            <w:pPr>
              <w:spacing w:after="0" w:line="264" w:lineRule="auto"/>
              <w:ind w:firstLine="0"/>
              <w:jc w:val="center"/>
            </w:pPr>
            <w:r>
              <w:rPr>
                <w:b/>
                <w:sz w:val="18"/>
              </w:rPr>
              <w:t>均值差/pp</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64.98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64.52</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64.81</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64.77 ± 0.23</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64.83</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-0.06</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38.31</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37.88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38.04</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38.08 ± 0.22</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38.17</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-0.09</w:t>
            </w:r>
          </w:p>
        </w:tc>
      </w:tr>
    </w:tbl>
    <w:p>
      <w:pPr/>
      <w:r>
        <w:t>该表沿用原test稿件数值。原协议结果只用于继承配置的核查，不能与原生完整关系指标直接求差，也不进入14项主要比较族。</w:t>
      </w:r>
    </w:p>
    <w:p>
      <w:pPr>
        <w:pStyle w:val="Heading1"/>
      </w:pPr>
      <w:r>
        <w:t>S2.2 数据处理与记录用途</w:t>
      </w:r>
    </w:p>
    <w:p>
      <w:pPr/>
      <w: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r>
        <w:t>三折OOF按源文档及全部增强视图分组，T0与T1、两种语料、三个训练种子共对应36个OOF运行条目。每个持出源只由未见该源的生成器产生候选。拟合、校准与策略用途及其规模见正文2.6.1。</w:t>
      </w:r>
    </w:p>
    <w:p>
      <w:pPr/>
      <w:r>
        <w:t>字符规范键统一为（文档与文本版本、字符起点、字符终点、原生类型）；模型子词集合按字符区间与offset mapping求交，聊天模板和连续提示位置不进入原文跨度。词中边界的实际示例见正文表2-2。</w:t>
      </w:r>
    </w:p>
    <w:p>
      <w:pPr>
        <w:pStyle w:val="Heading1"/>
      </w:pPr>
      <w:r>
        <w:t>S2.3 固定训练与推理配置</w:t>
      </w:r>
    </w:p>
    <w:p>
      <w:pPr>
        <w:keepNext/>
        <w:spacing w:before="80" w:after="100"/>
        <w:ind w:firstLine="0"/>
      </w:pPr>
      <w:r>
        <w:rPr>
          <w:b/>
          <w:sz w:val="19"/>
        </w:rPr>
        <w:t>补充表S2-2 公共训练与评价配置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骨干</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Qwen2.5-7B-Instruct；基础权重冻结</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LoRA</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rank 16，alpha 32，dropout 0.05</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优化器</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AdamW；生成适配学习率2×10⁻⁴；weight decay 0.01；β=(0.9,0.999)；ε=10⁻⁸</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学习预算</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5 epoch，有效批量32源文档；每批4源、累计8步；末批按有效源数归一化</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其他训练参数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warmup 3%；梯度裁剪1；bfloat16</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长度与种子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输入4096、输出2048、总上下文8192；17、29、43</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增强规模</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500接受视图／0.82M token；CDCP 900／1.35M token</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生成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K=3：1路贪心＋2路temperature 0.7、top-p 0.9采样</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硬件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单张A100 80GB，64GiB RAM，4 CPU线程</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评价</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80篇；CDCP 150篇；三种子严格micro-F1</w:t>
            </w:r>
          </w:p>
        </w:tc>
      </w:tr>
    </w:tbl>
    <w:p>
      <w:pPr>
        <w:keepNext/>
        <w:spacing w:before="80" w:after="100"/>
        <w:ind w:firstLine="0"/>
      </w:pPr>
      <w:r>
        <w:rPr>
          <w:b/>
          <w:sz w:val="19"/>
        </w:rPr>
        <w:t>补充表S2-3 辅助头、评分与推理配置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跨度与对象头</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起止各一线性层；2层MLP，隐藏1024，dropout 0.1</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头部学习率</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辅助头10⁻³；评分头训练10 epoch</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损失系数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原文生成1，头监督1，组件对齐0.5，关系对齐0.5；变体不承担整图生成损失</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校准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按语料、种子、对象族分别拟合Platt；自然候选分布</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效用与阈值</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wC=wR=1；κC=1；κR为AAEC 1、CDCP 0.5；δ=0.20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开发选择</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κR∈{0.5,1.0}；δ∈{0.01,0.05,0.10,0.20}；原TP损失≤5%；无合格配置返回G0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编辑与外层</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组件24、关系96；每轮32尝试／3接受，最多4轮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路由与时限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n≤2500用全局，否则单对象局部；AAEC 3秒，CDCP 5秒</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候选与缺分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预检关系槽位50000；保护初始对象；评分批4096；缺分拒绝受影响事务</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软件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Python 3.11；PyTorch 2.5.1；Transformers 4.46.3；PEFT 0.13.2；HiGHS接口，固定4线程</w:t>
            </w:r>
          </w:p>
        </w:tc>
      </w:tr>
    </w:tbl>
    <w:p>
      <w:pPr/>
      <w: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r>
        <w:t>登记标识与文件摘要用于关联记录。本轮没有凭这些名称确认对应训练或推理已执行；模型、预测和逐文档计数仍需与实际交付文件绑定。</w:t>
      </w:r>
    </w:p>
    <w:p>
      <w:pPr>
        <w:pStyle w:val="Heading1"/>
      </w:pPr>
      <w:r>
        <w:t>S2.4 研究问题与比较责任</w:t>
      </w:r>
    </w:p>
    <w:p>
      <w:pPr>
        <w:keepNext/>
        <w:spacing w:before="80" w:after="100"/>
        <w:ind w:firstLine="0"/>
      </w:pPr>
      <w:r>
        <w:rPr>
          <w:b/>
          <w:sz w:val="19"/>
        </w:rPr>
        <w:t>补充表S2-4 主要比较族与探索性分析的归因边界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层次与研究问题</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比较与控制条件</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可以回答的问题及归因边界</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主要1 整套训练</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T0/I0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判断新训练配置的条件效果，不能将全部差异归于成对项</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主要2 成对项</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NoPair；同视图、同掩码、同辅助头</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判断成对目标的额外作用，不评价数据构造本身是否优于近邻</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主要3 整套推理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T1/I0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判断新推理配置的条件效果，不能归因于单一事务机制</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主要4 修改范围</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RelationOnly；同候选、同评分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判断允许组件修改带来的差异，不等于共同接受的差异</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主要5 共同接受</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 对 Sequential；同候选、同评分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判断单对象共同决策相对分步决策的作用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主要6 等预算替代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Regenerate</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判断相同追加调用与token上限下的差异，CPU成本另列</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主要7 开发风险限制</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NoRisk</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判断限制是否值得保留，开发保留率不保证测试安全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数据构造</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可靠对应构造 对 QOS式适配；同规模、同辅助头、无成对项</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区分数据构造和学习目标的作用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动作与求解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Single、SetLocal与同目标Global；核对可行域和预算</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分别分析动作粒度及搜索，不能将差异全部归于效率</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审核与评分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按使用单位分层审核；分开报告评分质量、逐次接受与终态变化</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组件审核不代表关系审核，净变化不代表逐次过程风险</w:t>
            </w:r>
          </w:p>
        </w:tc>
      </w:tr>
    </w:tbl>
    <w:p>
      <w:pPr/>
      <w:r>
        <w:t>前7项各在AAEC和CDCP评价，构成14项主要比较。其余保持探索性身份。这张表承接原表1-2的证据责任内容，作为从绪论移至实验说明的候选位置；已确认的第一章v2在本轮不被覆盖。</w:t>
      </w:r>
    </w:p>
    <w:p>
      <w:pPr>
        <w:pStyle w:val="Heading1"/>
      </w:pPr>
      <w:r>
        <w:t>S2.5 统计结果复算材料</w:t>
      </w:r>
    </w:p>
    <w:p>
      <w:pPr/>
      <w:r>
        <w:t>逐文档计数的主键为dataset、document_id、seed、method、object_family；source_group用于关联重复文本或同源组。计数均为非负整数，相同任务下各方法的TP+FN必须一致。失败文档保留一行，并按空预测记录TP=FP=0及对应FN。</w:t>
      </w:r>
    </w:p>
    <w:p>
      <w:pPr/>
      <w:r>
        <w:t>复算包还应包括比较族清单、共同抽样索引、重采样次数、随机数生成器及种子、代码版本和输入文件摘要。固定相同输入与抽样索引后，应得到相同的逐次差值、区间、原始p和Holm校正p。</w:t>
      </w:r>
    </w:p>
    <w:p>
      <w:pPr/>
      <w:r>
        <w:t>随本章提供的统计脚本与教学输入用于验证计数、配对与重采样接口。教学输入使用DEMO标识，不参与论文主结果。原稿主结果尚缺少完整的文档×种子×方法计数输入，因此本轮不声称已经复现表3-4、表4-4或表5-3中的统计分布。</w:t>
      </w:r>
    </w:p>
    <w:sectPr w:rsidR="00FC693F" w:rsidRPr="0006063C" w:rsidSect="00034616">
      <w:headerReference w:type="default" r:id="rId9"/>
      <w:footerReference w:type="default" r:id="rId10"/>
      <w:pgSz w:w="11909" w:h="16834"/>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第二章审阅版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test稿件  第二章审阅版  沿用原稿模拟说明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ind w:firstLine="4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Arial Unicode MS" w:hAnsi="Arial Unicode MS" w:eastAsia="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Arial Unicode MS" w:hAnsi="Arial Unicode MS"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Arial Unicode MS" w:hAnsi="Arial Unicode MS" w:eastAsia="Arial Unicode M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