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第二章 相关理论与技术</w:t>
      </w:r>
    </w:p>
    <w:p>
      <w:pPr/>
      <w:r>
        <w:t>论辩挖掘需要同时理解文本片段的含义及片段之间的论证关系。本文从训练数据中的监督保持和预测结果中的结构修正两个方面开展研究，二者共同依赖于明确的任务表示、语言模型学习方法和结构化决策基础。本章首先定义论辩组件、关系及其规范身份，随后介绍生成建模、参数高效适配、数据增强与一致性学习，再说明候选评分、结构决策及评价方法，最后给出后续各章共用的数据使用原则与阶段接口。具体增强算法和修正算法分别在第三、四章展开。</w:t>
      </w:r>
    </w:p>
    <w:p>
      <w:pPr>
        <w:pStyle w:val="Heading1"/>
      </w:pPr>
      <w:r>
        <w:t>2.1 论辩挖掘任务与结构表示</w:t>
      </w:r>
    </w:p>
    <w:p>
      <w:pPr>
        <w:pStyle w:val="Heading2"/>
      </w:pPr>
      <w:r>
        <w:rPr/>
        <w:t>2.1.1 论辩组件与关系</w:t>
      </w:r>
    </w:p>
    <w:p>
      <w:pPr/>
      <w:r>
        <w:t>论辩挖掘的输入是一篇未提供金标结构的文档，输出包括论辩组件及组件之间的关系。组件识别需要确定相关文字在原文中的位置，组件分类则判断这段文字承担的论辩角色。本文的端到端设定要求模型从原文完成这些预测，不使用测试集金标组件作为输入；这一设定允许生成、候选选择和预测修正等多个计算步骤。</w:t>
      </w:r>
    </w:p>
    <w:p>
      <w:pPr>
        <w:keepNext/>
      </w:pPr>
      <w:r>
        <w:t xml:space="preserve">记固定文本版本的文档为 </w:t>
      </w:r>
      <m:oMath>
        <m:r>
          <m:t xml:space="preserve">x</m:t>
        </m:r>
      </m:oMath>
      <w:r>
        <w:t xml:space="preserve">，其标识为 </w:t>
      </w:r>
      <m:oMath>
        <m:r>
          <m:t xml:space="preserve">d</m:t>
        </m:r>
      </m:oMath>
      <w:r>
        <w:t>。文档标识同时关联语料、原生文档编号及文本版本，字符位置按照原文中的Unicode码点从0开始计数。组件的规范表示定义为</w:t>
      </w:r>
    </w:p>
    <w:p>
      <w:pPr>
        <w:spacing w:line="276" w:lineRule="auto" w:after="140"/>
        <w:ind w:firstLine="0"/>
        <w:jc w:val="center"/>
      </w:pPr>
      <m:oMath>
        <m:r>
          <m:t xml:space="preserve">c</m:t>
        </m:r>
        <m:r>
          <m:t xml:space="preserve">=</m:t>
        </m:r>
        <m:r>
          <m:t xml:space="preserve">(</m:t>
        </m:r>
        <m:r>
          <m:t xml:space="preserve">d</m:t>
        </m:r>
        <m:r>
          <m:t xml:space="preserve">,</m:t>
        </m:r>
        <m:r>
          <m:t xml:space="preserve">b</m:t>
        </m:r>
        <m:r>
          <m:t xml:space="preserve">,</m:t>
        </m:r>
        <m:r>
          <m:t xml:space="preserve">e</m:t>
        </m:r>
        <m:r>
          <m:t xml:space="preserve">,</m:t>
        </m:r>
        <m:r>
          <m:t xml:space="preserve">t</m:t>
        </m:r>
        <m:r>
          <m:t xml:space="preserve">)</m:t>
        </m:r>
        <m:r>
          <m:t xml:space="preserve">,</m:t>
        </m:r>
        <m:r>
          <m:t xml:space="preserve">    </m:t>
        </m:r>
        <m:r>
          <m:t xml:space="preserve">0</m:t>
        </m:r>
        <m:r>
          <m:t xml:space="preserve">≤</m:t>
        </m:r>
        <m:r>
          <m:t xml:space="preserve">b</m:t>
        </m:r>
        <m:r>
          <m:t xml:space="preserve">&lt;</m:t>
        </m:r>
        <m:r>
          <m:t xml:space="preserve">e</m:t>
        </m:r>
        <m:r>
          <m:t xml:space="preserve">≤</m:t>
        </m:r>
        <m:r>
          <m:t xml:space="preserve">|</m:t>
        </m:r>
        <m:r>
          <m:t xml:space="preserve">x</m:t>
        </m:r>
        <m:r>
          <m:t xml:space="preserve">|</m:t>
        </m:r>
        <m:r>
          <m:t xml:space="preserve">.</m:t>
        </m:r>
      </m:oMath>
      <w:r>
        <w:rPr>
          <w:sz w:val="18"/>
        </w:rPr>
        <w:t xml:space="preserve">   （2-1）</w:t>
      </w:r>
    </w:p>
    <w:p>
      <w:pPr/>
      <w:r>
        <w:t>其中，</w:t>
      </w:r>
      <m:oMath>
        <m:r>
          <m:t xml:space="preserve">[</m:t>
        </m:r>
        <m:r>
          <m:t xml:space="preserve">b</m:t>
        </m:r>
        <m:r>
          <m:t xml:space="preserve">,</m:t>
        </m:r>
        <m:r>
          <m:t xml:space="preserve">e</m:t>
        </m:r>
        <m:r>
          <m:t xml:space="preserve">)</m:t>
        </m:r>
      </m:oMath>
      <w:r>
        <w:t xml:space="preserve"> 为左闭右开的字符区间，</w:t>
      </w:r>
      <m:oMath>
        <m:r>
          <m:t xml:space="preserve">x</m:t>
        </m:r>
        <m:r>
          <m:t xml:space="preserve">[</m:t>
        </m:r>
        <m:r>
          <m:t xml:space="preserve">b</m:t>
        </m:r>
        <m:r>
          <m:t xml:space="preserve">:</m:t>
        </m:r>
        <m:r>
          <m:t xml:space="preserve">e</m:t>
        </m:r>
        <m:r>
          <m:t xml:space="preserve">]</m:t>
        </m:r>
      </m:oMath>
      <w:r>
        <w:t xml:space="preserve"> 是组件的原文片段，</w:t>
      </w:r>
      <m:oMath>
        <m:r>
          <m:t xml:space="preserve">t</m:t>
        </m:r>
      </m:oMath>
      <w:r>
        <w:t xml:space="preserve"> 为该语料的原生组件类型。相同文字在文档的不同位置出现时，对应不同组件；同一字符区间被赋予不同类型时，也对应不同的预测对象。本文将字符区间和类型共同作为严格匹配的依据。</w:t>
      </w:r>
    </w:p>
    <w:p>
      <w:pPr/>
      <w:r>
        <w:t>评价分词和模型分词是对原文的两种派生表示。评价token用于固定评价处理和跨度索引，模型子词用于构造神经网络输入；二者均通过字符偏移映射回原文。它们可以采用不同的切分方式，但不能改变组件的规范字符边界。改变分词器时，应重新建立映射，而不是重新定义金标组件。</w:t>
      </w:r>
    </w:p>
    <w:p>
      <w:pPr/>
      <w:r>
        <w:t xml:space="preserve">二元关系表示两个组件之间的有向联系，可记为 </w:t>
      </w:r>
      <m:oMath>
        <m:r>
          <m:t xml:space="preserve">r</m:t>
        </m:r>
        <m:r>
          <m:t xml:space="preserve">=</m:t>
        </m:r>
        <m:r>
          <m:t xml:space="preserve">(</m:t>
        </m:r>
        <m:sSub>
          <m:e>
            <m:r>
              <m:t xml:space="preserve">c</m:t>
            </m:r>
          </m:e>
          <m:sub>
            <m:r>
              <m:t xml:space="preserve">i</m:t>
            </m:r>
          </m:sub>
        </m:sSub>
        <m:r>
          <m:t xml:space="preserve">,</m:t>
        </m:r>
        <m:sSub>
          <m:e>
            <m:r>
              <m:t xml:space="preserve">c</m:t>
            </m:r>
          </m:e>
          <m:sub>
            <m:r>
              <m:t xml:space="preserve">j</m:t>
            </m:r>
          </m:sub>
        </m:sSub>
        <m:r>
          <m:t xml:space="preserve">,</m:t>
        </m:r>
        <m:r>
          <m:t xml:space="preserve">ℓ</m:t>
        </m:r>
        <m:r>
          <m:t xml:space="preserve">)</m:t>
        </m:r>
      </m:oMath>
      <w:r>
        <w:t xml:space="preserve">，其中 </w:t>
      </w:r>
      <m:oMath>
        <m:sSub>
          <m:e>
            <m:r>
              <m:t xml:space="preserve">c</m:t>
            </m:r>
          </m:e>
          <m:sub>
            <m:r>
              <m:t xml:space="preserve">i</m:t>
            </m:r>
          </m:sub>
        </m:sSub>
      </m:oMath>
      <w:r>
        <w:t xml:space="preserve"> 为源组件，</w:t>
      </w:r>
      <m:oMath>
        <m:sSub>
          <m:e>
            <m:r>
              <m:t xml:space="preserve">c</m:t>
            </m:r>
          </m:e>
          <m:sub>
            <m:r>
              <m:t xml:space="preserve">j</m:t>
            </m:r>
          </m:sub>
        </m:sSub>
      </m:oMath>
      <w:r>
        <w:t xml:space="preserve"> 为目标组件，</w:t>
      </w:r>
      <m:oMath>
        <m:r>
          <m:t xml:space="preserve">ℓ</m:t>
        </m:r>
      </m:oMath>
      <w:r>
        <w:t xml:space="preserve"> 为关系标签。关系方向由提供理由或攻击的一方指向目标。文档的论辩结构记为 </w:t>
      </w:r>
      <m:oMath>
        <m:r>
          <m:t xml:space="preserve">G</m:t>
        </m:r>
        <m:r>
          <m:t xml:space="preserve">=</m:t>
        </m:r>
        <m:r>
          <m:t xml:space="preserve">(</m:t>
        </m:r>
        <m:r>
          <m:t xml:space="preserve">C</m:t>
        </m:r>
        <m:r>
          <m:t xml:space="preserve">,</m:t>
        </m:r>
        <m:r>
          <m:t xml:space="preserve">R</m:t>
        </m:r>
        <m:r>
          <m:t xml:space="preserve">)</m:t>
        </m:r>
      </m:oMath>
      <w:r>
        <w:t xml:space="preserve">，其中 </w:t>
      </w:r>
      <m:oMath>
        <m:r>
          <m:t xml:space="preserve">C</m:t>
        </m:r>
      </m:oMath>
      <w:r>
        <w:t xml:space="preserve"> 为组件集合，</w:t>
      </w:r>
      <m:oMath>
        <m:r>
          <m:t xml:space="preserve">R</m:t>
        </m:r>
      </m:oMath>
      <w:r>
        <w:t xml:space="preserve"> 为关系集合。</w:t>
      </w:r>
    </w:p>
    <w:p>
      <w:pPr/>
      <w:r>
        <w:t xml:space="preserve">部分语料允许多个组件共同支持一个目标。对此，关系表示为 </w:t>
      </w:r>
      <m:oMath>
        <m:r>
          <m:t xml:space="preserve">h</m:t>
        </m:r>
        <m:r>
          <m:t xml:space="preserve">=</m:t>
        </m:r>
        <m:r>
          <m:t xml:space="preserve">(</m:t>
        </m:r>
        <m:r>
          <m:t xml:space="preserve">S</m:t>
        </m:r>
        <m:r>
          <m:t xml:space="preserve">,</m:t>
        </m:r>
        <m:sSub>
          <m:e>
            <m:r>
              <m:t xml:space="preserve">c</m:t>
            </m:r>
          </m:e>
          <m:sub>
            <m:r>
              <m:t xml:space="preserve">j</m:t>
            </m:r>
          </m:sub>
        </m:sSub>
        <m:r>
          <m:t xml:space="preserve">,</m:t>
        </m:r>
        <m:r>
          <m:t xml:space="preserve">ℓ</m:t>
        </m:r>
        <m:r>
          <m:t xml:space="preserve">)</m:t>
        </m:r>
      </m:oMath>
      <w:r>
        <w:t xml:space="preserve">，其中 </w:t>
      </w:r>
      <m:oMath>
        <m:r>
          <m:t xml:space="preserve">S</m:t>
        </m:r>
      </m:oMath>
      <w:r>
        <w:t xml:space="preserve"> 为非空源组件集合。源集合只在序列化时按规范键排序，其成员共同构成一个完整关系。将该关系拆成多条二元边会改变任务的计数单位和匹配条件，因此本文保留原生多前提结构；二元关系可以视为源集合大小为1的特例[3][46]。</w:t>
      </w:r>
    </w:p>
    <w:p>
      <w:pPr>
        <w:keepNext/>
        <w:spacing w:before="80" w:after="100"/>
        <w:ind w:firstLine="0"/>
      </w:pPr>
      <w:r>
        <w:rPr>
          <w:b/>
          <w:sz w:val="19"/>
        </w:rPr>
        <w:t>表2-1 两种语料的原生任务表示</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64"/>
        <w:gridCol w:w="2587"/>
        <w:gridCol w:w="2293"/>
        <w:gridCol w:w="3603"/>
      </w:tblGrid>
      <w:tr>
        <w:trPr>
          <w:cantSplit/>
          <w:tblHeader/>
        </w:trPr>
        <w:tc>
          <w:tcPr>
            <w:tcW w:type="dxa" w:w="1064"/>
            <w:vAlign w:val="center"/>
            <w:tcMar>
              <w:top w:w="50" w:type="dxa"/>
              <w:bottom w:w="50" w:type="dxa"/>
              <w:left w:w="80" w:type="dxa"/>
              <w:right w:w="80" w:type="dxa"/>
            </w:tcMar>
            <w:shd w:fill="E7E6E6"/>
          </w:tcPr>
          <w:p>
            <w:pPr>
              <w:spacing w:after="0" w:line="264" w:lineRule="auto"/>
              <w:ind w:firstLine="0"/>
              <w:jc w:val="center"/>
            </w:pPr>
            <w:r>
              <w:rPr>
                <w:b/>
                <w:sz w:val="19"/>
              </w:rPr>
              <w:t>语料</w:t>
            </w:r>
          </w:p>
        </w:tc>
        <w:tc>
          <w:tcPr>
            <w:tcW w:type="dxa" w:w="2587"/>
            <w:vAlign w:val="center"/>
            <w:tcMar>
              <w:top w:w="50" w:type="dxa"/>
              <w:bottom w:w="50" w:type="dxa"/>
              <w:left w:w="80" w:type="dxa"/>
              <w:right w:w="80" w:type="dxa"/>
            </w:tcMar>
            <w:shd w:fill="E7E6E6"/>
          </w:tcPr>
          <w:p>
            <w:pPr>
              <w:spacing w:after="0" w:line="264" w:lineRule="auto"/>
              <w:ind w:firstLine="0"/>
              <w:jc w:val="center"/>
            </w:pPr>
            <w:r>
              <w:rPr>
                <w:b/>
                <w:sz w:val="19"/>
              </w:rPr>
              <w:t>组件类型</w:t>
            </w:r>
          </w:p>
        </w:tc>
        <w:tc>
          <w:tcPr>
            <w:tcW w:type="dxa" w:w="2293"/>
            <w:vAlign w:val="center"/>
            <w:tcMar>
              <w:top w:w="50" w:type="dxa"/>
              <w:bottom w:w="50" w:type="dxa"/>
              <w:left w:w="80" w:type="dxa"/>
              <w:right w:w="80" w:type="dxa"/>
            </w:tcMar>
            <w:shd w:fill="E7E6E6"/>
          </w:tcPr>
          <w:p>
            <w:pPr>
              <w:spacing w:after="0" w:line="264" w:lineRule="auto"/>
              <w:ind w:firstLine="0"/>
              <w:jc w:val="center"/>
            </w:pPr>
            <w:r>
              <w:rPr>
                <w:b/>
                <w:sz w:val="19"/>
              </w:rPr>
              <w:t>关系对象</w:t>
            </w:r>
          </w:p>
        </w:tc>
        <w:tc>
          <w:tcPr>
            <w:tcW w:type="dxa" w:w="3603"/>
            <w:vAlign w:val="center"/>
            <w:tcMar>
              <w:top w:w="50" w:type="dxa"/>
              <w:bottom w:w="50" w:type="dxa"/>
              <w:left w:w="80" w:type="dxa"/>
              <w:right w:w="80" w:type="dxa"/>
            </w:tcMar>
            <w:shd w:fill="E7E6E6"/>
          </w:tcPr>
          <w:p>
            <w:pPr>
              <w:spacing w:after="0" w:line="264" w:lineRule="auto"/>
              <w:ind w:firstLine="0"/>
              <w:jc w:val="center"/>
            </w:pPr>
            <w:r>
              <w:rPr>
                <w:b/>
                <w:sz w:val="19"/>
              </w:rPr>
              <w:t>评价时保留的边界</w:t>
            </w:r>
          </w:p>
        </w:tc>
      </w:tr>
      <w:tr>
        <w:trPr>
          <w:cantSplit/>
        </w:trPr>
        <w:tc>
          <w:tcPr>
            <w:tcW w:type="dxa" w:w="1064"/>
            <w:vAlign w:val="center"/>
            <w:tcMar>
              <w:top w:w="50" w:type="dxa"/>
              <w:bottom w:w="50" w:type="dxa"/>
              <w:left w:w="80" w:type="dxa"/>
              <w:right w:w="80" w:type="dxa"/>
            </w:tcMar>
          </w:tcPr>
          <w:p>
            <w:pPr>
              <w:spacing w:after="0" w:line="264" w:lineRule="auto"/>
              <w:ind w:firstLine="0"/>
              <w:jc w:val="left"/>
            </w:pPr>
            <w:r>
              <w:rPr>
                <w:b w:val="0"/>
                <w:sz w:val="19"/>
              </w:rPr>
              <w:t>AAEC</w:t>
            </w:r>
          </w:p>
        </w:tc>
        <w:tc>
          <w:tcPr>
            <w:tcW w:type="dxa" w:w="2587"/>
            <w:vAlign w:val="center"/>
            <w:tcMar>
              <w:top w:w="50" w:type="dxa"/>
              <w:bottom w:w="50" w:type="dxa"/>
              <w:left w:w="80" w:type="dxa"/>
              <w:right w:w="80" w:type="dxa"/>
            </w:tcMar>
          </w:tcPr>
          <w:p>
            <w:pPr>
              <w:spacing w:after="0" w:line="264" w:lineRule="auto"/>
              <w:ind w:firstLine="0"/>
              <w:jc w:val="left"/>
            </w:pPr>
            <w:r>
              <w:rPr>
                <w:b w:val="0"/>
                <w:sz w:val="19"/>
              </w:rPr>
              <w:t>MajorClaim、Claim、Premise</w:t>
            </w:r>
          </w:p>
        </w:tc>
        <w:tc>
          <w:tcPr>
            <w:tcW w:type="dxa" w:w="2293"/>
            <w:vAlign w:val="center"/>
            <w:tcMar>
              <w:top w:w="50" w:type="dxa"/>
              <w:bottom w:w="50" w:type="dxa"/>
              <w:left w:w="80" w:type="dxa"/>
              <w:right w:w="80" w:type="dxa"/>
            </w:tcMar>
          </w:tcPr>
          <w:p>
            <w:pPr>
              <w:spacing w:after="0" w:line="264" w:lineRule="auto"/>
              <w:ind w:firstLine="0"/>
              <w:jc w:val="left"/>
            </w:pPr>
            <w:r>
              <w:rPr>
                <w:b w:val="0"/>
                <w:sz w:val="19"/>
              </w:rPr>
              <w:t>Support、Attack二元关系</w:t>
            </w:r>
          </w:p>
        </w:tc>
        <w:tc>
          <w:tcPr>
            <w:tcW w:type="dxa" w:w="3603"/>
            <w:vAlign w:val="center"/>
            <w:tcMar>
              <w:top w:w="50" w:type="dxa"/>
              <w:bottom w:w="50" w:type="dxa"/>
              <w:left w:w="80" w:type="dxa"/>
              <w:right w:w="80" w:type="dxa"/>
            </w:tcMar>
          </w:tcPr>
          <w:p>
            <w:pPr>
              <w:spacing w:after="0" w:line="264" w:lineRule="auto"/>
              <w:ind w:firstLine="0"/>
              <w:jc w:val="left"/>
            </w:pPr>
            <w:r>
              <w:rPr>
                <w:b w:val="0"/>
                <w:sz w:val="19"/>
              </w:rPr>
              <w:t>Claim对MajorClaim的stance单列，不补造普通关系</w:t>
            </w:r>
          </w:p>
        </w:tc>
      </w:tr>
      <w:tr>
        <w:trPr>
          <w:cantSplit/>
        </w:trPr>
        <w:tc>
          <w:tcPr>
            <w:tcW w:type="dxa" w:w="1064"/>
            <w:vAlign w:val="center"/>
            <w:tcMar>
              <w:top w:w="50" w:type="dxa"/>
              <w:bottom w:w="50" w:type="dxa"/>
              <w:left w:w="80" w:type="dxa"/>
              <w:right w:w="80" w:type="dxa"/>
            </w:tcMar>
          </w:tcPr>
          <w:p>
            <w:pPr>
              <w:spacing w:after="0" w:line="264" w:lineRule="auto"/>
              <w:ind w:firstLine="0"/>
              <w:jc w:val="left"/>
            </w:pPr>
            <w:r>
              <w:rPr>
                <w:b w:val="0"/>
                <w:sz w:val="19"/>
              </w:rPr>
              <w:t>CDCP</w:t>
            </w:r>
          </w:p>
        </w:tc>
        <w:tc>
          <w:tcPr>
            <w:tcW w:type="dxa" w:w="2587"/>
            <w:vAlign w:val="center"/>
            <w:tcMar>
              <w:top w:w="50" w:type="dxa"/>
              <w:bottom w:w="50" w:type="dxa"/>
              <w:left w:w="80" w:type="dxa"/>
              <w:right w:w="80" w:type="dxa"/>
            </w:tcMar>
          </w:tcPr>
          <w:p>
            <w:pPr>
              <w:spacing w:after="0" w:line="264" w:lineRule="auto"/>
              <w:ind w:firstLine="0"/>
              <w:jc w:val="left"/>
            </w:pPr>
            <w:r>
              <w:rPr>
                <w:b w:val="0"/>
                <w:sz w:val="19"/>
              </w:rPr>
              <w:t>Fact、Testimony、Value、Policy、Reference</w:t>
            </w:r>
          </w:p>
        </w:tc>
        <w:tc>
          <w:tcPr>
            <w:tcW w:type="dxa" w:w="2293"/>
            <w:vAlign w:val="center"/>
            <w:tcMar>
              <w:top w:w="50" w:type="dxa"/>
              <w:bottom w:w="50" w:type="dxa"/>
              <w:left w:w="80" w:type="dxa"/>
              <w:right w:w="80" w:type="dxa"/>
            </w:tcMar>
          </w:tcPr>
          <w:p>
            <w:pPr>
              <w:spacing w:after="0" w:line="264" w:lineRule="auto"/>
              <w:ind w:firstLine="0"/>
              <w:jc w:val="left"/>
            </w:pPr>
            <w:r>
              <w:rPr>
                <w:b w:val="0"/>
                <w:sz w:val="19"/>
              </w:rPr>
              <w:t>Reason、Evidence多前提关系</w:t>
            </w:r>
          </w:p>
        </w:tc>
        <w:tc>
          <w:tcPr>
            <w:tcW w:type="dxa" w:w="3603"/>
            <w:vAlign w:val="center"/>
            <w:tcMar>
              <w:top w:w="50" w:type="dxa"/>
              <w:bottom w:w="50" w:type="dxa"/>
              <w:left w:w="80" w:type="dxa"/>
              <w:right w:w="80" w:type="dxa"/>
            </w:tcMar>
          </w:tcPr>
          <w:p>
            <w:pPr>
              <w:spacing w:after="0" w:line="264" w:lineRule="auto"/>
              <w:ind w:firstLine="0"/>
              <w:jc w:val="left"/>
            </w:pPr>
            <w:r>
              <w:rPr>
                <w:b w:val="0"/>
                <w:sz w:val="19"/>
              </w:rPr>
              <w:t>完整源集合参与匹配，不归并组件类型、不拆分超边</w:t>
            </w:r>
          </w:p>
        </w:tc>
      </w:tr>
    </w:tbl>
    <w:p>
      <w:pPr/>
      <w:r>
        <w:t>两种任务的差异由原生标注及相应研究确定[2][3][46]。例如，CDCP中的一个关系包含两个源组件时，漏掉其中任意一个组件就不再是同一完整关系。第三章使用的结论角色只用于选择增强中心或触发相应模块，不把CDCP原生类型改写为Claim或Premise。后续域内实验分别评价两种任务，附录中的粗粒度跨域映射不改变本章定义。</w:t>
      </w:r>
    </w:p>
    <w:p>
      <w:pPr>
        <w:pStyle w:val="Heading2"/>
      </w:pPr>
      <w:r>
        <w:rPr/>
        <w:t>2.1.2 字符坐标与对象身份</w:t>
      </w:r>
    </w:p>
    <w:p>
      <w:pPr/>
      <w:r>
        <w:t>规范字符坐标解决的是“评价对象究竟是哪段文字”的问题。若只以评价token的起止位置和类型定义组件，则两个具有相同token外包范围、但字符边界不同的片段可能被误认为同一对象。词中边界尤其需要保留这一差别。</w:t>
      </w:r>
    </w:p>
    <w:p>
      <w:pPr>
        <w:keepNext/>
      </w:pPr>
      <w:r>
        <w:t xml:space="preserve">设评价token的字符区间依次为 </w:t>
      </w:r>
      <m:oMath>
        <m:r>
          <m:t xml:space="preserve">[</m:t>
        </m:r>
        <m:sSub>
          <m:e>
            <m:r>
              <m:t xml:space="preserve">a</m:t>
            </m:r>
          </m:e>
          <m:sub>
            <m:r>
              <m:t xml:space="preserve">i</m:t>
            </m:r>
          </m:sub>
        </m:sSub>
        <m:r>
          <m:t xml:space="preserve">,</m:t>
        </m:r>
        <m:sSub>
          <m:e>
            <m:r>
              <m:t xml:space="preserve">z</m:t>
            </m:r>
          </m:e>
          <m:sub>
            <m:r>
              <m:t xml:space="preserve">i</m:t>
            </m:r>
          </m:sub>
        </m:sSub>
        <m:r>
          <m:t xml:space="preserve">)</m:t>
        </m:r>
      </m:oMath>
      <w:r>
        <w:t xml:space="preserve">。对于组件字符区间 </w:t>
      </w:r>
      <m:oMath>
        <m:r>
          <m:t xml:space="preserve">[</m:t>
        </m:r>
        <m:r>
          <m:t xml:space="preserve">b</m:t>
        </m:r>
        <m:r>
          <m:t xml:space="preserve">,</m:t>
        </m:r>
        <m:r>
          <m:t xml:space="preserve">e</m:t>
        </m:r>
        <m:r>
          <m:t xml:space="preserve">)</m:t>
        </m:r>
      </m:oMath>
      <w:r>
        <w:t xml:space="preserve">，取与其相交的首、末token索引 </w:t>
      </w:r>
      <m:oMath>
        <m:r>
          <m:t xml:space="preserve">s</m:t>
        </m:r>
        <m:r>
          <m:t xml:space="preserve">,</m:t>
        </m:r>
        <m:r>
          <m:t xml:space="preserve">u</m:t>
        </m:r>
      </m:oMath>
      <w:r>
        <w:t>，索引从1开始。记录左右字符残差后，有</w:t>
      </w:r>
    </w:p>
    <w:p>
      <w:pPr>
        <w:spacing w:line="276" w:lineRule="auto" w:after="140"/>
        <w:ind w:firstLine="0"/>
        <w:jc w:val="center"/>
      </w:pPr>
      <m:oMath>
        <m:sSub>
          <m:e>
            <m:r>
              <m:t xml:space="preserve">ρ</m:t>
            </m:r>
          </m:e>
          <m:sub>
            <m:r>
              <m:t xml:space="preserve">L</m:t>
            </m:r>
          </m:sub>
        </m:sSub>
        <m:r>
          <m:t xml:space="preserve">=</m:t>
        </m:r>
        <m:r>
          <m:t xml:space="preserve">b</m:t>
        </m:r>
        <m:r>
          <m:t xml:space="preserve">-</m:t>
        </m:r>
        <m:sSub>
          <m:e>
            <m:r>
              <m:t xml:space="preserve">a</m:t>
            </m:r>
          </m:e>
          <m:sub>
            <m:r>
              <m:t xml:space="preserve">s</m:t>
            </m:r>
          </m:sub>
        </m:sSub>
        <m:r>
          <m:t xml:space="preserve">,</m:t>
        </m:r>
        <m:r>
          <m:t xml:space="preserve">  </m:t>
        </m:r>
        <m:sSub>
          <m:e>
            <m:r>
              <m:t xml:space="preserve">ρ</m:t>
            </m:r>
          </m:e>
          <m:sub>
            <m:r>
              <m:t xml:space="preserve">R</m:t>
            </m:r>
          </m:sub>
        </m:sSub>
        <m:r>
          <m:t xml:space="preserve">=</m:t>
        </m:r>
        <m:sSub>
          <m:e>
            <m:r>
              <m:t xml:space="preserve">z</m:t>
            </m:r>
          </m:e>
          <m:sub>
            <m:r>
              <m:t xml:space="preserve">u</m:t>
            </m:r>
          </m:sub>
        </m:sSub>
        <m:r>
          <m:t xml:space="preserve">-</m:t>
        </m:r>
        <m:r>
          <m:t xml:space="preserve">e</m:t>
        </m:r>
        <m:r>
          <m:t xml:space="preserve">;</m:t>
        </m:r>
        <m:r>
          <m:t xml:space="preserve">    </m:t>
        </m:r>
        <m:r>
          <m:t xml:space="preserve">b</m:t>
        </m:r>
        <m:r>
          <m:t xml:space="preserve">=</m:t>
        </m:r>
        <m:sSub>
          <m:e>
            <m:r>
              <m:t xml:space="preserve">a</m:t>
            </m:r>
          </m:e>
          <m:sub>
            <m:r>
              <m:t xml:space="preserve">s</m:t>
            </m:r>
          </m:sub>
        </m:sSub>
        <m:r>
          <m:t xml:space="preserve">+</m:t>
        </m:r>
        <m:sSub>
          <m:e>
            <m:r>
              <m:t xml:space="preserve">ρ</m:t>
            </m:r>
          </m:e>
          <m:sub>
            <m:r>
              <m:t xml:space="preserve">L</m:t>
            </m:r>
          </m:sub>
        </m:sSub>
        <m:r>
          <m:t xml:space="preserve">,</m:t>
        </m:r>
        <m:r>
          <m:t xml:space="preserve">  </m:t>
        </m:r>
        <m:r>
          <m:t xml:space="preserve">e</m:t>
        </m:r>
        <m:r>
          <m:t xml:space="preserve">=</m:t>
        </m:r>
        <m:sSub>
          <m:e>
            <m:r>
              <m:t xml:space="preserve">z</m:t>
            </m:r>
          </m:e>
          <m:sub>
            <m:r>
              <m:t xml:space="preserve">u</m:t>
            </m:r>
          </m:sub>
        </m:sSub>
        <m:r>
          <m:t xml:space="preserve">-</m:t>
        </m:r>
        <m:sSub>
          <m:e>
            <m:r>
              <m:t xml:space="preserve">ρ</m:t>
            </m:r>
          </m:e>
          <m:sub>
            <m:r>
              <m:t xml:space="preserve">R</m:t>
            </m:r>
          </m:sub>
        </m:sSub>
        <m:r>
          <m:t xml:space="preserve">.</m:t>
        </m:r>
      </m:oMath>
      <w:r>
        <w:rPr>
          <w:sz w:val="18"/>
        </w:rPr>
        <w:t xml:space="preserve">   （2-2）</w:t>
      </w:r>
    </w:p>
    <w:p>
      <w:pPr/>
      <w:r>
        <w:t xml:space="preserve">因此，派生记录 </w:t>
      </w:r>
      <m:oMath>
        <m:r>
          <m:t xml:space="preserve">(</m:t>
        </m:r>
        <m:r>
          <m:t xml:space="preserve">s</m:t>
        </m:r>
        <m:r>
          <m:t xml:space="preserve">,</m:t>
        </m:r>
        <m:r>
          <m:t xml:space="preserve">u</m:t>
        </m:r>
        <m:r>
          <m:t xml:space="preserve">,</m:t>
        </m:r>
        <m:sSub>
          <m:e>
            <m:r>
              <m:t xml:space="preserve">ρ</m:t>
            </m:r>
          </m:e>
          <m:sub>
            <m:r>
              <m:t xml:space="preserve">L</m:t>
            </m:r>
          </m:sub>
        </m:sSub>
        <m:r>
          <m:t xml:space="preserve">,</m:t>
        </m:r>
        <m:sSub>
          <m:e>
            <m:r>
              <m:t xml:space="preserve">ρ</m:t>
            </m:r>
          </m:e>
          <m:sub>
            <m:r>
              <m:t xml:space="preserve">R</m:t>
            </m:r>
          </m:sub>
        </m:sSub>
        <m:r>
          <m:t xml:space="preserve">)</m:t>
        </m:r>
      </m:oMath>
      <w:r>
        <w:t xml:space="preserve"> 可以恢复原字符区间；只有 </w:t>
      </w:r>
      <m:oMath>
        <m:r>
          <m:t xml:space="preserve">(</m:t>
        </m:r>
        <m:r>
          <m:t xml:space="preserve">s</m:t>
        </m:r>
        <m:r>
          <m:t xml:space="preserve">,</m:t>
        </m:r>
        <m:r>
          <m:t xml:space="preserve">u</m:t>
        </m:r>
        <m:r>
          <m:t xml:space="preserve">)</m:t>
        </m:r>
      </m:oMath>
      <w:r>
        <w:t xml:space="preserve"> 则通常不能。若协议保留首尾空白，残差按有符号坐标差保存；没有可对应token的异常应单独记录，不能补造跨度。模型子词同样依据offset mapping与字符区间建立对应。由聊天模板或连续提示引入的位置需要另行补偿，不能混入原文字符坐标。</w:t>
      </w:r>
    </w:p>
    <w:p>
      <w:pPr/>
      <w:r>
        <w:t>表2-2给出AAEC原生文档essay098的T6组件。原标注止于单词responsible的最后一个字母之前，本文保留该标注事实，不自动扩展为完整单词。为说明身份区别，表中另外构造了一个扩展到完整单词的对照片段；该对照不是另一条金标。</w:t>
      </w:r>
    </w:p>
    <w:p>
      <w:pPr>
        <w:keepNext/>
        <w:spacing w:before="80" w:after="100"/>
        <w:ind w:firstLine="0"/>
      </w:pPr>
      <w:r>
        <w:rPr>
          <w:b/>
          <w:sz w:val="19"/>
        </w:rPr>
        <w:t>表2-2 同一token外包范围下的不同字符对象</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34"/>
        <w:gridCol w:w="1806"/>
        <w:gridCol w:w="2010"/>
        <w:gridCol w:w="1413"/>
        <w:gridCol w:w="1884"/>
      </w:tblGrid>
      <w:tr>
        <w:trPr>
          <w:cantSplit/>
          <w:tblHeader/>
        </w:trPr>
        <w:tc>
          <w:tcPr>
            <w:tcW w:type="dxa" w:w="2434"/>
            <w:vAlign w:val="center"/>
            <w:tcMar>
              <w:top w:w="50" w:type="dxa"/>
              <w:bottom w:w="50" w:type="dxa"/>
              <w:left w:w="80" w:type="dxa"/>
              <w:right w:w="80" w:type="dxa"/>
            </w:tcMar>
            <w:shd w:fill="E7E6E6"/>
          </w:tcPr>
          <w:p>
            <w:pPr>
              <w:spacing w:after="0" w:line="264" w:lineRule="auto"/>
              <w:ind w:firstLine="0"/>
              <w:jc w:val="center"/>
            </w:pPr>
            <w:r>
              <w:rPr>
                <w:b/>
                <w:sz w:val="19"/>
              </w:rPr>
              <w:t>对象</w:t>
            </w:r>
          </w:p>
        </w:tc>
        <w:tc>
          <w:tcPr>
            <w:tcW w:type="dxa" w:w="1806"/>
            <w:vAlign w:val="center"/>
            <w:tcMar>
              <w:top w:w="50" w:type="dxa"/>
              <w:bottom w:w="50" w:type="dxa"/>
              <w:left w:w="80" w:type="dxa"/>
              <w:right w:w="80" w:type="dxa"/>
            </w:tcMar>
            <w:shd w:fill="E7E6E6"/>
          </w:tcPr>
          <w:p>
            <w:pPr>
              <w:spacing w:after="0" w:line="264" w:lineRule="auto"/>
              <w:ind w:firstLine="0"/>
              <w:jc w:val="center"/>
            </w:pPr>
            <w:r>
              <w:rPr>
                <w:b/>
                <w:sz w:val="19"/>
              </w:rPr>
              <w:t>字符区间</w:t>
            </w:r>
          </w:p>
        </w:tc>
        <w:tc>
          <w:tcPr>
            <w:tcW w:type="dxa" w:w="2010"/>
            <w:vAlign w:val="center"/>
            <w:tcMar>
              <w:top w:w="50" w:type="dxa"/>
              <w:bottom w:w="50" w:type="dxa"/>
              <w:left w:w="80" w:type="dxa"/>
              <w:right w:w="80" w:type="dxa"/>
            </w:tcMar>
            <w:shd w:fill="E7E6E6"/>
          </w:tcPr>
          <w:p>
            <w:pPr>
              <w:spacing w:after="0" w:line="264" w:lineRule="auto"/>
              <w:ind w:firstLine="0"/>
              <w:jc w:val="center"/>
            </w:pPr>
            <w:r>
              <w:rPr>
                <w:b/>
                <w:sz w:val="19"/>
              </w:rPr>
              <w:t>评价token闭区间</w:t>
            </w:r>
          </w:p>
        </w:tc>
        <w:tc>
          <w:tcPr>
            <w:tcW w:type="dxa" w:w="1413"/>
            <w:vAlign w:val="center"/>
            <w:tcMar>
              <w:top w:w="50" w:type="dxa"/>
              <w:bottom w:w="50" w:type="dxa"/>
              <w:left w:w="80" w:type="dxa"/>
              <w:right w:w="80" w:type="dxa"/>
            </w:tcMar>
            <w:shd w:fill="E7E6E6"/>
          </w:tcPr>
          <w:p>
            <w:pPr>
              <w:spacing w:after="0" w:line="264" w:lineRule="auto"/>
              <w:ind w:firstLine="0"/>
              <w:jc w:val="center"/>
            </w:pPr>
            <w:r>
              <w:rPr>
                <w:b/>
                <w:sz w:val="19"/>
              </w:rPr>
              <w:t>左右残差</w:t>
            </w:r>
          </w:p>
        </w:tc>
        <w:tc>
          <w:tcPr>
            <w:tcW w:type="dxa" w:w="1884"/>
            <w:vAlign w:val="center"/>
            <w:tcMar>
              <w:top w:w="50" w:type="dxa"/>
              <w:bottom w:w="50" w:type="dxa"/>
              <w:left w:w="80" w:type="dxa"/>
              <w:right w:w="80" w:type="dxa"/>
            </w:tcMar>
            <w:shd w:fill="E7E6E6"/>
          </w:tcPr>
          <w:p>
            <w:pPr>
              <w:spacing w:after="0" w:line="264" w:lineRule="auto"/>
              <w:ind w:firstLine="0"/>
              <w:jc w:val="center"/>
            </w:pPr>
            <w:r>
              <w:rPr>
                <w:b/>
                <w:sz w:val="19"/>
              </w:rPr>
              <w:t>片段末尾</w:t>
            </w:r>
          </w:p>
        </w:tc>
      </w:tr>
      <w:tr>
        <w:trPr>
          <w:cantSplit/>
        </w:trPr>
        <w:tc>
          <w:tcPr>
            <w:tcW w:type="dxa" w:w="2434"/>
            <w:vAlign w:val="center"/>
            <w:tcMar>
              <w:top w:w="50" w:type="dxa"/>
              <w:bottom w:w="50" w:type="dxa"/>
              <w:left w:w="80" w:type="dxa"/>
              <w:right w:w="80" w:type="dxa"/>
            </w:tcMar>
          </w:tcPr>
          <w:p>
            <w:pPr>
              <w:spacing w:after="0" w:line="264" w:lineRule="auto"/>
              <w:ind w:firstLine="0"/>
              <w:jc w:val="left"/>
            </w:pPr>
            <w:r>
              <w:rPr>
                <w:b w:val="0"/>
                <w:sz w:val="19"/>
              </w:rPr>
              <w:t>原生T6，Claim</w:t>
            </w:r>
          </w:p>
        </w:tc>
        <w:tc>
          <w:tcPr>
            <w:tcW w:type="dxa" w:w="1806"/>
            <w:vAlign w:val="center"/>
            <w:tcMar>
              <w:top w:w="50" w:type="dxa"/>
              <w:bottom w:w="50" w:type="dxa"/>
              <w:left w:w="80" w:type="dxa"/>
              <w:right w:w="80" w:type="dxa"/>
            </w:tcMar>
          </w:tcPr>
          <w:p>
            <w:pPr>
              <w:spacing w:after="0" w:line="264" w:lineRule="auto"/>
              <w:ind w:firstLine="0"/>
              <w:jc w:val="left"/>
            </w:pPr>
            <w:r>
              <w:rPr>
                <w:b w:val="0"/>
                <w:sz w:val="19"/>
              </w:rPr>
              <w:t>[858,914)</w:t>
            </w:r>
          </w:p>
        </w:tc>
        <w:tc>
          <w:tcPr>
            <w:tcW w:type="dxa" w:w="2010"/>
            <w:vAlign w:val="center"/>
            <w:tcMar>
              <w:top w:w="50" w:type="dxa"/>
              <w:bottom w:w="50" w:type="dxa"/>
              <w:left w:w="80" w:type="dxa"/>
              <w:right w:w="80" w:type="dxa"/>
            </w:tcMar>
          </w:tcPr>
          <w:p>
            <w:pPr>
              <w:spacing w:after="0" w:line="264" w:lineRule="auto"/>
              <w:ind w:firstLine="0"/>
              <w:jc w:val="left"/>
            </w:pPr>
            <w:r>
              <w:rPr>
                <w:b w:val="0"/>
                <w:sz w:val="19"/>
              </w:rPr>
              <w:t>[162,172]</w:t>
            </w:r>
          </w:p>
        </w:tc>
        <w:tc>
          <w:tcPr>
            <w:tcW w:type="dxa" w:w="1413"/>
            <w:vAlign w:val="center"/>
            <w:tcMar>
              <w:top w:w="50" w:type="dxa"/>
              <w:bottom w:w="50" w:type="dxa"/>
              <w:left w:w="80" w:type="dxa"/>
              <w:right w:w="80" w:type="dxa"/>
            </w:tcMar>
          </w:tcPr>
          <w:p>
            <w:pPr>
              <w:spacing w:after="0" w:line="264" w:lineRule="auto"/>
              <w:ind w:firstLine="0"/>
              <w:jc w:val="left"/>
            </w:pPr>
            <w:r>
              <w:rPr>
                <w:b w:val="0"/>
                <w:sz w:val="19"/>
              </w:rPr>
              <w:t>(0,1)</w:t>
            </w:r>
          </w:p>
        </w:tc>
        <w:tc>
          <w:tcPr>
            <w:tcW w:type="dxa" w:w="1884"/>
            <w:vAlign w:val="center"/>
            <w:tcMar>
              <w:top w:w="50" w:type="dxa"/>
              <w:bottom w:w="50" w:type="dxa"/>
              <w:left w:w="80" w:type="dxa"/>
              <w:right w:w="80" w:type="dxa"/>
            </w:tcMar>
          </w:tcPr>
          <w:p>
            <w:pPr>
              <w:spacing w:after="0" w:line="264" w:lineRule="auto"/>
              <w:ind w:firstLine="0"/>
              <w:jc w:val="left"/>
            </w:pPr>
            <w:r>
              <w:rPr>
                <w:b w:val="0"/>
                <w:sz w:val="19"/>
              </w:rPr>
              <w:t>responsibl</w:t>
            </w:r>
          </w:p>
        </w:tc>
      </w:tr>
      <w:tr>
        <w:trPr>
          <w:cantSplit/>
        </w:trPr>
        <w:tc>
          <w:tcPr>
            <w:tcW w:type="dxa" w:w="2434"/>
            <w:vAlign w:val="center"/>
            <w:tcMar>
              <w:top w:w="50" w:type="dxa"/>
              <w:bottom w:w="50" w:type="dxa"/>
              <w:left w:w="80" w:type="dxa"/>
              <w:right w:w="80" w:type="dxa"/>
            </w:tcMar>
          </w:tcPr>
          <w:p>
            <w:pPr>
              <w:spacing w:after="0" w:line="264" w:lineRule="auto"/>
              <w:ind w:firstLine="0"/>
              <w:jc w:val="left"/>
            </w:pPr>
            <w:r>
              <w:rPr>
                <w:b w:val="0"/>
                <w:sz w:val="19"/>
              </w:rPr>
              <w:t>扩展边界的构造对照，Claim</w:t>
            </w:r>
          </w:p>
        </w:tc>
        <w:tc>
          <w:tcPr>
            <w:tcW w:type="dxa" w:w="1806"/>
            <w:vAlign w:val="center"/>
            <w:tcMar>
              <w:top w:w="50" w:type="dxa"/>
              <w:bottom w:w="50" w:type="dxa"/>
              <w:left w:w="80" w:type="dxa"/>
              <w:right w:w="80" w:type="dxa"/>
            </w:tcMar>
          </w:tcPr>
          <w:p>
            <w:pPr>
              <w:spacing w:after="0" w:line="264" w:lineRule="auto"/>
              <w:ind w:firstLine="0"/>
              <w:jc w:val="left"/>
            </w:pPr>
            <w:r>
              <w:rPr>
                <w:b w:val="0"/>
                <w:sz w:val="19"/>
              </w:rPr>
              <w:t>[858,915)</w:t>
            </w:r>
          </w:p>
        </w:tc>
        <w:tc>
          <w:tcPr>
            <w:tcW w:type="dxa" w:w="2010"/>
            <w:vAlign w:val="center"/>
            <w:tcMar>
              <w:top w:w="50" w:type="dxa"/>
              <w:bottom w:w="50" w:type="dxa"/>
              <w:left w:w="80" w:type="dxa"/>
              <w:right w:w="80" w:type="dxa"/>
            </w:tcMar>
          </w:tcPr>
          <w:p>
            <w:pPr>
              <w:spacing w:after="0" w:line="264" w:lineRule="auto"/>
              <w:ind w:firstLine="0"/>
              <w:jc w:val="left"/>
            </w:pPr>
            <w:r>
              <w:rPr>
                <w:b w:val="0"/>
                <w:sz w:val="19"/>
              </w:rPr>
              <w:t>[162,172]</w:t>
            </w:r>
          </w:p>
        </w:tc>
        <w:tc>
          <w:tcPr>
            <w:tcW w:type="dxa" w:w="1413"/>
            <w:vAlign w:val="center"/>
            <w:tcMar>
              <w:top w:w="50" w:type="dxa"/>
              <w:bottom w:w="50" w:type="dxa"/>
              <w:left w:w="80" w:type="dxa"/>
              <w:right w:w="80" w:type="dxa"/>
            </w:tcMar>
          </w:tcPr>
          <w:p>
            <w:pPr>
              <w:spacing w:after="0" w:line="264" w:lineRule="auto"/>
              <w:ind w:firstLine="0"/>
              <w:jc w:val="left"/>
            </w:pPr>
            <w:r>
              <w:rPr>
                <w:b w:val="0"/>
                <w:sz w:val="19"/>
              </w:rPr>
              <w:t>(0,0)</w:t>
            </w:r>
          </w:p>
        </w:tc>
        <w:tc>
          <w:tcPr>
            <w:tcW w:type="dxa" w:w="1884"/>
            <w:vAlign w:val="center"/>
            <w:tcMar>
              <w:top w:w="50" w:type="dxa"/>
              <w:bottom w:w="50" w:type="dxa"/>
              <w:left w:w="80" w:type="dxa"/>
              <w:right w:w="80" w:type="dxa"/>
            </w:tcMar>
          </w:tcPr>
          <w:p>
            <w:pPr>
              <w:spacing w:after="0" w:line="264" w:lineRule="auto"/>
              <w:ind w:firstLine="0"/>
              <w:jc w:val="left"/>
            </w:pPr>
            <w:r>
              <w:rPr>
                <w:b w:val="0"/>
                <w:sz w:val="19"/>
              </w:rPr>
              <w:t>responsible</w:t>
            </w:r>
          </w:p>
        </w:tc>
      </w:tr>
    </w:tbl>
    <w:p>
      <w:pPr/>
      <w:r>
        <w:t xml:space="preserve">该例采用固定正则分词规则 \w+|[^\w\s]。两行的token外包字符区间均为[858,915)，第一行经 </w:t>
      </w:r>
      <m:oMath>
        <m:r>
          <m:t xml:space="preserve">8</m:t>
        </m:r>
        <m:r>
          <m:t xml:space="preserve">5</m:t>
        </m:r>
        <m:r>
          <m:t xml:space="preserve">8</m:t>
        </m:r>
        <m:r>
          <m:t xml:space="preserve">+</m:t>
        </m:r>
        <m:r>
          <m:t xml:space="preserve">0</m:t>
        </m:r>
      </m:oMath>
      <w:r>
        <w:t xml:space="preserve"> 与 </w:t>
      </w:r>
      <m:oMath>
        <m:r>
          <m:t xml:space="preserve">9</m:t>
        </m:r>
        <m:r>
          <m:t xml:space="preserve">1</m:t>
        </m:r>
        <m:r>
          <m:t xml:space="preserve">5</m:t>
        </m:r>
        <m:r>
          <m:t xml:space="preserve">-</m:t>
        </m:r>
        <m:r>
          <m:t xml:space="preserve">1</m:t>
        </m:r>
      </m:oMath>
      <w:r>
        <w:t xml:space="preserve"> 恢复为[858,914)，第二行则恢复为[858,915)。两行的文档、token范围和类型相同，但规范组件键中的结束字符不同，所以不会被合并。字符残差负责保存信息，并不用于推测或修正原生标注。</w:t>
      </w:r>
    </w:p>
    <w:p>
      <w:pPr/>
      <w:r>
        <w:t>组件的规范键由式（2-1）的四个字段共同确定。关系键进一步包含完整端点和关系标签；多前提关系键包含规范排序后的完整源组件键集合。候选去重、评分缓存、修改记录和严格匹配均使用这一身份。T3、T4等显示编号只用于文档内部引用，重新编号不会产生新对象，也不计为一次编辑。</w:t>
      </w:r>
    </w:p>
    <w:p>
      <w:pPr/>
      <w:r>
        <w:t>组件边界或类型改变后，规范键随之变化，与该组件相连的关系也必须依据新端点重新判断。即使关系显示编号未变，也不能直接沿用旧关系的身份或评分。序列化采用统一的sources字段表示源集合，并保留AAEC stance属性；缺失端点作为异常处理，不通过补造组件或关系恢复。</w:t>
      </w:r>
    </w:p>
    <w:p>
      <w:pPr/>
      <w:r>
        <w:t xml:space="preserve">原文与增强视图属于不同文本版本。第三章的对应映射 </w:t>
      </w:r>
      <m:oMath>
        <m:r>
          <m:t xml:space="preserve">φ</m:t>
        </m:r>
      </m:oMath>
      <w:r>
        <w:t xml:space="preserve"> 连接两个版本中的组件，用于描述槽位回填后的标注对应，不表示两侧字符键相等。改写引起字符长度变化时，所有受影响组件的位置都需要更新；哪些组件或关系可以参与学习，再由相应审核状态决定。</w:t>
      </w:r>
    </w:p>
    <w:p>
      <w:pPr/>
      <w:r>
        <w:t>结构化预测需要区分对象的定义、可搜索范围、实际输出及其评价。表2-3将后续使用的五个层次放在同一框架下，避免把“存在候选”“评分较高”和“预测正确”混为一谈。</w:t>
      </w:r>
    </w:p>
    <w:p>
      <w:pPr>
        <w:keepNext/>
        <w:spacing w:before="80" w:after="100"/>
        <w:ind w:firstLine="0"/>
      </w:pPr>
      <w:r>
        <w:rPr>
          <w:b/>
          <w:sz w:val="19"/>
        </w:rPr>
        <w:t>表2-3 论辩结构预测的五个层次</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57"/>
        <w:gridCol w:w="3666"/>
        <w:gridCol w:w="4124"/>
      </w:tblGrid>
      <w:tr>
        <w:trPr>
          <w:cantSplit/>
          <w:tblHeader/>
        </w:trPr>
        <w:tc>
          <w:tcPr>
            <w:tcW w:type="dxa" w:w="1757"/>
            <w:vAlign w:val="center"/>
            <w:tcMar>
              <w:top w:w="50" w:type="dxa"/>
              <w:bottom w:w="50" w:type="dxa"/>
              <w:left w:w="80" w:type="dxa"/>
              <w:right w:w="80" w:type="dxa"/>
            </w:tcMar>
            <w:shd w:fill="E7E6E6"/>
          </w:tcPr>
          <w:p>
            <w:pPr>
              <w:spacing w:after="0" w:line="264" w:lineRule="auto"/>
              <w:ind w:firstLine="0"/>
              <w:jc w:val="center"/>
            </w:pPr>
            <w:r>
              <w:rPr>
                <w:b/>
                <w:sz w:val="19"/>
              </w:rPr>
              <w:t>层次</w:t>
            </w:r>
          </w:p>
        </w:tc>
        <w:tc>
          <w:tcPr>
            <w:tcW w:type="dxa" w:w="3666"/>
            <w:vAlign w:val="center"/>
            <w:tcMar>
              <w:top w:w="50" w:type="dxa"/>
              <w:bottom w:w="50" w:type="dxa"/>
              <w:left w:w="80" w:type="dxa"/>
              <w:right w:w="80" w:type="dxa"/>
            </w:tcMar>
            <w:shd w:fill="E7E6E6"/>
          </w:tcPr>
          <w:p>
            <w:pPr>
              <w:spacing w:after="0" w:line="264" w:lineRule="auto"/>
              <w:ind w:firstLine="0"/>
              <w:jc w:val="center"/>
            </w:pPr>
            <w:r>
              <w:rPr>
                <w:b/>
                <w:sz w:val="19"/>
              </w:rPr>
              <w:t>主要内容</w:t>
            </w:r>
          </w:p>
        </w:tc>
        <w:tc>
          <w:tcPr>
            <w:tcW w:type="dxa" w:w="4124"/>
            <w:vAlign w:val="center"/>
            <w:tcMar>
              <w:top w:w="50" w:type="dxa"/>
              <w:bottom w:w="50" w:type="dxa"/>
              <w:left w:w="80" w:type="dxa"/>
              <w:right w:w="80" w:type="dxa"/>
            </w:tcMar>
            <w:shd w:fill="E7E6E6"/>
          </w:tcPr>
          <w:p>
            <w:pPr>
              <w:spacing w:after="0" w:line="264" w:lineRule="auto"/>
              <w:ind w:firstLine="0"/>
              <w:jc w:val="center"/>
            </w:pPr>
            <w:r>
              <w:rPr>
                <w:b/>
                <w:sz w:val="19"/>
              </w:rPr>
              <w:t>需要回答的问题</w:t>
            </w:r>
          </w:p>
        </w:tc>
      </w:tr>
      <w:tr>
        <w:trPr>
          <w:cantSplit/>
        </w:trPr>
        <w:tc>
          <w:tcPr>
            <w:tcW w:type="dxa" w:w="1757"/>
            <w:vAlign w:val="center"/>
            <w:tcMar>
              <w:top w:w="50" w:type="dxa"/>
              <w:bottom w:w="50" w:type="dxa"/>
              <w:left w:w="80" w:type="dxa"/>
              <w:right w:w="80" w:type="dxa"/>
            </w:tcMar>
          </w:tcPr>
          <w:p>
            <w:pPr>
              <w:spacing w:after="0" w:line="264" w:lineRule="auto"/>
              <w:ind w:firstLine="0"/>
              <w:jc w:val="left"/>
            </w:pPr>
            <w:r>
              <w:rPr>
                <w:b w:val="0"/>
                <w:sz w:val="19"/>
              </w:rPr>
              <w:t>对象</w:t>
            </w:r>
          </w:p>
        </w:tc>
        <w:tc>
          <w:tcPr>
            <w:tcW w:type="dxa" w:w="3666"/>
            <w:vAlign w:val="center"/>
            <w:tcMar>
              <w:top w:w="50" w:type="dxa"/>
              <w:bottom w:w="50" w:type="dxa"/>
              <w:left w:w="80" w:type="dxa"/>
              <w:right w:w="80" w:type="dxa"/>
            </w:tcMar>
          </w:tcPr>
          <w:p>
            <w:pPr>
              <w:spacing w:after="0" w:line="264" w:lineRule="auto"/>
              <w:ind w:firstLine="0"/>
              <w:jc w:val="left"/>
            </w:pPr>
            <w:r>
              <w:rPr>
                <w:b w:val="0"/>
                <w:sz w:val="19"/>
              </w:rPr>
              <w:t>按字符区间、类型和完整端点定义的组件或关系</w:t>
            </w:r>
          </w:p>
        </w:tc>
        <w:tc>
          <w:tcPr>
            <w:tcW w:type="dxa" w:w="4124"/>
            <w:vAlign w:val="center"/>
            <w:tcMar>
              <w:top w:w="50" w:type="dxa"/>
              <w:bottom w:w="50" w:type="dxa"/>
              <w:left w:w="80" w:type="dxa"/>
              <w:right w:w="80" w:type="dxa"/>
            </w:tcMar>
          </w:tcPr>
          <w:p>
            <w:pPr>
              <w:spacing w:after="0" w:line="264" w:lineRule="auto"/>
              <w:ind w:firstLine="0"/>
              <w:jc w:val="left"/>
            </w:pPr>
            <w:r>
              <w:rPr>
                <w:b w:val="0"/>
                <w:sz w:val="19"/>
              </w:rPr>
              <w:t>比较的是不是同一个对象</w:t>
            </w:r>
          </w:p>
        </w:tc>
      </w:tr>
      <w:tr>
        <w:trPr>
          <w:cantSplit/>
        </w:trPr>
        <w:tc>
          <w:tcPr>
            <w:tcW w:type="dxa" w:w="1757"/>
            <w:vAlign w:val="center"/>
            <w:tcMar>
              <w:top w:w="50" w:type="dxa"/>
              <w:bottom w:w="50" w:type="dxa"/>
              <w:left w:w="80" w:type="dxa"/>
              <w:right w:w="80" w:type="dxa"/>
            </w:tcMar>
          </w:tcPr>
          <w:p>
            <w:pPr>
              <w:spacing w:after="0" w:line="264" w:lineRule="auto"/>
              <w:ind w:firstLine="0"/>
              <w:jc w:val="left"/>
            </w:pPr>
            <w:r>
              <w:rPr>
                <w:b w:val="0"/>
                <w:sz w:val="19"/>
              </w:rPr>
              <w:t>候选</w:t>
            </w:r>
          </w:p>
        </w:tc>
        <w:tc>
          <w:tcPr>
            <w:tcW w:type="dxa" w:w="3666"/>
            <w:vAlign w:val="center"/>
            <w:tcMar>
              <w:top w:w="50" w:type="dxa"/>
              <w:bottom w:w="50" w:type="dxa"/>
              <w:left w:w="80" w:type="dxa"/>
              <w:right w:w="80" w:type="dxa"/>
            </w:tcMar>
          </w:tcPr>
          <w:p>
            <w:pPr>
              <w:spacing w:after="0" w:line="264" w:lineRule="auto"/>
              <w:ind w:firstLine="0"/>
              <w:jc w:val="left"/>
            </w:pPr>
            <w:r>
              <w:rPr>
                <w:b w:val="0"/>
                <w:sz w:val="19"/>
              </w:rPr>
              <w:t>有限组件集合及完整关系候选集合</w:t>
            </w:r>
          </w:p>
        </w:tc>
        <w:tc>
          <w:tcPr>
            <w:tcW w:type="dxa" w:w="4124"/>
            <w:vAlign w:val="center"/>
            <w:tcMar>
              <w:top w:w="50" w:type="dxa"/>
              <w:bottom w:w="50" w:type="dxa"/>
              <w:left w:w="80" w:type="dxa"/>
              <w:right w:w="80" w:type="dxa"/>
            </w:tcMar>
          </w:tcPr>
          <w:p>
            <w:pPr>
              <w:spacing w:after="0" w:line="264" w:lineRule="auto"/>
              <w:ind w:firstLine="0"/>
              <w:jc w:val="left"/>
            </w:pPr>
            <w:r>
              <w:rPr>
                <w:b w:val="0"/>
                <w:sz w:val="19"/>
              </w:rPr>
              <w:t>正确对象是否进入可选择范围</w:t>
            </w:r>
          </w:p>
        </w:tc>
      </w:tr>
      <w:tr>
        <w:trPr>
          <w:cantSplit/>
        </w:trPr>
        <w:tc>
          <w:tcPr>
            <w:tcW w:type="dxa" w:w="1757"/>
            <w:vAlign w:val="center"/>
            <w:tcMar>
              <w:top w:w="50" w:type="dxa"/>
              <w:bottom w:w="50" w:type="dxa"/>
              <w:left w:w="80" w:type="dxa"/>
              <w:right w:w="80" w:type="dxa"/>
            </w:tcMar>
          </w:tcPr>
          <w:p>
            <w:pPr>
              <w:spacing w:after="0" w:line="264" w:lineRule="auto"/>
              <w:ind w:firstLine="0"/>
              <w:jc w:val="left"/>
            </w:pPr>
            <w:r>
              <w:rPr>
                <w:b w:val="0"/>
                <w:sz w:val="19"/>
              </w:rPr>
              <w:t>预测</w:t>
            </w:r>
          </w:p>
        </w:tc>
        <w:tc>
          <w:tcPr>
            <w:tcW w:type="dxa" w:w="3666"/>
            <w:vAlign w:val="center"/>
            <w:tcMar>
              <w:top w:w="50" w:type="dxa"/>
              <w:bottom w:w="50" w:type="dxa"/>
              <w:left w:w="80" w:type="dxa"/>
              <w:right w:w="80" w:type="dxa"/>
            </w:tcMar>
          </w:tcPr>
          <w:p>
            <w:pPr>
              <w:spacing w:after="0" w:line="264" w:lineRule="auto"/>
              <w:ind w:firstLine="0"/>
              <w:jc w:val="left"/>
            </w:pPr>
            <w:r>
              <w:rPr>
                <w:b w:val="0"/>
                <w:sz w:val="19"/>
              </w:rPr>
              <w:t>模型或决策过程实际输出的合法结构</w:t>
            </w:r>
          </w:p>
        </w:tc>
        <w:tc>
          <w:tcPr>
            <w:tcW w:type="dxa" w:w="4124"/>
            <w:vAlign w:val="center"/>
            <w:tcMar>
              <w:top w:w="50" w:type="dxa"/>
              <w:bottom w:w="50" w:type="dxa"/>
              <w:left w:w="80" w:type="dxa"/>
              <w:right w:w="80" w:type="dxa"/>
            </w:tcMar>
          </w:tcPr>
          <w:p>
            <w:pPr>
              <w:spacing w:after="0" w:line="264" w:lineRule="auto"/>
              <w:ind w:firstLine="0"/>
              <w:jc w:val="left"/>
            </w:pPr>
            <w:r>
              <w:rPr>
                <w:b w:val="0"/>
                <w:sz w:val="19"/>
              </w:rPr>
              <w:t>系统最终选择了哪些对象</w:t>
            </w:r>
          </w:p>
        </w:tc>
      </w:tr>
      <w:tr>
        <w:trPr>
          <w:cantSplit/>
        </w:trPr>
        <w:tc>
          <w:tcPr>
            <w:tcW w:type="dxa" w:w="1757"/>
            <w:vAlign w:val="center"/>
            <w:tcMar>
              <w:top w:w="50" w:type="dxa"/>
              <w:bottom w:w="50" w:type="dxa"/>
              <w:left w:w="80" w:type="dxa"/>
              <w:right w:w="80" w:type="dxa"/>
            </w:tcMar>
          </w:tcPr>
          <w:p>
            <w:pPr>
              <w:spacing w:after="0" w:line="264" w:lineRule="auto"/>
              <w:ind w:firstLine="0"/>
              <w:jc w:val="left"/>
            </w:pPr>
            <w:r>
              <w:rPr>
                <w:b w:val="0"/>
                <w:sz w:val="19"/>
              </w:rPr>
              <w:t>评分</w:t>
            </w:r>
          </w:p>
        </w:tc>
        <w:tc>
          <w:tcPr>
            <w:tcW w:type="dxa" w:w="3666"/>
            <w:vAlign w:val="center"/>
            <w:tcMar>
              <w:top w:w="50" w:type="dxa"/>
              <w:bottom w:w="50" w:type="dxa"/>
              <w:left w:w="80" w:type="dxa"/>
              <w:right w:w="80" w:type="dxa"/>
            </w:tcMar>
          </w:tcPr>
          <w:p>
            <w:pPr>
              <w:spacing w:after="0" w:line="264" w:lineRule="auto"/>
              <w:ind w:firstLine="0"/>
              <w:jc w:val="left"/>
            </w:pPr>
            <w:r>
              <w:rPr>
                <w:b w:val="0"/>
                <w:sz w:val="19"/>
              </w:rPr>
              <w:t>对候选对象正确性的估计及其决策用途</w:t>
            </w:r>
          </w:p>
        </w:tc>
        <w:tc>
          <w:tcPr>
            <w:tcW w:type="dxa" w:w="4124"/>
            <w:vAlign w:val="center"/>
            <w:tcMar>
              <w:top w:w="50" w:type="dxa"/>
              <w:bottom w:w="50" w:type="dxa"/>
              <w:left w:w="80" w:type="dxa"/>
              <w:right w:w="80" w:type="dxa"/>
            </w:tcMar>
          </w:tcPr>
          <w:p>
            <w:pPr>
              <w:spacing w:after="0" w:line="264" w:lineRule="auto"/>
              <w:ind w:firstLine="0"/>
              <w:jc w:val="left"/>
            </w:pPr>
            <w:r>
              <w:rPr>
                <w:b w:val="0"/>
                <w:sz w:val="19"/>
              </w:rPr>
              <w:t>分数能否支持可靠选择</w:t>
            </w:r>
          </w:p>
        </w:tc>
      </w:tr>
      <w:tr>
        <w:trPr>
          <w:cantSplit/>
        </w:trPr>
        <w:tc>
          <w:tcPr>
            <w:tcW w:type="dxa" w:w="1757"/>
            <w:vAlign w:val="center"/>
            <w:tcMar>
              <w:top w:w="50" w:type="dxa"/>
              <w:bottom w:w="50" w:type="dxa"/>
              <w:left w:w="80" w:type="dxa"/>
              <w:right w:w="80" w:type="dxa"/>
            </w:tcMar>
          </w:tcPr>
          <w:p>
            <w:pPr>
              <w:spacing w:after="0" w:line="264" w:lineRule="auto"/>
              <w:ind w:firstLine="0"/>
              <w:jc w:val="left"/>
            </w:pPr>
            <w:r>
              <w:rPr>
                <w:b w:val="0"/>
                <w:sz w:val="19"/>
              </w:rPr>
              <w:t>指标</w:t>
            </w:r>
          </w:p>
        </w:tc>
        <w:tc>
          <w:tcPr>
            <w:tcW w:type="dxa" w:w="3666"/>
            <w:vAlign w:val="center"/>
            <w:tcMar>
              <w:top w:w="50" w:type="dxa"/>
              <w:bottom w:w="50" w:type="dxa"/>
              <w:left w:w="80" w:type="dxa"/>
              <w:right w:w="80" w:type="dxa"/>
            </w:tcMar>
          </w:tcPr>
          <w:p>
            <w:pPr>
              <w:spacing w:after="0" w:line="264" w:lineRule="auto"/>
              <w:ind w:firstLine="0"/>
              <w:jc w:val="left"/>
            </w:pPr>
            <w:r>
              <w:rPr>
                <w:b w:val="0"/>
                <w:sz w:val="19"/>
              </w:rPr>
              <w:t>与金标匹配后的TP、FP、FN及其汇总</w:t>
            </w:r>
          </w:p>
        </w:tc>
        <w:tc>
          <w:tcPr>
            <w:tcW w:type="dxa" w:w="4124"/>
            <w:vAlign w:val="center"/>
            <w:tcMar>
              <w:top w:w="50" w:type="dxa"/>
              <w:bottom w:w="50" w:type="dxa"/>
              <w:left w:w="80" w:type="dxa"/>
              <w:right w:w="80" w:type="dxa"/>
            </w:tcMar>
          </w:tcPr>
          <w:p>
            <w:pPr>
              <w:spacing w:after="0" w:line="264" w:lineRule="auto"/>
              <w:ind w:firstLine="0"/>
              <w:jc w:val="left"/>
            </w:pPr>
            <w:r>
              <w:rPr>
                <w:b w:val="0"/>
                <w:sz w:val="19"/>
              </w:rPr>
              <w:t>预测在统一任务下有多准确</w:t>
            </w:r>
          </w:p>
        </w:tc>
      </w:tr>
    </w:tbl>
    <w:p>
      <w:pPr/>
      <w:r>
        <w:t xml:space="preserve">合法结构集合记为 </w:t>
      </w:r>
      <m:oMath>
        <m:sSub>
          <m:e>
            <m:box>
              <m:e>
                <m:r>
                  <m:rPr>
                    <m:scr m:val="script"/>
                  </m:rPr>
                  <m:t xml:space="preserve">G</m:t>
                </m:r>
              </m:e>
            </m:box>
          </m:e>
          <m:sub>
            <m:box>
              <m:e>
                <m:r>
                  <m:rPr>
                    <m:scr m:val="script"/>
                  </m:rPr>
                  <m:t xml:space="preserve">A</m:t>
                </m:r>
              </m:e>
            </m:box>
          </m:sub>
        </m:sSub>
      </m:oMath>
      <w:r>
        <w:t xml:space="preserve">，其中 </w:t>
      </w:r>
      <m:oMath>
        <m:box>
          <m:e>
            <m:r>
              <m:rPr>
                <m:scr m:val="script"/>
              </m:rPr>
              <m:t xml:space="preserve">A</m:t>
            </m:r>
          </m:e>
        </m:box>
      </m:oMath>
      <w:r>
        <w:t xml:space="preserve"> 为固定的语料协议。合法性至少要求跨度位于原文、类型和关系标签有效、端点存在；重叠、嵌套及拓扑限制则按具体语料确定。树结构或无环性不作为所有论辩文本的默认条件，不能通过删除不符合预设规则的测试标注来制造合法性。</w:t>
      </w:r>
    </w:p>
    <w:p>
      <w:pPr>
        <w:pStyle w:val="Heading1"/>
      </w:pPr>
      <w:r>
        <w:rPr/>
        <w:t>2.2 预训练语言模型与学习方法</w:t>
      </w:r>
    </w:p>
    <w:p>
      <w:pPr>
        <w:pStyle w:val="Heading2"/>
      </w:pPr>
      <w:r>
        <w:rPr/>
        <w:t>2.2.1 注意力机制与自回归生成</w:t>
      </w:r>
    </w:p>
    <w:p>
      <w:pPr>
        <w:keepNext/>
      </w:pPr>
      <w:r>
        <w:t>Transformer利用注意力机制聚合不同位置的信息，是本文参考骨干的基础[30][31]。注意力将查询与键的相似程度转换为权重，再对值向量进行加权。缩放点积注意力写为</w:t>
      </w:r>
    </w:p>
    <w:p>
      <w:pPr>
        <w:spacing w:line="276" w:lineRule="auto" w:after="140"/>
        <w:ind w:firstLine="0"/>
        <w:jc w:val="center"/>
      </w:pPr>
      <m:oMath>
        <m:r>
          <m:rPr>
            <m:nor/>
          </m:rPr>
          <m:t xml:space="preserve">Attention</m:t>
        </m:r>
        <m:r>
          <m:t xml:space="preserve">(</m:t>
        </m:r>
        <m:r>
          <m:t xml:space="preserve">Q</m:t>
        </m:r>
        <m:r>
          <m:t xml:space="preserve">,</m:t>
        </m:r>
        <m:r>
          <m:t xml:space="preserve">K</m:t>
        </m:r>
        <m:r>
          <m:t xml:space="preserve">,</m:t>
        </m:r>
        <m:r>
          <m:t xml:space="preserve">V</m:t>
        </m:r>
        <m:r>
          <m:t xml:space="preserve">)</m:t>
        </m:r>
        <m:r>
          <m:t xml:space="preserve">=</m:t>
        </m:r>
        <m:r>
          <m:rPr>
            <m:nor/>
          </m:rPr>
          <m:t xml:space="preserve">softmax</m:t>
        </m:r>
        <m:r>
          <m:t xml:space="preserve"/>
        </m:r>
        <m:r>
          <m:t xml:space="preserve">(</m:t>
        </m:r>
        <m:f>
          <m:num>
            <m:r>
              <m:t xml:space="preserve">Q</m:t>
            </m:r>
            <m:sSup>
              <m:e>
                <m:r>
                  <m:t xml:space="preserve">K</m:t>
                </m:r>
              </m:e>
              <m:sup>
                <m:r>
                  <m:rPr>
                    <m:nor/>
                  </m:rPr>
                  <m:t xml:space="preserve">T</m:t>
                </m:r>
              </m:sup>
            </m:sSup>
          </m:num>
          <m:den>
            <m:rad>
              <m:radPr>
                <m:degHide m:val="1"/>
              </m:radPr>
              <m:deg/>
              <m:e>
                <m:sSub>
                  <m:e>
                    <m:r>
                      <m:t xml:space="preserve">d</m:t>
                    </m:r>
                  </m:e>
                  <m:sub>
                    <m:r>
                      <m:t xml:space="preserve">k</m:t>
                    </m:r>
                  </m:sub>
                </m:sSub>
              </m:e>
            </m:rad>
          </m:den>
        </m:f>
        <m:r>
          <m:t xml:space="preserve"/>
        </m:r>
        <m:r>
          <m:t xml:space="preserve">)</m:t>
        </m:r>
        <m:r>
          <m:t xml:space="preserve">V</m:t>
        </m:r>
        <m:r>
          <m:t xml:space="preserve">.</m:t>
        </m:r>
      </m:oMath>
      <w:r>
        <w:rPr>
          <w:sz w:val="18"/>
        </w:rPr>
        <w:t xml:space="preserve">   （2-3）</w:t>
      </w:r>
    </w:p>
    <w:p>
      <w:pPr/>
      <w:r>
        <w:t>其中，</w:t>
      </w:r>
      <m:oMath>
        <m:r>
          <m:t xml:space="preserve">Q</m:t>
        </m:r>
      </m:oMath>
      <w:r>
        <w:t>、</w:t>
      </w:r>
      <m:oMath>
        <m:r>
          <m:t xml:space="preserve">K</m:t>
        </m:r>
      </m:oMath>
      <w:r>
        <w:t>、</w:t>
      </w:r>
      <m:oMath>
        <m:r>
          <m:t xml:space="preserve">V</m:t>
        </m:r>
      </m:oMath>
      <w:r>
        <w:t xml:space="preserve"> 分别为查询、键和值矩阵，</w:t>
      </w:r>
      <m:oMath>
        <m:sSub>
          <m:e>
            <m:r>
              <m:t xml:space="preserve">d</m:t>
            </m:r>
          </m:e>
          <m:sub>
            <m:r>
              <m:t xml:space="preserve">k</m:t>
            </m:r>
          </m:sub>
        </m:sSub>
      </m:oMath>
      <w:r>
        <w:t xml:space="preserve"> 为键向量维度。此处的 </w:t>
      </w:r>
      <m:oMath>
        <m:r>
          <m:t xml:space="preserve">V</m:t>
        </m:r>
      </m:oMath>
      <w:r>
        <w:t xml:space="preserve"> 是注意力计算的局部符号，与第四章的组件候选集合不同。多头注意力在不同表示子空间中计算信息关联；自回归解码还限制当前位置只能使用输入和已经生成的输出，避免读取后续答案。</w:t>
      </w:r>
    </w:p>
    <w:p>
      <w:pPr>
        <w:keepNext/>
      </w:pPr>
      <w:r>
        <w:t xml:space="preserve">对于论辩挖掘，可以将组件位置、类型和关系序列化为输出序列 </w:t>
      </w:r>
      <m:oMath>
        <m:r>
          <m:t xml:space="preserve">Y</m:t>
        </m:r>
        <m:r>
          <m:t xml:space="preserve">=</m:t>
        </m:r>
        <m:r>
          <m:t xml:space="preserve">(</m:t>
        </m:r>
        <m:sSub>
          <m:e>
            <m:r>
              <m:t xml:space="preserve">y</m:t>
            </m:r>
          </m:e>
          <m:sub>
            <m:r>
              <m:t xml:space="preserve">1</m:t>
            </m:r>
          </m:sub>
        </m:sSub>
        <m:r>
          <m:t xml:space="preserve">,</m:t>
        </m:r>
        <m:r>
          <m:t xml:space="preserve">…</m:t>
        </m:r>
        <m:r>
          <m:t xml:space="preserve">,</m:t>
        </m:r>
        <m:sSub>
          <m:e>
            <m:r>
              <m:t xml:space="preserve">y</m:t>
            </m:r>
          </m:e>
          <m:sub>
            <m:r>
              <m:t xml:space="preserve">L</m:t>
            </m:r>
          </m:sub>
        </m:sSub>
        <m:r>
          <m:t xml:space="preserve">)</m:t>
        </m:r>
      </m:oMath>
      <w:r>
        <w:t xml:space="preserve">。给定原文 </w:t>
      </w:r>
      <m:oMath>
        <m:r>
          <m:t xml:space="preserve">x</m:t>
        </m:r>
      </m:oMath>
      <w:r>
        <w:t>，其生成概率及监督目标分别为</w:t>
      </w:r>
    </w:p>
    <w:p>
      <w:pPr>
        <w:spacing w:line="276" w:lineRule="auto" w:after="140"/>
        <w:ind w:firstLine="0"/>
        <w:jc w:val="center"/>
      </w:pPr>
      <m:oMath>
        <m:sSub>
          <m:e>
            <m:r>
              <m:t xml:space="preserve">P</m:t>
            </m:r>
          </m:e>
          <m:sub>
            <m:r>
              <m:t xml:space="preserve">θ</m:t>
            </m:r>
          </m:sub>
        </m:sSub>
        <m:r>
          <m:t xml:space="preserve">(</m:t>
        </m:r>
        <m:r>
          <m:t xml:space="preserve">Y</m:t>
        </m:r>
        <m:r>
          <m:t xml:space="preserve">|</m:t>
        </m:r>
        <m:r>
          <m:t xml:space="preserve">x</m:t>
        </m:r>
        <m:r>
          <m:t xml:space="preserve">)</m:t>
        </m:r>
        <m:r>
          <m:t xml:space="preserve">=</m:t>
        </m:r>
        <m:nary>
          <m:naryPr>
            <m:chr m:val="∏"/>
            <m:limLoc m:val="undOvr"/>
          </m:naryPr>
          <m:sub>
            <m:r>
              <m:t xml:space="preserve">k</m:t>
            </m:r>
            <m:r>
              <m:t xml:space="preserve">=</m:t>
            </m:r>
            <m:r>
              <m:t xml:space="preserve">1</m:t>
            </m:r>
          </m:sub>
          <m:sup>
            <m:r>
              <m:t xml:space="preserve">L</m:t>
            </m:r>
          </m:sup>
          <m:e>
            <m:sSub>
              <m:e>
                <m:r>
                  <m:t xml:space="preserve">P</m:t>
                </m:r>
              </m:e>
              <m:sub>
                <m:r>
                  <m:t xml:space="preserve">θ</m:t>
                </m:r>
              </m:sub>
            </m:sSub>
            <m:r>
              <m:t xml:space="preserve">(</m:t>
            </m:r>
            <m:sSub>
              <m:e>
                <m:r>
                  <m:t xml:space="preserve">y</m:t>
                </m:r>
              </m:e>
              <m:sub>
                <m:r>
                  <m:t xml:space="preserve">k</m:t>
                </m:r>
              </m:sub>
            </m:sSub>
            <m:r>
              <m:t xml:space="preserve">|</m:t>
            </m:r>
            <m:r>
              <m:t xml:space="preserve">x</m:t>
            </m:r>
            <m:r>
              <m:t xml:space="preserve">,</m:t>
            </m:r>
            <m:sSub>
              <m:e>
                <m:r>
                  <m:t xml:space="preserve">y</m:t>
                </m:r>
              </m:e>
              <m:sub>
                <m:r>
                  <m:t xml:space="preserve">&lt;</m:t>
                </m:r>
                <m:r>
                  <m:t xml:space="preserve">k</m:t>
                </m:r>
              </m:sub>
            </m:sSub>
            <m:r>
              <m:t xml:space="preserve">)</m:t>
            </m:r>
            <m:r>
              <m:t xml:space="preserve">,</m:t>
            </m:r>
          </m:e>
        </m:nary>
      </m:oMath>
      <w:r>
        <w:rPr>
          <w:sz w:val="18"/>
        </w:rPr>
        <w:t xml:space="preserve">   （2-4）</w:t>
      </w:r>
    </w:p>
    <w:p>
      <w:pPr>
        <w:spacing w:line="276" w:lineRule="auto" w:after="140"/>
        <w:ind w:firstLine="0"/>
        <w:jc w:val="center"/>
      </w:pPr>
      <m:oMath>
        <m:sSub>
          <m:e>
            <m:box>
              <m:e>
                <m:r>
                  <m:rPr>
                    <m:scr m:val="script"/>
                  </m:rPr>
                  <m:t xml:space="preserve">L</m:t>
                </m:r>
              </m:e>
            </m:box>
          </m:e>
          <m:sub>
            <m:r>
              <m:rPr>
                <m:nor/>
              </m:rPr>
              <m:t xml:space="preserve">gen</m:t>
            </m:r>
          </m:sub>
        </m:sSub>
        <m:r>
          <m:t xml:space="preserve">=</m:t>
        </m:r>
        <m:r>
          <m:t xml:space="preserve">-</m:t>
        </m:r>
        <m:nary>
          <m:naryPr>
            <m:chr m:val="∑"/>
            <m:limLoc m:val="undOvr"/>
          </m:naryPr>
          <m:sub>
            <m:r>
              <m:t xml:space="preserve">k</m:t>
            </m:r>
            <m:r>
              <m:t xml:space="preserve">=</m:t>
            </m:r>
            <m:r>
              <m:t xml:space="preserve">1</m:t>
            </m:r>
          </m:sub>
          <m:sup>
            <m:r>
              <m:t xml:space="preserve">L</m:t>
            </m:r>
          </m:sup>
          <m:e>
            <m:r>
              <m:rPr>
                <m:nor/>
              </m:rPr>
              <m:t xml:space="preserve">log</m:t>
            </m:r>
            <m:sSub>
              <m:e>
                <m:r>
                  <m:t xml:space="preserve">P</m:t>
                </m:r>
              </m:e>
              <m:sub>
                <m:r>
                  <m:t xml:space="preserve">θ</m:t>
                </m:r>
              </m:sub>
            </m:sSub>
            <m:r>
              <m:t xml:space="preserve">(</m:t>
            </m:r>
            <m:sSub>
              <m:e>
                <m:r>
                  <m:t xml:space="preserve">y</m:t>
                </m:r>
              </m:e>
              <m:sub>
                <m:r>
                  <m:t xml:space="preserve">k</m:t>
                </m:r>
              </m:sub>
            </m:sSub>
            <m:r>
              <m:t xml:space="preserve">|</m:t>
            </m:r>
            <m:r>
              <m:t xml:space="preserve">x</m:t>
            </m:r>
            <m:r>
              <m:t xml:space="preserve">,</m:t>
            </m:r>
            <m:sSub>
              <m:e>
                <m:r>
                  <m:t xml:space="preserve">y</m:t>
                </m:r>
              </m:e>
              <m:sub>
                <m:r>
                  <m:t xml:space="preserve">&lt;</m:t>
                </m:r>
                <m:r>
                  <m:t xml:space="preserve">k</m:t>
                </m:r>
              </m:sub>
            </m:sSub>
            <m:r>
              <m:t xml:space="preserve">)</m:t>
            </m:r>
            <m:r>
              <m:t xml:space="preserve">.</m:t>
            </m:r>
          </m:e>
        </m:nary>
      </m:oMath>
      <w:r>
        <w:rPr>
          <w:sz w:val="18"/>
        </w:rPr>
        <w:t xml:space="preserve">   （2-5）</w:t>
      </w:r>
    </w:p>
    <w:p>
      <w:pPr/>
      <w:r>
        <w:t>训练时利用金标前缀计算下一输出符号的损失，测试时则使用模型已经生成的前缀。生成式论辩挖掘将多个子任务组织到同一输出接口中[7]，但输出概率仍受序列长度、字段次序等因素影响。较高的序列概率不能直接替代对完整论辩对象的正确性判断。</w:t>
      </w:r>
    </w:p>
    <w:p>
      <w:pPr>
        <w:pStyle w:val="Heading2"/>
      </w:pPr>
      <w:r>
        <w:rPr/>
        <w:t>2.2.2 参数高效适配与连续提示</w:t>
      </w:r>
    </w:p>
    <w:p>
      <w:pPr>
        <w:keepNext/>
      </w:pPr>
      <w:r>
        <w:t>预训练模型包含大量参数，针对具体任务更新全部权重会增加训练和存储成本。低秩适配LoRA在冻结基础权重的同时学习低秩增量[32]：</w:t>
      </w:r>
    </w:p>
    <w:p>
      <w:pPr>
        <w:spacing w:line="276" w:lineRule="auto" w:after="140"/>
        <w:ind w:firstLine="0"/>
        <w:jc w:val="center"/>
      </w:pPr>
      <m:oMath>
        <m:r>
          <m:t xml:space="preserve">W</m:t>
        </m:r>
        <m:r>
          <m:t xml:space="preserve">=</m:t>
        </m:r>
        <m:sSub>
          <m:e>
            <m:r>
              <m:t xml:space="preserve">W</m:t>
            </m:r>
          </m:e>
          <m:sub>
            <m:r>
              <m:t xml:space="preserve">0</m:t>
            </m:r>
          </m:sub>
        </m:sSub>
        <m:r>
          <m:t xml:space="preserve">+</m:t>
        </m:r>
        <m:f>
          <m:num>
            <m:r>
              <m:t xml:space="preserve">α</m:t>
            </m:r>
          </m:num>
          <m:den>
            <m:r>
              <m:t xml:space="preserve">r</m:t>
            </m:r>
          </m:den>
        </m:f>
        <m:r>
          <m:t xml:space="preserve">B</m:t>
        </m:r>
        <m:r>
          <m:t xml:space="preserve">A</m:t>
        </m:r>
        <m:r>
          <m:t xml:space="preserve">,</m:t>
        </m:r>
        <m:r>
          <m:t xml:space="preserve">    </m:t>
        </m:r>
        <m:r>
          <m:t xml:space="preserve">A</m:t>
        </m:r>
        <m:r>
          <m:t xml:space="preserve">∈</m:t>
        </m:r>
        <m:sSup>
          <m:e>
            <m:box>
              <m:e>
                <m:r>
                  <m:t xml:space="preserve">ℝ</m:t>
                </m:r>
              </m:e>
            </m:box>
          </m:e>
          <m:sup>
            <m:r>
              <m:t xml:space="preserve">r</m:t>
            </m:r>
            <m:r>
              <m:t xml:space="preserve">×</m:t>
            </m:r>
            <m:sSub>
              <m:e>
                <m:r>
                  <m:t xml:space="preserve">d</m:t>
                </m:r>
              </m:e>
              <m:sub>
                <m:r>
                  <m:rPr>
                    <m:nor/>
                  </m:rPr>
                  <m:t xml:space="preserve">in</m:t>
                </m:r>
              </m:sub>
            </m:sSub>
          </m:sup>
        </m:sSup>
        <m:r>
          <m:t xml:space="preserve">,</m:t>
        </m:r>
        <m:r>
          <m:t xml:space="preserve">  </m:t>
        </m:r>
        <m:r>
          <m:t xml:space="preserve">B</m:t>
        </m:r>
        <m:r>
          <m:t xml:space="preserve">∈</m:t>
        </m:r>
        <m:sSup>
          <m:e>
            <m:box>
              <m:e>
                <m:r>
                  <m:t xml:space="preserve">ℝ</m:t>
                </m:r>
              </m:e>
            </m:box>
          </m:e>
          <m:sup>
            <m:sSub>
              <m:e>
                <m:r>
                  <m:t xml:space="preserve">d</m:t>
                </m:r>
              </m:e>
              <m:sub>
                <m:r>
                  <m:rPr>
                    <m:nor/>
                  </m:rPr>
                  <m:t xml:space="preserve">out</m:t>
                </m:r>
              </m:sub>
            </m:sSub>
            <m:r>
              <m:t xml:space="preserve">×</m:t>
            </m:r>
            <m:r>
              <m:t xml:space="preserve">r</m:t>
            </m:r>
          </m:sup>
        </m:sSup>
        <m:r>
          <m:t xml:space="preserve">.</m:t>
        </m:r>
      </m:oMath>
      <w:r>
        <w:rPr>
          <w:sz w:val="18"/>
        </w:rPr>
        <w:t xml:space="preserve">   （2-6）</w:t>
      </w:r>
    </w:p>
    <w:p>
      <w:pPr/>
      <w:r>
        <w:t>其中，</w:t>
      </w:r>
      <m:oMath>
        <m:r>
          <m:t xml:space="preserve">r</m:t>
        </m:r>
      </m:oMath>
      <w:r>
        <w:t xml:space="preserve"> 为低秩维度，</w:t>
      </w:r>
      <m:oMath>
        <m:r>
          <m:t xml:space="preserve">α</m:t>
        </m:r>
      </m:oMath>
      <w:r>
        <w:t xml:space="preserve"> 为缩放系数。训练主要更新增量矩阵，而保留基础权重 </w:t>
      </w:r>
      <m:oMath>
        <m:sSub>
          <m:e>
            <m:r>
              <m:t xml:space="preserve">W</m:t>
            </m:r>
          </m:e>
          <m:sub>
            <m:r>
              <m:t xml:space="preserve">0</m:t>
            </m:r>
          </m:sub>
        </m:sSub>
      </m:oMath>
      <w:r>
        <w:t>。连续提示则通过可学习的提示向量表达任务条件，是另一种参数高效适配方式[33]。二者分别从权重更新和输入条件入手，可为下游任务提供可训练接口。</w:t>
      </w:r>
    </w:p>
    <w:p>
      <w:pPr/>
      <w:r>
        <w:t>本文沿用Qwen2.5-7B-Instruct作为参考骨干，并继承MCR-BR中的结论专项适配、线索提示及相关监督基础[31][34]。这些机制构成后续研究的已有条件；本文的新增内容集中于增强监督的可靠对应和预测修改的依赖处理。具体参数在本章补充配置表中统一列出。</w:t>
      </w:r>
    </w:p>
    <w:p>
      <w:pPr>
        <w:pStyle w:val="Heading2"/>
      </w:pPr>
      <w:r>
        <w:rPr/>
        <w:t>2.2.3 数据增强与因素一致性学习</w:t>
      </w:r>
    </w:p>
    <w:p>
      <w:pPr/>
      <w:r>
        <w:t>数据增强通过改变输入表达扩充可学习样本。语言模型能够生成与原文相关的改写，但生成文本可用并不意味着原有标注能够全部沿用[15][35]。对于论辩挖掘，增强样本包含组件位置、类型和关系等多类监督，局部语义变化可能只影响其中一部分。因而需要把“文本是否通顺”和“某项监督是否保持”分别判断。</w:t>
      </w:r>
    </w:p>
    <w:p>
      <w:pPr>
        <w:keepNext/>
      </w:pPr>
      <w:r>
        <w:t xml:space="preserve">一致性学习用于约束不同视图下可对应预测的分布。以同一因素的两个类别分布 </w:t>
      </w:r>
      <m:oMath>
        <m:r>
          <m:t xml:space="preserve">p</m:t>
        </m:r>
      </m:oMath>
      <w:r>
        <w:t>、</w:t>
      </w:r>
      <m:oMath>
        <m:r>
          <m:t xml:space="preserve">q</m:t>
        </m:r>
      </m:oMath>
      <w:r>
        <w:t xml:space="preserve"> 为例，令 </w:t>
      </w:r>
      <m:oMath>
        <m:r>
          <m:t xml:space="preserve">m</m:t>
        </m:r>
        <m:r>
          <m:t xml:space="preserve">=</m:t>
        </m:r>
        <m:r>
          <m:t xml:space="preserve">(</m:t>
        </m:r>
        <m:r>
          <m:t xml:space="preserve">p</m:t>
        </m:r>
        <m:r>
          <m:t xml:space="preserve">+</m:t>
        </m:r>
        <m:r>
          <m:t xml:space="preserve">q</m:t>
        </m:r>
        <m:r>
          <m:t xml:space="preserve">)</m:t>
        </m:r>
        <m:r>
          <m:t xml:space="preserve">/</m:t>
        </m:r>
        <m:r>
          <m:t xml:space="preserve">2</m:t>
        </m:r>
      </m:oMath>
      <w:r>
        <w:t>，Jensen–Shannon散度定义为</w:t>
      </w:r>
    </w:p>
    <w:p>
      <w:pPr>
        <w:spacing w:line="276" w:lineRule="auto" w:after="140"/>
        <w:ind w:firstLine="0"/>
        <w:jc w:val="center"/>
      </w:pPr>
      <m:oMath>
        <m:r>
          <m:rPr>
            <m:nor/>
          </m:rPr>
          <m:t xml:space="preserve">JS</m:t>
        </m:r>
        <m:r>
          <m:t xml:space="preserve">(</m:t>
        </m:r>
        <m:r>
          <m:t xml:space="preserve">p</m:t>
        </m:r>
        <m:r>
          <m:t xml:space="preserve">,</m:t>
        </m:r>
        <m:r>
          <m:t xml:space="preserve">q</m:t>
        </m:r>
        <m:r>
          <m:t xml:space="preserve">)</m:t>
        </m:r>
        <m:r>
          <m:t xml:space="preserve">=</m:t>
        </m:r>
        <m:f>
          <m:num>
            <m:r>
              <m:t xml:space="preserve">1</m:t>
            </m:r>
          </m:num>
          <m:den>
            <m:r>
              <m:t xml:space="preserve">2</m:t>
            </m:r>
          </m:den>
        </m:f>
        <m:r>
          <m:rPr>
            <m:nor/>
          </m:rPr>
          <m:t xml:space="preserve">KL</m:t>
        </m:r>
        <m:r>
          <m:t xml:space="preserve">(</m:t>
        </m:r>
        <m:r>
          <m:t xml:space="preserve">p</m:t>
        </m:r>
        <m:r>
          <m:t xml:space="preserve">‖</m:t>
        </m:r>
        <m:r>
          <m:t xml:space="preserve">m</m:t>
        </m:r>
        <m:r>
          <m:t xml:space="preserve">)</m:t>
        </m:r>
        <m:r>
          <m:t xml:space="preserve">+</m:t>
        </m:r>
        <m:f>
          <m:num>
            <m:r>
              <m:t xml:space="preserve">1</m:t>
            </m:r>
          </m:num>
          <m:den>
            <m:r>
              <m:t xml:space="preserve">2</m:t>
            </m:r>
          </m:den>
        </m:f>
        <m:r>
          <m:rPr>
            <m:nor/>
          </m:rPr>
          <m:t xml:space="preserve">KL</m:t>
        </m:r>
        <m:r>
          <m:t xml:space="preserve">(</m:t>
        </m:r>
        <m:r>
          <m:t xml:space="preserve">q</m:t>
        </m:r>
        <m:r>
          <m:t xml:space="preserve">‖</m:t>
        </m:r>
        <m:r>
          <m:t xml:space="preserve">m</m:t>
        </m:r>
        <m:r>
          <m:t xml:space="preserve">)</m:t>
        </m:r>
        <m:r>
          <m:t xml:space="preserve">,</m:t>
        </m:r>
        <m:r>
          <m:t xml:space="preserve">    </m:t>
        </m:r>
        <m:r>
          <m:t xml:space="preserve">m</m:t>
        </m:r>
        <m:r>
          <m:t xml:space="preserve">=</m:t>
        </m:r>
        <m:f>
          <m:num>
            <m:r>
              <m:t xml:space="preserve">p</m:t>
            </m:r>
            <m:r>
              <m:t xml:space="preserve">+</m:t>
            </m:r>
            <m:r>
              <m:t xml:space="preserve">q</m:t>
            </m:r>
          </m:num>
          <m:den>
            <m:r>
              <m:t xml:space="preserve">2</m:t>
            </m:r>
          </m:den>
        </m:f>
        <m:r>
          <m:t xml:space="preserve">.</m:t>
        </m:r>
      </m:oMath>
      <w:r>
        <w:rPr>
          <w:sz w:val="18"/>
        </w:rPr>
        <w:t xml:space="preserve">   （2-7）</w:t>
      </w:r>
    </w:p>
    <w:p>
      <w:pPr/>
      <w:r>
        <w:t>其中，KL散度衡量两个分布的差异，式（2-7）对两侧分布对称。将这一量加入学习目标，可以鼓励原文与改写在可靠对应因素上产生接近的判断。未确认的关系标签应从相应监督和一致性项中屏蔽，不能直接改标为NONE。</w:t>
      </w:r>
    </w:p>
    <w:p>
      <w:pPr/>
      <w:r>
        <w:t>分布接近只反映所约束因素的预测一致程度，并不保证两个预测都正确，也不保证生成的完整图更准确。本文因此将原文整图生成监督、因素级辅助监督和成对约束分开处理。第三章再给出影响域、对应映射、审核掩码及归一化目标，并通过固定增强数据的比较分析成对项的作用。</w:t>
      </w:r>
    </w:p>
    <w:p>
      <w:pPr>
        <w:pStyle w:val="Heading1"/>
      </w:pPr>
      <w:r>
        <w:rPr/>
        <w:t>2.3 候选评分与结构化决策</w:t>
      </w:r>
    </w:p>
    <w:p>
      <w:pPr>
        <w:keepNext/>
      </w:pPr>
      <w:r>
        <w:t xml:space="preserve">一次生成可能遗漏组件或产生错误关系，多候选方法通过形成若干备选结构增加可选择范围。设完整图候选集合为 </w:t>
      </w:r>
      <m:oMath>
        <m:box>
          <m:e>
            <m:r>
              <m:rPr>
                <m:scr m:val="script"/>
              </m:rPr>
              <m:t xml:space="preserve">S</m:t>
            </m:r>
          </m:e>
        </m:box>
      </m:oMath>
      <w:r>
        <w:t xml:space="preserve">，重排序函数为 </w:t>
      </w:r>
      <m:oMath>
        <m:sSub>
          <m:e>
            <m:r>
              <m:t xml:space="preserve">E</m:t>
            </m:r>
          </m:e>
          <m:sub>
            <m:r>
              <m:rPr>
                <m:nor/>
              </m:rPr>
              <m:t xml:space="preserve">rank</m:t>
            </m:r>
          </m:sub>
        </m:sSub>
      </m:oMath>
      <w:r>
        <w:t>，则初始图按以下过程确定：</w:t>
      </w:r>
    </w:p>
    <w:p>
      <w:pPr>
        <w:spacing w:line="276" w:lineRule="auto" w:after="140"/>
        <w:ind w:firstLine="0"/>
        <w:jc w:val="center"/>
      </w:pPr>
      <m:oMath>
        <m:sSub>
          <m:e>
            <m:r>
              <m:t xml:space="preserve">G</m:t>
            </m:r>
          </m:e>
          <m:sub>
            <m:r>
              <m:rPr>
                <m:nor/>
              </m:rPr>
              <m:t xml:space="preserve">rank</m:t>
            </m:r>
          </m:sub>
        </m:sSub>
        <m:r>
          <m:t xml:space="preserve">=</m:t>
        </m:r>
        <m:sSub>
          <m:e>
            <m:r>
              <m:rPr>
                <m:nor/>
              </m:rPr>
              <m:t xml:space="preserve">argmax</m:t>
            </m:r>
          </m:e>
          <m:sub>
            <m:r>
              <m:t xml:space="preserve">G</m:t>
            </m:r>
            <m:r>
              <m:t xml:space="preserve">∈</m:t>
            </m:r>
            <m:box>
              <m:e>
                <m:r>
                  <m:rPr>
                    <m:scr m:val="script"/>
                  </m:rPr>
                  <m:t xml:space="preserve">S</m:t>
                </m:r>
              </m:e>
            </m:box>
          </m:sub>
        </m:sSub>
        <m:sSub>
          <m:e>
            <m:r>
              <m:t xml:space="preserve">E</m:t>
            </m:r>
          </m:e>
          <m:sub>
            <m:r>
              <m:rPr>
                <m:nor/>
              </m:rPr>
              <m:t xml:space="preserve">rank</m:t>
            </m:r>
          </m:sub>
        </m:sSub>
        <m:r>
          <m:t xml:space="preserve">(</m:t>
        </m:r>
        <m:r>
          <m:t xml:space="preserve">G</m:t>
        </m:r>
        <m:r>
          <m:t xml:space="preserve">)</m:t>
        </m:r>
        <m:r>
          <m:t xml:space="preserve">,</m:t>
        </m:r>
        <m:r>
          <m:t xml:space="preserve">    </m:t>
        </m:r>
        <m:sSub>
          <m:e>
            <m:r>
              <m:t xml:space="preserve">G</m:t>
            </m:r>
          </m:e>
          <m:sub>
            <m:r>
              <m:t xml:space="preserve">0</m:t>
            </m:r>
          </m:sub>
        </m:sSub>
        <m:r>
          <m:t xml:space="preserve">=</m:t>
        </m:r>
        <m:sSub>
          <m:e>
            <m:box>
              <m:e>
                <m:r>
                  <m:rPr>
                    <m:scr m:val="script"/>
                  </m:rPr>
                  <m:t xml:space="preserve">L</m:t>
                </m:r>
              </m:e>
            </m:box>
          </m:e>
          <m:sub>
            <m:box>
              <m:e>
                <m:r>
                  <m:rPr>
                    <m:scr m:val="script"/>
                  </m:rPr>
                  <m:t xml:space="preserve">A</m:t>
                </m:r>
              </m:e>
            </m:box>
          </m:sub>
        </m:sSub>
        <m:r>
          <m:t xml:space="preserve">(</m:t>
        </m:r>
        <m:sSub>
          <m:e>
            <m:r>
              <m:t xml:space="preserve">G</m:t>
            </m:r>
          </m:e>
          <m:sub>
            <m:r>
              <m:rPr>
                <m:nor/>
              </m:rPr>
              <m:t xml:space="preserve">rank</m:t>
            </m:r>
          </m:sub>
        </m:sSub>
        <m:r>
          <m:t xml:space="preserve">)</m:t>
        </m:r>
        <m:r>
          <m:t xml:space="preserve">.</m:t>
        </m:r>
      </m:oMath>
      <w:r>
        <w:rPr>
          <w:sz w:val="18"/>
        </w:rPr>
        <w:t xml:space="preserve">   （2-8）</w:t>
      </w:r>
    </w:p>
    <w:p>
      <w:pPr/>
      <w:r>
        <w:t>这里，</w:t>
      </w:r>
      <m:oMath>
        <m:sSub>
          <m:e>
            <m:box>
              <m:e>
                <m:r>
                  <m:rPr>
                    <m:scr m:val="script"/>
                  </m:rPr>
                  <m:t xml:space="preserve">L</m:t>
                </m:r>
              </m:e>
            </m:box>
          </m:e>
          <m:sub>
            <m:box>
              <m:e>
                <m:r>
                  <m:rPr>
                    <m:scr m:val="script"/>
                  </m:rPr>
                  <m:t xml:space="preserve">A</m:t>
                </m:r>
              </m:e>
            </m:box>
          </m:sub>
        </m:sSub>
      </m:oMath>
      <w:r>
        <w:t xml:space="preserve"> 是各方法共用的确定性合法化过程，其变更需要记录。原始重排序胜者与合法初始图可能不同；无法形成合法状态时，系统返回失败。合法化只处理已声明的表示或结构规则，不能借助测试金标选择修改。</w:t>
      </w:r>
    </w:p>
    <w:p>
      <w:pPr/>
      <w:r>
        <w:t xml:space="preserve">第四章在初始选择后固定跨度集合 </w:t>
      </w:r>
      <m:oMath>
        <m:r>
          <m:t xml:space="preserve">U</m:t>
        </m:r>
      </m:oMath>
      <w:r>
        <w:t xml:space="preserve">、带类型组件集合 </w:t>
      </w:r>
      <m:oMath>
        <m:r>
          <m:t xml:space="preserve">V</m:t>
        </m:r>
      </m:oMath>
      <w:r>
        <w:t xml:space="preserve"> 和关系候选集合 </w:t>
      </w:r>
      <m:oMath>
        <m:r>
          <m:t xml:space="preserve">P</m:t>
        </m:r>
      </m:oMath>
      <w:r>
        <w:t>，合称候选宇宙。这些有限集合共同规定修正器能够到达的范围，“完整影响域”也相对于这一范围定义。候选覆盖、评分质量和预算内搜索是三个不同环节：正确对象未进入候选时，后续求解无法将其恢复；已经进入候选，也可能因评分或搜索限制未被选择。离线Oracle分析可利用金标考察候选上界，但不能进入测试决策。</w:t>
      </w:r>
    </w:p>
    <w:p>
      <w:pPr/>
      <w:r>
        <w:t>对象评分需要与最终评价单位一致。给定金标跨度时的组件类别概率，回答的是已知片段属于哪一类；对模型预测组件的完整正确性评分，则还需要判断其字符边界是否准确。关系评分同样需要考虑全部端点、类型、方向和标签。因此，训练辅助头的输出不能直接替代推理阶段的完整对象分数。</w:t>
      </w:r>
    </w:p>
    <w:p>
      <w:pPr/>
      <w:r>
        <w:t>概率校准检查模型置信度与经验正确率是否对应[45]。例如，在样本条件相同的情况下，一组评分接近0.8的对象是否约有80%正确，是校准关注的问题。概率质量、结构合法性和最终F1分别回答不同问题：合法图可以含有错误关系，校准较好的概率也不保证任何搜索策略都能提高F1。F1相关决策还取决于对象集合与评价条件[41][42]。</w:t>
      </w:r>
    </w:p>
    <w:p>
      <w:pPr/>
      <w:r>
        <w:t>本文使用交叉拟合产生的预测候选训练推理评分器，并将拟合、校准和策略选择的数据用途分开。由于修正过程会优先选择高分提案，还需要分别检查固定候选上的评分质量和实际接受轨迹上的误改，不能仅凭总体校准指标判断修正是否可靠。</w:t>
      </w:r>
    </w:p>
    <w:p>
      <w:pPr/>
      <w:r>
        <w:t>结构化决策在有限候选中选择满足约束的对象组合。全局优化与局部搜索可以使用不同的求解方式，但公平比较需要说明候选范围、评分、可行域和预算是否一致。更大的候选空间可能提高覆盖，也可能增加评分及求解开销；搜索得到更高的内部效用，也不必然意味着严格抽取F1提高。</w:t>
      </w:r>
    </w:p>
    <w:p>
      <w:pPr/>
      <w:r>
        <w:t>本文的AAEC候选协议枚举同文档不同组件的有向对并禁止自环，不额外以跨段或组件类型配对作硬过滤。CDCP候选源取所选组件按原文位置排序后的连续非空区间，目标不能属于源集合。NONE表示已定义槽位中没有相应关系的候选状态，不作为输出的论辩关系。该状态与第三章“未经确认的标签”有不同含义。</w:t>
      </w:r>
    </w:p>
    <w:p>
      <w:pPr/>
      <w:r>
        <w:t>主配置对同一端点槽位采用单一关系状态；若数据审计发现并存标签，则采用显式合法标签组合，保留全部标注。重叠、嵌套及其他语料限制经审计后固定为协议清单，发现不一致时修订并重新冻结。可选无环约束的启用状态也须明确记录。</w:t>
      </w:r>
    </w:p>
    <w:p>
      <w:pPr/>
      <w:r>
        <w:t>第四章将在这些基础上定义组件修改后的依赖处理、接受条件、编辑预算和超时返回。本章仅确立候选与决策的共用概念。具体集合动作或局部求解是否产生额外收益，需要相应控制比较，不能由其可表达的修改类型直接推出。</w:t>
      </w:r>
    </w:p>
    <w:p>
      <w:pPr>
        <w:pStyle w:val="Heading1"/>
      </w:pPr>
      <w:r>
        <w:rPr/>
        <w:t>2.4 评价指标与计数原则</w:t>
      </w:r>
    </w:p>
    <w:p>
      <w:pPr>
        <w:keepNext/>
      </w:pPr>
      <w:r>
        <w:t>评价分别对组件和完整关系计算真正例TP、假正例FP与假负例FN。精确率、召回率和F1定义为</w:t>
      </w:r>
    </w:p>
    <w:p>
      <w:pPr>
        <w:spacing w:line="276" w:lineRule="auto" w:after="140"/>
        <w:ind w:firstLine="0"/>
        <w:jc w:val="center"/>
      </w:pPr>
      <m:oMath>
        <m:r>
          <m:rPr>
            <m:nor/>
          </m:rPr>
          <m:t xml:space="preserve">Precision</m:t>
        </m:r>
        <m:r>
          <m:t xml:space="preserve">=</m:t>
        </m:r>
        <m:f>
          <m:num>
            <m:r>
              <m:t xml:space="preserve">T</m:t>
            </m:r>
            <m:r>
              <m:t xml:space="preserve">P</m:t>
            </m:r>
          </m:num>
          <m:den>
            <m:r>
              <m:t xml:space="preserve">T</m:t>
            </m:r>
            <m:r>
              <m:t xml:space="preserve">P</m:t>
            </m:r>
            <m:r>
              <m:t xml:space="preserve">+</m:t>
            </m:r>
            <m:r>
              <m:t xml:space="preserve">F</m:t>
            </m:r>
            <m:r>
              <m:t xml:space="preserve">P</m:t>
            </m:r>
          </m:den>
        </m:f>
        <m:r>
          <m:t xml:space="preserve">,</m:t>
        </m:r>
        <m:r>
          <m:t xml:space="preserve">  </m:t>
        </m:r>
        <m:r>
          <m:rPr>
            <m:nor/>
          </m:rPr>
          <m:t xml:space="preserve">Recall</m:t>
        </m:r>
        <m:r>
          <m:t xml:space="preserve">=</m:t>
        </m:r>
        <m:f>
          <m:num>
            <m:r>
              <m:t xml:space="preserve">T</m:t>
            </m:r>
            <m:r>
              <m:t xml:space="preserve">P</m:t>
            </m:r>
          </m:num>
          <m:den>
            <m:r>
              <m:t xml:space="preserve">T</m:t>
            </m:r>
            <m:r>
              <m:t xml:space="preserve">P</m:t>
            </m:r>
            <m:r>
              <m:t xml:space="preserve">+</m:t>
            </m:r>
            <m:r>
              <m:t xml:space="preserve">F</m:t>
            </m:r>
            <m:r>
              <m:t xml:space="preserve">N</m:t>
            </m:r>
          </m:den>
        </m:f>
        <m:r>
          <m:t xml:space="preserve">,</m:t>
        </m:r>
        <m:r>
          <m:t xml:space="preserve">  </m:t>
        </m:r>
        <m:sSub>
          <m:e>
            <m:r>
              <m:t xml:space="preserve">F</m:t>
            </m:r>
          </m:e>
          <m:sub>
            <m:r>
              <m:t xml:space="preserve">1</m:t>
            </m:r>
          </m:sub>
        </m:sSub>
        <m:r>
          <m:t xml:space="preserve">=</m:t>
        </m:r>
        <m:f>
          <m:num>
            <m:r>
              <m:t xml:space="preserve">2</m:t>
            </m:r>
            <m:r>
              <m:t xml:space="preserve">T</m:t>
            </m:r>
            <m:r>
              <m:t xml:space="preserve">P</m:t>
            </m:r>
          </m:num>
          <m:den>
            <m:r>
              <m:t xml:space="preserve">2</m:t>
            </m:r>
            <m:r>
              <m:t xml:space="preserve">T</m:t>
            </m:r>
            <m:r>
              <m:t xml:space="preserve">P</m:t>
            </m:r>
            <m:r>
              <m:t xml:space="preserve">+</m:t>
            </m:r>
            <m:r>
              <m:t xml:space="preserve">F</m:t>
            </m:r>
            <m:r>
              <m:t xml:space="preserve">P</m:t>
            </m:r>
            <m:r>
              <m:t xml:space="preserve">+</m:t>
            </m:r>
            <m:r>
              <m:t xml:space="preserve">F</m:t>
            </m:r>
            <m:r>
              <m:t xml:space="preserve">N</m:t>
            </m:r>
          </m:den>
        </m:f>
        <m:r>
          <m:t xml:space="preserve">.</m:t>
        </m:r>
      </m:oMath>
      <w:r>
        <w:rPr>
          <w:sz w:val="18"/>
        </w:rPr>
        <w:t xml:space="preserve">   （2-9）</w:t>
      </w:r>
    </w:p>
    <w:p>
      <w:pPr/>
      <w:r>
        <w:t>组件匹配要求同一文档中的字符区间和原生类型完全一致。关系匹配进一步要求完整源集合、目标、方向和标签一致。CDCP以完整多前提关系计数，不以展开后的二元边替代。边界F1、给定金标组件的关系分类等指标可以辅助定位误差，但不能替代端到端严格关系F1。</w:t>
      </w:r>
    </w:p>
    <w:p>
      <w:pPr/>
      <w:r>
        <w:t>micro-F1先汇总对象计数，再代入式（2-9）；它与逐文档F1或各类别F1的平均值不同。本文分数采用百分制，方法间差值用百分点表示。域内细粒度Relation-F1与历史跨域无标签Link-F1分别命名，避免将不同评价对象的数值直接求差。</w:t>
      </w:r>
    </w:p>
    <w:p>
      <w:pPr/>
      <w:r>
        <w:t>每个预测对象最多匹配一次金标，多余重复项计入FP。若统一预处理已经去重，应同时报告原始重复率，并对所有方法使用相同规则。解析失败、超长失败或图验证失败的文档保留在评价集合中，按空预测处理，其金标对象计入FN，失败率另行报告。文档标识缺失或重复属于记录错误，不能作为可忽略样本跳过；分母为零时按预先规定记为0，并保留整数计数。</w:t>
      </w:r>
    </w:p>
    <w:p>
      <w:pPr/>
      <w:r>
        <w:t>所有结果通过语料、文档标识、训练种子和方法标识关联。跨章重复使用同一配置时，应引用同一份逐文档记录，避免训练主表、推理主表和两阶段四格分别生成不一致的计数。最终图的净变化与修正过程中逐次接受或拒绝的记录分别保存，前者不能代替后者解释过程风险。</w:t>
      </w:r>
    </w:p>
    <w:p>
      <w:pPr/>
      <w:r>
        <w:t>继承配置T0/I0在共同协议下重新评价，其增量作为后续主要比较的基准。原MCR-BR协议的复现核查用于检查继承实现，与本章原生严格评价分开报告，数值保留在补充表S2-1。CPU-BIO-SGD案例只承担诊断说明，不作为T0或外部系统结果。</w:t>
      </w:r>
    </w:p>
    <w:p>
      <w:pPr>
        <w:pStyle w:val="Heading1"/>
      </w:pPr>
      <w:r>
        <w:rPr/>
        <w:t>2.5 公共实验条件与统计分析</w:t>
      </w:r>
    </w:p>
    <w:p>
      <w:pPr/>
      <w:r>
        <w:t>AAEC采用发布的train-test-split.csv，CDCP采用原始数据包的train/test目录。重复文档仅在训练侧按全文哈希处理，测试文档全部保留。数据规模沿用本稿固定快照，如表2-4所示。</w:t>
      </w:r>
    </w:p>
    <w:p>
      <w:pPr>
        <w:keepNext/>
        <w:spacing w:before="80" w:after="100"/>
        <w:ind w:firstLine="0"/>
      </w:pPr>
      <w:r>
        <w:rPr>
          <w:b/>
          <w:sz w:val="19"/>
        </w:rPr>
        <w:t>表2-4 数据规模与官方划分</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81"/>
        <w:gridCol w:w="1067"/>
        <w:gridCol w:w="1220"/>
        <w:gridCol w:w="1220"/>
        <w:gridCol w:w="1201"/>
        <w:gridCol w:w="1353"/>
        <w:gridCol w:w="1220"/>
        <w:gridCol w:w="1086"/>
      </w:tblGrid>
      <w:tr>
        <w:trPr>
          <w:cantSplit/>
          <w:tblHeader/>
        </w:trPr>
        <w:tc>
          <w:tcPr>
            <w:tcW w:type="dxa" w:w="1181"/>
            <w:vAlign w:val="center"/>
            <w:tcMar>
              <w:top w:w="50" w:type="dxa"/>
              <w:bottom w:w="50" w:type="dxa"/>
              <w:left w:w="80" w:type="dxa"/>
              <w:right w:w="80" w:type="dxa"/>
            </w:tcMar>
            <w:shd w:fill="E7E6E6"/>
          </w:tcPr>
          <w:p>
            <w:pPr>
              <w:spacing w:after="0" w:line="264" w:lineRule="auto"/>
              <w:ind w:firstLine="0"/>
              <w:jc w:val="center"/>
            </w:pPr>
            <w:r>
              <w:rPr>
                <w:b/>
                <w:sz w:val="18"/>
              </w:rPr>
              <w:t>语料</w:t>
            </w:r>
          </w:p>
        </w:tc>
        <w:tc>
          <w:tcPr>
            <w:tcW w:type="dxa" w:w="1067"/>
            <w:vAlign w:val="center"/>
            <w:tcMar>
              <w:top w:w="50" w:type="dxa"/>
              <w:bottom w:w="50" w:type="dxa"/>
              <w:left w:w="80" w:type="dxa"/>
              <w:right w:w="80" w:type="dxa"/>
            </w:tcMar>
            <w:shd w:fill="E7E6E6"/>
          </w:tcPr>
          <w:p>
            <w:pPr>
              <w:spacing w:after="0" w:line="264" w:lineRule="auto"/>
              <w:ind w:firstLine="0"/>
              <w:jc w:val="center"/>
            </w:pPr>
            <w:r>
              <w:rPr>
                <w:b/>
                <w:sz w:val="18"/>
              </w:rPr>
              <w:t>划分</w:t>
            </w:r>
          </w:p>
        </w:tc>
        <w:tc>
          <w:tcPr>
            <w:tcW w:type="dxa" w:w="1220"/>
            <w:vAlign w:val="center"/>
            <w:tcMar>
              <w:top w:w="50" w:type="dxa"/>
              <w:bottom w:w="50" w:type="dxa"/>
              <w:left w:w="80" w:type="dxa"/>
              <w:right w:w="80" w:type="dxa"/>
            </w:tcMar>
            <w:shd w:fill="E7E6E6"/>
          </w:tcPr>
          <w:p>
            <w:pPr>
              <w:spacing w:after="0" w:line="264" w:lineRule="auto"/>
              <w:ind w:firstLine="0"/>
              <w:jc w:val="center"/>
            </w:pPr>
            <w:r>
              <w:rPr>
                <w:b/>
                <w:sz w:val="18"/>
              </w:rPr>
              <w:t>原始文档</w:t>
            </w:r>
          </w:p>
        </w:tc>
        <w:tc>
          <w:tcPr>
            <w:tcW w:type="dxa" w:w="1220"/>
            <w:vAlign w:val="center"/>
            <w:tcMar>
              <w:top w:w="50" w:type="dxa"/>
              <w:bottom w:w="50" w:type="dxa"/>
              <w:left w:w="80" w:type="dxa"/>
              <w:right w:w="80" w:type="dxa"/>
            </w:tcMar>
            <w:shd w:fill="E7E6E6"/>
          </w:tcPr>
          <w:p>
            <w:pPr>
              <w:spacing w:after="0" w:line="264" w:lineRule="auto"/>
              <w:ind w:firstLine="0"/>
              <w:jc w:val="center"/>
            </w:pPr>
            <w:r>
              <w:rPr>
                <w:b/>
                <w:sz w:val="18"/>
              </w:rPr>
              <w:t>保留文档</w:t>
            </w:r>
          </w:p>
        </w:tc>
        <w:tc>
          <w:tcPr>
            <w:tcW w:type="dxa" w:w="1201"/>
            <w:vAlign w:val="center"/>
            <w:tcMar>
              <w:top w:w="50" w:type="dxa"/>
              <w:bottom w:w="50" w:type="dxa"/>
              <w:left w:w="80" w:type="dxa"/>
              <w:right w:w="80" w:type="dxa"/>
            </w:tcMar>
            <w:shd w:fill="E7E6E6"/>
          </w:tcPr>
          <w:p>
            <w:pPr>
              <w:spacing w:after="0" w:line="264" w:lineRule="auto"/>
              <w:ind w:firstLine="0"/>
              <w:jc w:val="center"/>
            </w:pPr>
            <w:r>
              <w:rPr>
                <w:b/>
                <w:sz w:val="18"/>
              </w:rPr>
              <w:t>组件</w:t>
            </w:r>
          </w:p>
        </w:tc>
        <w:tc>
          <w:tcPr>
            <w:tcW w:type="dxa" w:w="1353"/>
            <w:vAlign w:val="center"/>
            <w:tcMar>
              <w:top w:w="50" w:type="dxa"/>
              <w:bottom w:w="50" w:type="dxa"/>
              <w:left w:w="80" w:type="dxa"/>
              <w:right w:w="80" w:type="dxa"/>
            </w:tcMar>
            <w:shd w:fill="E7E6E6"/>
          </w:tcPr>
          <w:p>
            <w:pPr>
              <w:spacing w:after="0" w:line="264" w:lineRule="auto"/>
              <w:ind w:firstLine="0"/>
              <w:jc w:val="center"/>
            </w:pPr>
            <w:r>
              <w:rPr>
                <w:b/>
                <w:sz w:val="18"/>
              </w:rPr>
              <w:t>完整关系</w:t>
            </w:r>
          </w:p>
        </w:tc>
        <w:tc>
          <w:tcPr>
            <w:tcW w:type="dxa" w:w="1220"/>
            <w:vAlign w:val="center"/>
            <w:tcMar>
              <w:top w:w="50" w:type="dxa"/>
              <w:bottom w:w="50" w:type="dxa"/>
              <w:left w:w="80" w:type="dxa"/>
              <w:right w:w="80" w:type="dxa"/>
            </w:tcMar>
            <w:shd w:fill="E7E6E6"/>
          </w:tcPr>
          <w:p>
            <w:pPr>
              <w:spacing w:after="0" w:line="264" w:lineRule="auto"/>
              <w:ind w:firstLine="0"/>
              <w:jc w:val="center"/>
            </w:pPr>
            <w:r>
              <w:rPr>
                <w:b/>
                <w:sz w:val="18"/>
              </w:rPr>
              <w:t>多源关系</w:t>
            </w:r>
          </w:p>
        </w:tc>
        <w:tc>
          <w:tcPr>
            <w:tcW w:type="dxa" w:w="1086"/>
            <w:vAlign w:val="center"/>
            <w:tcMar>
              <w:top w:w="50" w:type="dxa"/>
              <w:bottom w:w="50" w:type="dxa"/>
              <w:left w:w="80" w:type="dxa"/>
              <w:right w:w="80" w:type="dxa"/>
            </w:tcMar>
            <w:shd w:fill="E7E6E6"/>
          </w:tcPr>
          <w:p>
            <w:pPr>
              <w:spacing w:after="0" w:line="264" w:lineRule="auto"/>
              <w:ind w:firstLine="0"/>
              <w:jc w:val="center"/>
            </w:pPr>
            <w:r>
              <w:rPr>
                <w:b/>
                <w:sz w:val="18"/>
              </w:rPr>
              <w:t>最大源数</w:t>
            </w:r>
          </w:p>
        </w:tc>
      </w:tr>
      <w:tr>
        <w:trPr>
          <w:cantSplit/>
        </w:trPr>
        <w:tc>
          <w:tcPr>
            <w:tcW w:type="dxa" w:w="1181"/>
            <w:vAlign w:val="center"/>
            <w:tcMar>
              <w:top w:w="50" w:type="dxa"/>
              <w:bottom w:w="50" w:type="dxa"/>
              <w:left w:w="80" w:type="dxa"/>
              <w:right w:w="80" w:type="dxa"/>
            </w:tcMar>
          </w:tcPr>
          <w:p>
            <w:pPr>
              <w:spacing w:after="0" w:line="264" w:lineRule="auto"/>
              <w:ind w:firstLine="0"/>
              <w:jc w:val="center"/>
            </w:pPr>
            <w:r>
              <w:rPr>
                <w:b w:val="0"/>
                <w:sz w:val="18"/>
              </w:rPr>
              <w:t>AAEC</w:t>
            </w:r>
          </w:p>
        </w:tc>
        <w:tc>
          <w:tcPr>
            <w:tcW w:type="dxa" w:w="1067"/>
            <w:vAlign w:val="center"/>
            <w:tcMar>
              <w:top w:w="50" w:type="dxa"/>
              <w:bottom w:w="50" w:type="dxa"/>
              <w:left w:w="80" w:type="dxa"/>
              <w:right w:w="80" w:type="dxa"/>
            </w:tcMar>
          </w:tcPr>
          <w:p>
            <w:pPr>
              <w:spacing w:after="0" w:line="264" w:lineRule="auto"/>
              <w:ind w:firstLine="0"/>
              <w:jc w:val="center"/>
            </w:pPr>
            <w:r>
              <w:rPr>
                <w:b w:val="0"/>
                <w:sz w:val="18"/>
              </w:rPr>
              <w:t>train</w:t>
            </w:r>
          </w:p>
        </w:tc>
        <w:tc>
          <w:tcPr>
            <w:tcW w:type="dxa" w:w="1220"/>
            <w:vAlign w:val="center"/>
            <w:tcMar>
              <w:top w:w="50" w:type="dxa"/>
              <w:bottom w:w="50" w:type="dxa"/>
              <w:left w:w="80" w:type="dxa"/>
              <w:right w:w="80" w:type="dxa"/>
            </w:tcMar>
          </w:tcPr>
          <w:p>
            <w:pPr>
              <w:spacing w:after="0" w:line="264" w:lineRule="auto"/>
              <w:ind w:firstLine="0"/>
              <w:jc w:val="center"/>
            </w:pPr>
            <w:r>
              <w:rPr>
                <w:b w:val="0"/>
                <w:sz w:val="18"/>
              </w:rPr>
              <w:t>322</w:t>
            </w:r>
          </w:p>
        </w:tc>
        <w:tc>
          <w:tcPr>
            <w:tcW w:type="dxa" w:w="1220"/>
            <w:vAlign w:val="center"/>
            <w:tcMar>
              <w:top w:w="50" w:type="dxa"/>
              <w:bottom w:w="50" w:type="dxa"/>
              <w:left w:w="80" w:type="dxa"/>
              <w:right w:w="80" w:type="dxa"/>
            </w:tcMar>
          </w:tcPr>
          <w:p>
            <w:pPr>
              <w:spacing w:after="0" w:line="264" w:lineRule="auto"/>
              <w:ind w:firstLine="0"/>
              <w:jc w:val="center"/>
            </w:pPr>
            <w:r>
              <w:rPr>
                <w:b w:val="0"/>
                <w:sz w:val="18"/>
              </w:rPr>
              <w:t>319</w:t>
            </w:r>
          </w:p>
        </w:tc>
        <w:tc>
          <w:tcPr>
            <w:tcW w:type="dxa" w:w="1201"/>
            <w:vAlign w:val="center"/>
            <w:tcMar>
              <w:top w:w="50" w:type="dxa"/>
              <w:bottom w:w="50" w:type="dxa"/>
              <w:left w:w="80" w:type="dxa"/>
              <w:right w:w="80" w:type="dxa"/>
            </w:tcMar>
          </w:tcPr>
          <w:p>
            <w:pPr>
              <w:spacing w:after="0" w:line="264" w:lineRule="auto"/>
              <w:ind w:firstLine="0"/>
              <w:jc w:val="center"/>
            </w:pPr>
            <w:r>
              <w:rPr>
                <w:b w:val="0"/>
                <w:sz w:val="18"/>
              </w:rPr>
              <w:t>4793</w:t>
            </w:r>
          </w:p>
        </w:tc>
        <w:tc>
          <w:tcPr>
            <w:tcW w:type="dxa" w:w="1353"/>
            <w:vAlign w:val="center"/>
            <w:tcMar>
              <w:top w:w="50" w:type="dxa"/>
              <w:bottom w:w="50" w:type="dxa"/>
              <w:left w:w="80" w:type="dxa"/>
              <w:right w:w="80" w:type="dxa"/>
            </w:tcMar>
          </w:tcPr>
          <w:p>
            <w:pPr>
              <w:spacing w:after="0" w:line="264" w:lineRule="auto"/>
              <w:ind w:firstLine="0"/>
              <w:jc w:val="center"/>
            </w:pPr>
            <w:r>
              <w:rPr>
                <w:b w:val="0"/>
                <w:sz w:val="18"/>
              </w:rPr>
              <w:t>3006</w:t>
            </w:r>
          </w:p>
        </w:tc>
        <w:tc>
          <w:tcPr>
            <w:tcW w:type="dxa" w:w="1220"/>
            <w:vAlign w:val="center"/>
            <w:tcMar>
              <w:top w:w="50" w:type="dxa"/>
              <w:bottom w:w="50" w:type="dxa"/>
              <w:left w:w="80" w:type="dxa"/>
              <w:right w:w="80" w:type="dxa"/>
            </w:tcMar>
          </w:tcPr>
          <w:p>
            <w:pPr>
              <w:spacing w:after="0" w:line="264" w:lineRule="auto"/>
              <w:ind w:firstLine="0"/>
              <w:jc w:val="center"/>
            </w:pPr>
            <w:r>
              <w:rPr>
                <w:b w:val="0"/>
                <w:sz w:val="18"/>
              </w:rPr>
              <w:t>0</w:t>
            </w:r>
          </w:p>
        </w:tc>
        <w:tc>
          <w:tcPr>
            <w:tcW w:type="dxa" w:w="1086"/>
            <w:vAlign w:val="center"/>
            <w:tcMar>
              <w:top w:w="50" w:type="dxa"/>
              <w:bottom w:w="50" w:type="dxa"/>
              <w:left w:w="80" w:type="dxa"/>
              <w:right w:w="80" w:type="dxa"/>
            </w:tcMar>
          </w:tcPr>
          <w:p>
            <w:pPr>
              <w:spacing w:after="0" w:line="264" w:lineRule="auto"/>
              <w:ind w:firstLine="0"/>
              <w:jc w:val="center"/>
            </w:pPr>
            <w:r>
              <w:rPr>
                <w:b w:val="0"/>
                <w:sz w:val="18"/>
              </w:rPr>
              <w:t>1</w:t>
            </w:r>
          </w:p>
        </w:tc>
      </w:tr>
      <w:tr>
        <w:trPr>
          <w:cantSplit/>
        </w:trPr>
        <w:tc>
          <w:tcPr>
            <w:tcW w:type="dxa" w:w="1181"/>
            <w:vAlign w:val="center"/>
            <w:tcMar>
              <w:top w:w="50" w:type="dxa"/>
              <w:bottom w:w="50" w:type="dxa"/>
              <w:left w:w="80" w:type="dxa"/>
              <w:right w:w="80" w:type="dxa"/>
            </w:tcMar>
          </w:tcPr>
          <w:p>
            <w:pPr>
              <w:spacing w:after="0" w:line="264" w:lineRule="auto"/>
              <w:ind w:firstLine="0"/>
              <w:jc w:val="center"/>
            </w:pPr>
            <w:r>
              <w:rPr>
                <w:b w:val="0"/>
                <w:sz w:val="18"/>
              </w:rPr>
              <w:t>AAEC</w:t>
            </w:r>
          </w:p>
        </w:tc>
        <w:tc>
          <w:tcPr>
            <w:tcW w:type="dxa" w:w="1067"/>
            <w:vAlign w:val="center"/>
            <w:tcMar>
              <w:top w:w="50" w:type="dxa"/>
              <w:bottom w:w="50" w:type="dxa"/>
              <w:left w:w="80" w:type="dxa"/>
              <w:right w:w="80" w:type="dxa"/>
            </w:tcMar>
          </w:tcPr>
          <w:p>
            <w:pPr>
              <w:spacing w:after="0" w:line="264" w:lineRule="auto"/>
              <w:ind w:firstLine="0"/>
              <w:jc w:val="center"/>
            </w:pPr>
            <w:r>
              <w:rPr>
                <w:b w:val="0"/>
                <w:sz w:val="18"/>
              </w:rPr>
              <w:t>test</w:t>
            </w:r>
          </w:p>
        </w:tc>
        <w:tc>
          <w:tcPr>
            <w:tcW w:type="dxa" w:w="1220"/>
            <w:vAlign w:val="center"/>
            <w:tcMar>
              <w:top w:w="50" w:type="dxa"/>
              <w:bottom w:w="50" w:type="dxa"/>
              <w:left w:w="80" w:type="dxa"/>
              <w:right w:w="80" w:type="dxa"/>
            </w:tcMar>
          </w:tcPr>
          <w:p>
            <w:pPr>
              <w:spacing w:after="0" w:line="264" w:lineRule="auto"/>
              <w:ind w:firstLine="0"/>
              <w:jc w:val="center"/>
            </w:pPr>
            <w:r>
              <w:rPr>
                <w:b w:val="0"/>
                <w:sz w:val="18"/>
              </w:rPr>
              <w:t>80</w:t>
            </w:r>
          </w:p>
        </w:tc>
        <w:tc>
          <w:tcPr>
            <w:tcW w:type="dxa" w:w="1220"/>
            <w:vAlign w:val="center"/>
            <w:tcMar>
              <w:top w:w="50" w:type="dxa"/>
              <w:bottom w:w="50" w:type="dxa"/>
              <w:left w:w="80" w:type="dxa"/>
              <w:right w:w="80" w:type="dxa"/>
            </w:tcMar>
          </w:tcPr>
          <w:p>
            <w:pPr>
              <w:spacing w:after="0" w:line="264" w:lineRule="auto"/>
              <w:ind w:firstLine="0"/>
              <w:jc w:val="center"/>
            </w:pPr>
            <w:r>
              <w:rPr>
                <w:b w:val="0"/>
                <w:sz w:val="18"/>
              </w:rPr>
              <w:t>80</w:t>
            </w:r>
          </w:p>
        </w:tc>
        <w:tc>
          <w:tcPr>
            <w:tcW w:type="dxa" w:w="1201"/>
            <w:vAlign w:val="center"/>
            <w:tcMar>
              <w:top w:w="50" w:type="dxa"/>
              <w:bottom w:w="50" w:type="dxa"/>
              <w:left w:w="80" w:type="dxa"/>
              <w:right w:w="80" w:type="dxa"/>
            </w:tcMar>
          </w:tcPr>
          <w:p>
            <w:pPr>
              <w:spacing w:after="0" w:line="264" w:lineRule="auto"/>
              <w:ind w:firstLine="0"/>
              <w:jc w:val="center"/>
            </w:pPr>
            <w:r>
              <w:rPr>
                <w:b w:val="0"/>
                <w:sz w:val="18"/>
              </w:rPr>
              <w:t>1266</w:t>
            </w:r>
          </w:p>
        </w:tc>
        <w:tc>
          <w:tcPr>
            <w:tcW w:type="dxa" w:w="1353"/>
            <w:vAlign w:val="center"/>
            <w:tcMar>
              <w:top w:w="50" w:type="dxa"/>
              <w:bottom w:w="50" w:type="dxa"/>
              <w:left w:w="80" w:type="dxa"/>
              <w:right w:w="80" w:type="dxa"/>
            </w:tcMar>
          </w:tcPr>
          <w:p>
            <w:pPr>
              <w:spacing w:after="0" w:line="264" w:lineRule="auto"/>
              <w:ind w:firstLine="0"/>
              <w:jc w:val="center"/>
            </w:pPr>
            <w:r>
              <w:rPr>
                <w:b w:val="0"/>
                <w:sz w:val="18"/>
              </w:rPr>
              <w:t>809</w:t>
            </w:r>
          </w:p>
        </w:tc>
        <w:tc>
          <w:tcPr>
            <w:tcW w:type="dxa" w:w="1220"/>
            <w:vAlign w:val="center"/>
            <w:tcMar>
              <w:top w:w="50" w:type="dxa"/>
              <w:bottom w:w="50" w:type="dxa"/>
              <w:left w:w="80" w:type="dxa"/>
              <w:right w:w="80" w:type="dxa"/>
            </w:tcMar>
          </w:tcPr>
          <w:p>
            <w:pPr>
              <w:spacing w:after="0" w:line="264" w:lineRule="auto"/>
              <w:ind w:firstLine="0"/>
              <w:jc w:val="center"/>
            </w:pPr>
            <w:r>
              <w:rPr>
                <w:b w:val="0"/>
                <w:sz w:val="18"/>
              </w:rPr>
              <w:t>0</w:t>
            </w:r>
          </w:p>
        </w:tc>
        <w:tc>
          <w:tcPr>
            <w:tcW w:type="dxa" w:w="1086"/>
            <w:vAlign w:val="center"/>
            <w:tcMar>
              <w:top w:w="50" w:type="dxa"/>
              <w:bottom w:w="50" w:type="dxa"/>
              <w:left w:w="80" w:type="dxa"/>
              <w:right w:w="80" w:type="dxa"/>
            </w:tcMar>
          </w:tcPr>
          <w:p>
            <w:pPr>
              <w:spacing w:after="0" w:line="264" w:lineRule="auto"/>
              <w:ind w:firstLine="0"/>
              <w:jc w:val="center"/>
            </w:pPr>
            <w:r>
              <w:rPr>
                <w:b w:val="0"/>
                <w:sz w:val="18"/>
              </w:rPr>
              <w:t>1</w:t>
            </w:r>
          </w:p>
        </w:tc>
      </w:tr>
      <w:tr>
        <w:trPr>
          <w:cantSplit/>
        </w:trPr>
        <w:tc>
          <w:tcPr>
            <w:tcW w:type="dxa" w:w="1181"/>
            <w:vAlign w:val="center"/>
            <w:tcMar>
              <w:top w:w="50" w:type="dxa"/>
              <w:bottom w:w="50" w:type="dxa"/>
              <w:left w:w="80" w:type="dxa"/>
              <w:right w:w="80" w:type="dxa"/>
            </w:tcMar>
          </w:tcPr>
          <w:p>
            <w:pPr>
              <w:spacing w:after="0" w:line="264" w:lineRule="auto"/>
              <w:ind w:firstLine="0"/>
              <w:jc w:val="center"/>
            </w:pPr>
            <w:r>
              <w:rPr>
                <w:b w:val="0"/>
                <w:sz w:val="18"/>
              </w:rPr>
              <w:t>CDCP</w:t>
            </w:r>
          </w:p>
        </w:tc>
        <w:tc>
          <w:tcPr>
            <w:tcW w:type="dxa" w:w="1067"/>
            <w:vAlign w:val="center"/>
            <w:tcMar>
              <w:top w:w="50" w:type="dxa"/>
              <w:bottom w:w="50" w:type="dxa"/>
              <w:left w:w="80" w:type="dxa"/>
              <w:right w:w="80" w:type="dxa"/>
            </w:tcMar>
          </w:tcPr>
          <w:p>
            <w:pPr>
              <w:spacing w:after="0" w:line="264" w:lineRule="auto"/>
              <w:ind w:firstLine="0"/>
              <w:jc w:val="center"/>
            </w:pPr>
            <w:r>
              <w:rPr>
                <w:b w:val="0"/>
                <w:sz w:val="18"/>
              </w:rPr>
              <w:t>train</w:t>
            </w:r>
          </w:p>
        </w:tc>
        <w:tc>
          <w:tcPr>
            <w:tcW w:type="dxa" w:w="1220"/>
            <w:vAlign w:val="center"/>
            <w:tcMar>
              <w:top w:w="50" w:type="dxa"/>
              <w:bottom w:w="50" w:type="dxa"/>
              <w:left w:w="80" w:type="dxa"/>
              <w:right w:w="80" w:type="dxa"/>
            </w:tcMar>
          </w:tcPr>
          <w:p>
            <w:pPr>
              <w:spacing w:after="0" w:line="264" w:lineRule="auto"/>
              <w:ind w:firstLine="0"/>
              <w:jc w:val="center"/>
            </w:pPr>
            <w:r>
              <w:rPr>
                <w:b w:val="0"/>
                <w:sz w:val="18"/>
              </w:rPr>
              <w:t>581</w:t>
            </w:r>
          </w:p>
        </w:tc>
        <w:tc>
          <w:tcPr>
            <w:tcW w:type="dxa" w:w="1220"/>
            <w:vAlign w:val="center"/>
            <w:tcMar>
              <w:top w:w="50" w:type="dxa"/>
              <w:bottom w:w="50" w:type="dxa"/>
              <w:left w:w="80" w:type="dxa"/>
              <w:right w:w="80" w:type="dxa"/>
            </w:tcMar>
          </w:tcPr>
          <w:p>
            <w:pPr>
              <w:spacing w:after="0" w:line="264" w:lineRule="auto"/>
              <w:ind w:firstLine="0"/>
              <w:jc w:val="center"/>
            </w:pPr>
            <w:r>
              <w:rPr>
                <w:b w:val="0"/>
                <w:sz w:val="18"/>
              </w:rPr>
              <w:t>580</w:t>
            </w:r>
          </w:p>
        </w:tc>
        <w:tc>
          <w:tcPr>
            <w:tcW w:type="dxa" w:w="1201"/>
            <w:vAlign w:val="center"/>
            <w:tcMar>
              <w:top w:w="50" w:type="dxa"/>
              <w:bottom w:w="50" w:type="dxa"/>
              <w:left w:w="80" w:type="dxa"/>
              <w:right w:w="80" w:type="dxa"/>
            </w:tcMar>
          </w:tcPr>
          <w:p>
            <w:pPr>
              <w:spacing w:after="0" w:line="264" w:lineRule="auto"/>
              <w:ind w:firstLine="0"/>
              <w:jc w:val="center"/>
            </w:pPr>
            <w:r>
              <w:rPr>
                <w:b w:val="0"/>
                <w:sz w:val="18"/>
              </w:rPr>
              <w:t>3901</w:t>
            </w:r>
          </w:p>
        </w:tc>
        <w:tc>
          <w:tcPr>
            <w:tcW w:type="dxa" w:w="1353"/>
            <w:vAlign w:val="center"/>
            <w:tcMar>
              <w:top w:w="50" w:type="dxa"/>
              <w:bottom w:w="50" w:type="dxa"/>
              <w:left w:w="80" w:type="dxa"/>
              <w:right w:w="80" w:type="dxa"/>
            </w:tcMar>
          </w:tcPr>
          <w:p>
            <w:pPr>
              <w:spacing w:after="0" w:line="264" w:lineRule="auto"/>
              <w:ind w:firstLine="0"/>
              <w:jc w:val="center"/>
            </w:pPr>
            <w:r>
              <w:rPr>
                <w:b w:val="0"/>
                <w:sz w:val="18"/>
              </w:rPr>
              <w:t>969</w:t>
            </w:r>
          </w:p>
        </w:tc>
        <w:tc>
          <w:tcPr>
            <w:tcW w:type="dxa" w:w="1220"/>
            <w:vAlign w:val="center"/>
            <w:tcMar>
              <w:top w:w="50" w:type="dxa"/>
              <w:bottom w:w="50" w:type="dxa"/>
              <w:left w:w="80" w:type="dxa"/>
              <w:right w:w="80" w:type="dxa"/>
            </w:tcMar>
          </w:tcPr>
          <w:p>
            <w:pPr>
              <w:spacing w:after="0" w:line="264" w:lineRule="auto"/>
              <w:ind w:firstLine="0"/>
              <w:jc w:val="center"/>
            </w:pPr>
            <w:r>
              <w:rPr>
                <w:b w:val="0"/>
                <w:sz w:val="18"/>
              </w:rPr>
              <w:t>85</w:t>
            </w:r>
          </w:p>
        </w:tc>
        <w:tc>
          <w:tcPr>
            <w:tcW w:type="dxa" w:w="1086"/>
            <w:vAlign w:val="center"/>
            <w:tcMar>
              <w:top w:w="50" w:type="dxa"/>
              <w:bottom w:w="50" w:type="dxa"/>
              <w:left w:w="80" w:type="dxa"/>
              <w:right w:w="80" w:type="dxa"/>
            </w:tcMar>
          </w:tcPr>
          <w:p>
            <w:pPr>
              <w:spacing w:after="0" w:line="264" w:lineRule="auto"/>
              <w:ind w:firstLine="0"/>
              <w:jc w:val="center"/>
            </w:pPr>
            <w:r>
              <w:rPr>
                <w:b w:val="0"/>
                <w:sz w:val="18"/>
              </w:rPr>
              <w:t>8</w:t>
            </w:r>
          </w:p>
        </w:tc>
      </w:tr>
      <w:tr>
        <w:trPr>
          <w:cantSplit/>
        </w:trPr>
        <w:tc>
          <w:tcPr>
            <w:tcW w:type="dxa" w:w="1181"/>
            <w:vAlign w:val="center"/>
            <w:tcMar>
              <w:top w:w="50" w:type="dxa"/>
              <w:bottom w:w="50" w:type="dxa"/>
              <w:left w:w="80" w:type="dxa"/>
              <w:right w:w="80" w:type="dxa"/>
            </w:tcMar>
          </w:tcPr>
          <w:p>
            <w:pPr>
              <w:spacing w:after="0" w:line="264" w:lineRule="auto"/>
              <w:ind w:firstLine="0"/>
              <w:jc w:val="center"/>
            </w:pPr>
            <w:r>
              <w:rPr>
                <w:b w:val="0"/>
                <w:sz w:val="18"/>
              </w:rPr>
              <w:t>CDCP</w:t>
            </w:r>
          </w:p>
        </w:tc>
        <w:tc>
          <w:tcPr>
            <w:tcW w:type="dxa" w:w="1067"/>
            <w:vAlign w:val="center"/>
            <w:tcMar>
              <w:top w:w="50" w:type="dxa"/>
              <w:bottom w:w="50" w:type="dxa"/>
              <w:left w:w="80" w:type="dxa"/>
              <w:right w:w="80" w:type="dxa"/>
            </w:tcMar>
          </w:tcPr>
          <w:p>
            <w:pPr>
              <w:spacing w:after="0" w:line="264" w:lineRule="auto"/>
              <w:ind w:firstLine="0"/>
              <w:jc w:val="center"/>
            </w:pPr>
            <w:r>
              <w:rPr>
                <w:b w:val="0"/>
                <w:sz w:val="18"/>
              </w:rPr>
              <w:t>test</w:t>
            </w:r>
          </w:p>
        </w:tc>
        <w:tc>
          <w:tcPr>
            <w:tcW w:type="dxa" w:w="1220"/>
            <w:vAlign w:val="center"/>
            <w:tcMar>
              <w:top w:w="50" w:type="dxa"/>
              <w:bottom w:w="50" w:type="dxa"/>
              <w:left w:w="80" w:type="dxa"/>
              <w:right w:w="80" w:type="dxa"/>
            </w:tcMar>
          </w:tcPr>
          <w:p>
            <w:pPr>
              <w:spacing w:after="0" w:line="264" w:lineRule="auto"/>
              <w:ind w:firstLine="0"/>
              <w:jc w:val="center"/>
            </w:pPr>
            <w:r>
              <w:rPr>
                <w:b w:val="0"/>
                <w:sz w:val="18"/>
              </w:rPr>
              <w:t>150</w:t>
            </w:r>
          </w:p>
        </w:tc>
        <w:tc>
          <w:tcPr>
            <w:tcW w:type="dxa" w:w="1220"/>
            <w:vAlign w:val="center"/>
            <w:tcMar>
              <w:top w:w="50" w:type="dxa"/>
              <w:bottom w:w="50" w:type="dxa"/>
              <w:left w:w="80" w:type="dxa"/>
              <w:right w:w="80" w:type="dxa"/>
            </w:tcMar>
          </w:tcPr>
          <w:p>
            <w:pPr>
              <w:spacing w:after="0" w:line="264" w:lineRule="auto"/>
              <w:ind w:firstLine="0"/>
              <w:jc w:val="center"/>
            </w:pPr>
            <w:r>
              <w:rPr>
                <w:b w:val="0"/>
                <w:sz w:val="18"/>
              </w:rPr>
              <w:t>150</w:t>
            </w:r>
          </w:p>
        </w:tc>
        <w:tc>
          <w:tcPr>
            <w:tcW w:type="dxa" w:w="1201"/>
            <w:vAlign w:val="center"/>
            <w:tcMar>
              <w:top w:w="50" w:type="dxa"/>
              <w:bottom w:w="50" w:type="dxa"/>
              <w:left w:w="80" w:type="dxa"/>
              <w:right w:w="80" w:type="dxa"/>
            </w:tcMar>
          </w:tcPr>
          <w:p>
            <w:pPr>
              <w:spacing w:after="0" w:line="264" w:lineRule="auto"/>
              <w:ind w:firstLine="0"/>
              <w:jc w:val="center"/>
            </w:pPr>
            <w:r>
              <w:rPr>
                <w:b w:val="0"/>
                <w:sz w:val="18"/>
              </w:rPr>
              <w:t>1026</w:t>
            </w:r>
          </w:p>
        </w:tc>
        <w:tc>
          <w:tcPr>
            <w:tcW w:type="dxa" w:w="1353"/>
            <w:vAlign w:val="center"/>
            <w:tcMar>
              <w:top w:w="50" w:type="dxa"/>
              <w:bottom w:w="50" w:type="dxa"/>
              <w:left w:w="80" w:type="dxa"/>
              <w:right w:w="80" w:type="dxa"/>
            </w:tcMar>
          </w:tcPr>
          <w:p>
            <w:pPr>
              <w:spacing w:after="0" w:line="264" w:lineRule="auto"/>
              <w:ind w:firstLine="0"/>
              <w:jc w:val="center"/>
            </w:pPr>
            <w:r>
              <w:rPr>
                <w:b w:val="0"/>
                <w:sz w:val="18"/>
              </w:rPr>
              <w:t>252</w:t>
            </w:r>
          </w:p>
        </w:tc>
        <w:tc>
          <w:tcPr>
            <w:tcW w:type="dxa" w:w="1220"/>
            <w:vAlign w:val="center"/>
            <w:tcMar>
              <w:top w:w="50" w:type="dxa"/>
              <w:bottom w:w="50" w:type="dxa"/>
              <w:left w:w="80" w:type="dxa"/>
              <w:right w:w="80" w:type="dxa"/>
            </w:tcMar>
          </w:tcPr>
          <w:p>
            <w:pPr>
              <w:spacing w:after="0" w:line="264" w:lineRule="auto"/>
              <w:ind w:firstLine="0"/>
              <w:jc w:val="center"/>
            </w:pPr>
            <w:r>
              <w:rPr>
                <w:b w:val="0"/>
                <w:sz w:val="18"/>
              </w:rPr>
              <w:t>34</w:t>
            </w:r>
          </w:p>
        </w:tc>
        <w:tc>
          <w:tcPr>
            <w:tcW w:type="dxa" w:w="1086"/>
            <w:vAlign w:val="center"/>
            <w:tcMar>
              <w:top w:w="50" w:type="dxa"/>
              <w:bottom w:w="50" w:type="dxa"/>
              <w:left w:w="80" w:type="dxa"/>
              <w:right w:w="80" w:type="dxa"/>
            </w:tcMar>
          </w:tcPr>
          <w:p>
            <w:pPr>
              <w:spacing w:after="0" w:line="264" w:lineRule="auto"/>
              <w:ind w:firstLine="0"/>
              <w:jc w:val="center"/>
            </w:pPr>
            <w:r>
              <w:rPr>
                <w:b w:val="0"/>
                <w:sz w:val="18"/>
              </w:rPr>
              <w:t>10</w:t>
            </w:r>
          </w:p>
        </w:tc>
      </w:tr>
    </w:tbl>
    <w:p>
      <w:pPr/>
      <w:r>
        <w:t>训练去重、首尾空白处理和24个词中边界组件的具体记录保留在补充说明S2.2及附录A。所有坐标处理均保留到原文的映射，以2.1节的字符身份进行评价。数据异常检查用于固定协议，不用于删除难以预测的测试对象。</w:t>
      </w:r>
    </w:p>
    <w:p>
      <w:pPr/>
      <w:r>
        <w:t>三折交叉拟合按源文档分组，同源的全部增强视图与原文属于同一组。每个持出源的候选由未使用该源训练的生成器产生。评分器的拟合、校准和策略选择用途互斥：AAEC分别使用255、32和32篇，CDCP分别使用464、58和58篇。最终生成器可以使用完整训练侧数据，评分器则不将校准与策略标签并回拟合池。测试集不参与增强、校准和策略选择。</w:t>
      </w:r>
    </w:p>
    <w:p>
      <w:pPr/>
      <w:r>
        <w:t>各项比较共享骨干、训练预算、候选生成方式及严格评价程序。默认骨干为Qwen2.5-7B-Instruct，采用LoRA进行适配；训练种子为17、29和43，多候选生成使用一路贪心与两路采样。完整硬件、软件、优化器、损失系数和推理阈值分别列于补充表S2-2和S2-3，正文中的方法比较以这些固定条件为基础。</w:t>
      </w:r>
    </w:p>
    <w:p>
      <w:pPr/>
      <w:r>
        <w:t>NoPair、CompPair与完整成对配置共享增强视图、因素掩码和辅助头，使比较主要反映学习目标的变化。数据构造对照匹配接受规模及源文档更新预算。训练改进可能改变模型产生的候选质量；同一训练检查点下比较推理策略时，则需要固定候选及评分。两类比较的控制条件不同，应分别说明。</w:t>
      </w:r>
    </w:p>
    <w:p>
      <w:pPr/>
      <w:r>
        <w:t>计算成本分为增强、审核、交叉拟合、评分器训练等一次性准备成本，以及逐文档的生成、提案、评分和求解成本。共享准备只计一次，拒绝、失败和超时均计入实际消耗。等预算重生成同时匹配追加模型调用和输入、输出token上限，求解CPU开销另列；相同token预算不直接等于相同端到端时延。</w:t>
      </w:r>
    </w:p>
    <w:p>
      <w:pPr/>
      <w:r>
        <w:t xml:space="preserve">在上述公共实验条件下，统计分析先对每个训练种子汇总全部测试文档的整数计数并计算micro-F1，再报告三个种子的均值与样本标准差。逐文档统计记录至少包含语料、文档标识、源文档组、种子、方法、对象族、TP、FP、FN及失败状态。不同方法必须使用同一组文档和种子，且相同任务下的金标供给 </w:t>
      </w:r>
      <m:oMath>
        <m:r>
          <m:t xml:space="preserve">T</m:t>
        </m:r>
        <m:r>
          <m:t xml:space="preserve">P</m:t>
        </m:r>
        <m:r>
          <m:t xml:space="preserve">+</m:t>
        </m:r>
        <m:r>
          <m:t xml:space="preserve">F</m:t>
        </m:r>
        <m:r>
          <m:t xml:space="preserve">N</m:t>
        </m:r>
      </m:oMath>
      <w:r>
        <w:t xml:space="preserve"> 保持一致，才能进行配对比较。</w:t>
      </w:r>
    </w:p>
    <w:p>
      <w:pPr/>
      <w:r>
        <w:t>联合重采样共执行2000次。每次有放回抽取3个种子，并独立抽取与原测试集等长的文档索引；同一次抽样对所有方法共用。若存在重复文本组，则以源文档组为单位抽取，并保留组内所有文档。每次都重新汇总TP、FP、FN，计算所抽种子的micro-F1及其平均值，形成方法差值的重采样分布。另行报告三个种子的配对差值，以及固定种子、仅重采样文档的区间，以区分不同不确定性来源。</w:t>
      </w:r>
    </w:p>
    <w:p>
      <w:pPr>
        <w:keepNext/>
      </w:pPr>
      <w:r>
        <w:t xml:space="preserve">设观测差值为 </w:t>
      </w:r>
      <m:oMath>
        <m:acc>
          <m:accPr>
            <m:chr m:val="̂"/>
          </m:accPr>
          <m:e>
            <m:r>
              <m:t xml:space="preserve">Δ</m:t>
            </m:r>
          </m:e>
        </m:acc>
      </m:oMath>
      <w:r>
        <w:t xml:space="preserve">，第 </w:t>
      </w:r>
      <m:oMath>
        <m:r>
          <m:t xml:space="preserve">b</m:t>
        </m:r>
      </m:oMath>
      <w:r>
        <w:t xml:space="preserve"> 次重采样差值为 </w:t>
      </w:r>
      <m:oMath>
        <m:sSubSup>
          <m:e>
            <m:r>
              <m:t xml:space="preserve">Δ</m:t>
            </m:r>
          </m:e>
          <m:sub>
            <m:r>
              <m:t xml:space="preserve">b</m:t>
            </m:r>
          </m:sub>
          <m:sup>
            <m:r>
              <m:t xml:space="preserve">*</m:t>
            </m:r>
          </m:sup>
        </m:sSubSup>
      </m:oMath>
      <w:r>
        <w:t xml:space="preserve">，重采样次数为 </w:t>
      </w:r>
      <m:oMath>
        <m:r>
          <m:t xml:space="preserve">B</m:t>
        </m:r>
      </m:oMath>
      <w:r>
        <w:t>。单项95%区间取重采样差值分布的2.5%和97.5%分位数。双侧检验使用中心化差值及加一修正：</w:t>
      </w:r>
    </w:p>
    <w:p>
      <w:pPr>
        <w:spacing w:line="276" w:lineRule="auto" w:after="140"/>
        <w:ind w:firstLine="0"/>
        <w:jc w:val="center"/>
      </w:pPr>
      <m:oMath>
        <m:r>
          <m:t xml:space="preserve">p</m:t>
        </m:r>
        <m:r>
          <m:t xml:space="preserve">=</m:t>
        </m:r>
        <m:f>
          <m:num>
            <m:r>
              <m:t xml:space="preserve">1</m:t>
            </m:r>
            <m:r>
              <m:t xml:space="preserve">+</m:t>
            </m:r>
            <m:nary>
              <m:naryPr>
                <m:chr m:val="∑"/>
                <m:limLoc m:val="undOvr"/>
              </m:naryPr>
              <m:sub>
                <m:r>
                  <m:t xml:space="preserve">b</m:t>
                </m:r>
                <m:r>
                  <m:t xml:space="preserve">=</m:t>
                </m:r>
                <m:r>
                  <m:t xml:space="preserve">1</m:t>
                </m:r>
              </m:sub>
              <m:sup>
                <m:r>
                  <m:t xml:space="preserve">B</m:t>
                </m:r>
              </m:sup>
              <m:e>
                <m:box>
                  <m:e>
                    <m:r>
                      <m:t xml:space="preserve">1</m:t>
                    </m:r>
                  </m:e>
                </m:box>
                <m:r>
                  <m:t xml:space="preserve"/>
                </m:r>
                <m:r>
                  <m:t xml:space="preserve">(</m:t>
                </m:r>
                <m:r>
                  <m:t xml:space="preserve">|</m:t>
                </m:r>
                <m:sSubSup>
                  <m:e>
                    <m:r>
                      <m:t xml:space="preserve">Δ</m:t>
                    </m:r>
                  </m:e>
                  <m:sub>
                    <m:r>
                      <m:t xml:space="preserve">b</m:t>
                    </m:r>
                  </m:sub>
                  <m:sup>
                    <m:r>
                      <m:t xml:space="preserve">*</m:t>
                    </m:r>
                  </m:sup>
                </m:sSubSup>
                <m:r>
                  <m:t xml:space="preserve">-</m:t>
                </m:r>
                <m:acc>
                  <m:accPr>
                    <m:chr m:val="̂"/>
                  </m:accPr>
                  <m:e>
                    <m:r>
                      <m:t xml:space="preserve">Δ</m:t>
                    </m:r>
                  </m:e>
                </m:acc>
                <m:r>
                  <m:t xml:space="preserve">|</m:t>
                </m:r>
                <m:r>
                  <m:t xml:space="preserve">≥</m:t>
                </m:r>
                <m:r>
                  <m:t xml:space="preserve">|</m:t>
                </m:r>
                <m:acc>
                  <m:accPr>
                    <m:chr m:val="̂"/>
                  </m:accPr>
                  <m:e>
                    <m:r>
                      <m:t xml:space="preserve">Δ</m:t>
                    </m:r>
                  </m:e>
                </m:acc>
                <m:r>
                  <m:t xml:space="preserve">|</m:t>
                </m:r>
                <m:r>
                  <m:t xml:space="preserve"/>
                </m:r>
                <m:r>
                  <m:t xml:space="preserve">)</m:t>
                </m:r>
              </m:e>
            </m:nary>
          </m:num>
          <m:den>
            <m:r>
              <m:t xml:space="preserve">B</m:t>
            </m:r>
            <m:r>
              <m:t xml:space="preserve">+</m:t>
            </m:r>
            <m:r>
              <m:t xml:space="preserve">1</m:t>
            </m:r>
          </m:den>
        </m:f>
        <m:r>
          <m:t xml:space="preserve">.</m:t>
        </m:r>
      </m:oMath>
      <w:r>
        <w:rPr>
          <w:sz w:val="18"/>
        </w:rPr>
        <w:t xml:space="preserve">   （2-10）</w:t>
      </w:r>
    </w:p>
    <w:p>
      <w:pPr/>
      <w:r>
        <w:t>原稿的主要比较族保持为7组严格关系F1比较乘以2种语料，共14项：训练配置、成对项、推理配置、组件修改范围、共同接受、等预算重生成和开发风险限制。具体方法对与其归因边界列于补充表S2-4。14项p值统一采用Holm方法调整；单项95%区间没有进行家族同时校正，因此区间不含零而校正p大于0.05可以同时出现。后续结果表应同时标明单项区间与校正p的含义。</w:t>
      </w:r>
    </w:p>
    <w:p>
      <w:pPr/>
      <w:r>
        <w:t>重采样复算需要逐文档计数、共同配对索引、随机数种子和算法实现共同绑定。仅有总体F1、三个种子的汇总值或文件名，不能恢复文档级联合分布。三个训练种子也只覆盖有限的训练随机性，相关推断应限定于当前数据与种子条件。数据构造、动作粒度、校准、交互和外部比较等分析继续标为探索性，不在观察结果后扩展主要比较族。</w:t>
      </w:r>
    </w:p>
    <w:p>
      <w:pPr>
        <w:pStyle w:val="Heading1"/>
      </w:pPr>
      <w:r>
        <w:rPr/>
        <w:t>2.6 训练与推理的阶段接口</w:t>
      </w:r>
    </w:p>
    <w:p>
      <w:pPr/>
      <w:r>
        <w:t>上述理论在本文中分别服务于训练和推理两个阶段。训练阶段读取带标注的原文，构造局部改写并判断可保留的因素监督；推理阶段读取未提供金标的新文档，保持原文不变，对预测组件及关系进行选择和修正。图2-1给出两阶段的数据流。</w:t>
      </w:r>
    </w:p>
    <w:p>
      <w:pPr>
        <w:keepNext/>
        <w:ind w:firstLine="0"/>
        <w:jc w:val="center"/>
      </w:pPr>
      <w:r>
        <w:drawing>
          <wp:inline xmlns:a="http://schemas.openxmlformats.org/drawingml/2006/main" xmlns:pic="http://schemas.openxmlformats.org/drawingml/2006/picture">
            <wp:extent cx="6062472" cy="946531"/>
            <wp:docPr id="1" name="Picture 1"/>
            <wp:cNvGraphicFramePr>
              <a:graphicFrameLocks noChangeAspect="1"/>
            </wp:cNvGraphicFramePr>
            <a:graphic>
              <a:graphicData uri="http://schemas.openxmlformats.org/drawingml/2006/picture">
                <pic:pic>
                  <pic:nvPicPr>
                    <pic:cNvPr id="0" name="rId55.png"/>
                    <pic:cNvPicPr/>
                  </pic:nvPicPr>
                  <pic:blipFill>
                    <a:blip r:embed="rId11"/>
                    <a:stretch>
                      <a:fillRect/>
                    </a:stretch>
                  </pic:blipFill>
                  <pic:spPr>
                    <a:xfrm>
                      <a:off x="0" y="0"/>
                      <a:ext cx="6062472" cy="946531"/>
                    </a:xfrm>
                    <a:prstGeom prst="rect"/>
                  </pic:spPr>
                </pic:pic>
              </a:graphicData>
            </a:graphic>
          </wp:inline>
        </w:drawing>
      </w:r>
    </w:p>
    <w:p>
      <w:pPr>
        <w:keepNext w:val="0"/>
        <w:spacing w:before="80" w:after="100"/>
        <w:ind w:firstLine="0"/>
      </w:pPr>
      <w:r>
        <w:rPr>
          <w:b/>
          <w:sz w:val="19"/>
        </w:rPr>
        <w:t>图2-1 训练监督保持与推理结构恢复的阶段接口</w:t>
      </w:r>
    </w:p>
    <w:p>
      <w:pPr/>
      <w:r>
        <w:t>原文承担完整图生成监督，增强视图仅在通过审核的因素上参与辅助监督与一致性学习。训练辅助头利用金标跨度定位监督，但待预测类型和关系标签不作为其输入；该辅助头在开发评价和测试时移除。推理评分器在交叉拟合候选上学习完整对象正确性，其输出独立用于结构决策，不与训练辅助头直接共用概率，也不回传更新生成器。</w:t>
      </w:r>
    </w:p>
    <w:p>
      <w:pPr/>
      <w:r>
        <w:t>结论专项建模、多候选生成及初始重排序沿用MCR-BR基础。第三章研究关系影响域与可靠因素学习，第四章研究组件修改后的依赖处理和接受决策，第五章再比较两阶段组合的作用。每个阶段保留自己的拒绝或失败出口，并以本章规定的完整对象身份和计数方式连接评价。</w:t>
      </w:r>
    </w:p>
    <w:p>
      <w:pPr>
        <w:pStyle w:val="Heading1"/>
      </w:pPr>
      <w:r>
        <w:rPr/>
        <w:t>2.7 本章小结</w:t>
      </w:r>
    </w:p>
    <w:p>
      <w:pPr/>
      <w:r>
        <w:t>本章从论辩挖掘任务出发，以文档、字符半开区间和原生类型统一组件身份，并将二元关系和多前提关系纳入完整端点表示。在此基础上，介绍了预训练语言模型、参数高效适配、数据增强与因素一致性学习，区分了候选覆盖、对象评分和结构决策的作用。严格匹配、公共数据条件及配对统计原则为后续比较提供共同基础。第三章将在这一框架下讨论改写后的监督保持，第四章讨论预测图的结构修正。</w:t>
      </w:r>
    </w:p>
    <w:p>
      <w:r>
        <w:br w:type="page"/>
      </w:r>
    </w:p>
    <w:p>
      <w:pPr>
        <w:pStyle w:val="Title"/>
      </w:pPr>
      <w:r>
        <w:t>第二章补充材料</w:t>
      </w:r>
    </w:p>
    <w:p>
      <w:pPr/>
      <w:r>
        <w:t>以下保留原稿的实验配置和模拟数值，供共同实验条件核对；它们不属于本轮新增实验结果。正文先讲任务与理论，参数、旧协议核查及详细比较责任集中于此。</w:t>
      </w:r>
    </w:p>
    <w:p>
      <w:pPr>
        <w:pStyle w:val="Heading1"/>
      </w:pPr>
      <w:r>
        <w:t>S2.1 继承配置的原协议核查</w:t>
      </w:r>
    </w:p>
    <w:p>
      <w:pPr>
        <w:keepNext/>
        <w:spacing w:before="80" w:after="100"/>
        <w:ind w:firstLine="0"/>
      </w:pPr>
      <w:r>
        <w:rPr>
          <w:b/>
          <w:sz w:val="19"/>
        </w:rPr>
        <w:t>补充表S2-1 原协议复现核查</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63"/>
        <w:gridCol w:w="1116"/>
        <w:gridCol w:w="1116"/>
        <w:gridCol w:w="1116"/>
        <w:gridCol w:w="1824"/>
        <w:gridCol w:w="1842"/>
        <w:gridCol w:w="1470"/>
      </w:tblGrid>
      <w:tr>
        <w:trPr>
          <w:cantSplit/>
          <w:tblHeader/>
        </w:trPr>
        <w:tc>
          <w:tcPr>
            <w:tcW w:type="dxa" w:w="1063"/>
            <w:vAlign w:val="center"/>
            <w:tcMar>
              <w:top w:w="50" w:type="dxa"/>
              <w:bottom w:w="50" w:type="dxa"/>
              <w:left w:w="80" w:type="dxa"/>
              <w:right w:w="80" w:type="dxa"/>
            </w:tcMar>
            <w:shd w:fill="E7E6E6"/>
          </w:tcPr>
          <w:p>
            <w:pPr>
              <w:spacing w:after="0" w:line="264" w:lineRule="auto"/>
              <w:ind w:firstLine="0"/>
              <w:jc w:val="center"/>
            </w:pPr>
            <w:r>
              <w:rPr>
                <w:b/>
                <w:sz w:val="18"/>
              </w:rPr>
              <w:t>语料</w:t>
            </w:r>
          </w:p>
        </w:tc>
        <w:tc>
          <w:tcPr>
            <w:tcW w:type="dxa" w:w="1116"/>
            <w:vAlign w:val="center"/>
            <w:tcMar>
              <w:top w:w="50" w:type="dxa"/>
              <w:bottom w:w="50" w:type="dxa"/>
              <w:left w:w="80" w:type="dxa"/>
              <w:right w:w="80" w:type="dxa"/>
            </w:tcMar>
            <w:shd w:fill="E7E6E6"/>
          </w:tcPr>
          <w:p>
            <w:pPr>
              <w:spacing w:after="0" w:line="264" w:lineRule="auto"/>
              <w:ind w:firstLine="0"/>
              <w:jc w:val="center"/>
            </w:pPr>
            <w:r>
              <w:rPr>
                <w:b/>
                <w:sz w:val="18"/>
              </w:rPr>
              <w:t>种子17</w:t>
            </w:r>
          </w:p>
        </w:tc>
        <w:tc>
          <w:tcPr>
            <w:tcW w:type="dxa" w:w="1116"/>
            <w:vAlign w:val="center"/>
            <w:tcMar>
              <w:top w:w="50" w:type="dxa"/>
              <w:bottom w:w="50" w:type="dxa"/>
              <w:left w:w="80" w:type="dxa"/>
              <w:right w:w="80" w:type="dxa"/>
            </w:tcMar>
            <w:shd w:fill="E7E6E6"/>
          </w:tcPr>
          <w:p>
            <w:pPr>
              <w:spacing w:after="0" w:line="264" w:lineRule="auto"/>
              <w:ind w:firstLine="0"/>
              <w:jc w:val="center"/>
            </w:pPr>
            <w:r>
              <w:rPr>
                <w:b/>
                <w:sz w:val="18"/>
              </w:rPr>
              <w:t>种子29</w:t>
            </w:r>
          </w:p>
        </w:tc>
        <w:tc>
          <w:tcPr>
            <w:tcW w:type="dxa" w:w="1116"/>
            <w:vAlign w:val="center"/>
            <w:tcMar>
              <w:top w:w="50" w:type="dxa"/>
              <w:bottom w:w="50" w:type="dxa"/>
              <w:left w:w="80" w:type="dxa"/>
              <w:right w:w="80" w:type="dxa"/>
            </w:tcMar>
            <w:shd w:fill="E7E6E6"/>
          </w:tcPr>
          <w:p>
            <w:pPr>
              <w:spacing w:after="0" w:line="264" w:lineRule="auto"/>
              <w:ind w:firstLine="0"/>
              <w:jc w:val="center"/>
            </w:pPr>
            <w:r>
              <w:rPr>
                <w:b/>
                <w:sz w:val="18"/>
              </w:rPr>
              <w:t>种子43</w:t>
            </w:r>
          </w:p>
        </w:tc>
        <w:tc>
          <w:tcPr>
            <w:tcW w:type="dxa" w:w="1824"/>
            <w:vAlign w:val="center"/>
            <w:tcMar>
              <w:top w:w="50" w:type="dxa"/>
              <w:bottom w:w="50" w:type="dxa"/>
              <w:left w:w="80" w:type="dxa"/>
              <w:right w:w="80" w:type="dxa"/>
            </w:tcMar>
            <w:shd w:fill="E7E6E6"/>
          </w:tcPr>
          <w:p>
            <w:pPr>
              <w:spacing w:after="0" w:line="264" w:lineRule="auto"/>
              <w:ind w:firstLine="0"/>
              <w:jc w:val="center"/>
            </w:pPr>
            <w:r>
              <w:rPr>
                <w:b/>
                <w:sz w:val="18"/>
              </w:rPr>
              <w:t>均值 ± SD</w:t>
            </w:r>
          </w:p>
        </w:tc>
        <w:tc>
          <w:tcPr>
            <w:tcW w:type="dxa" w:w="1842"/>
            <w:vAlign w:val="center"/>
            <w:tcMar>
              <w:top w:w="50" w:type="dxa"/>
              <w:bottom w:w="50" w:type="dxa"/>
              <w:left w:w="80" w:type="dxa"/>
              <w:right w:w="80" w:type="dxa"/>
            </w:tcMar>
            <w:shd w:fill="E7E6E6"/>
          </w:tcPr>
          <w:p>
            <w:pPr>
              <w:spacing w:after="0" w:line="264" w:lineRule="auto"/>
              <w:ind w:firstLine="0"/>
              <w:jc w:val="center"/>
            </w:pPr>
            <w:r>
              <w:rPr>
                <w:b/>
                <w:sz w:val="18"/>
              </w:rPr>
              <w:t>原稿已发表值</w:t>
            </w:r>
          </w:p>
        </w:tc>
        <w:tc>
          <w:tcPr>
            <w:tcW w:type="dxa" w:w="1470"/>
            <w:vAlign w:val="center"/>
            <w:tcMar>
              <w:top w:w="50" w:type="dxa"/>
              <w:bottom w:w="50" w:type="dxa"/>
              <w:left w:w="80" w:type="dxa"/>
              <w:right w:w="80" w:type="dxa"/>
            </w:tcMar>
            <w:shd w:fill="E7E6E6"/>
          </w:tcPr>
          <w:p>
            <w:pPr>
              <w:spacing w:after="0" w:line="264" w:lineRule="auto"/>
              <w:ind w:firstLine="0"/>
              <w:jc w:val="center"/>
            </w:pPr>
            <w:r>
              <w:rPr>
                <w:b/>
                <w:sz w:val="18"/>
              </w:rPr>
              <w:t>均值差/pp</w:t>
            </w:r>
          </w:p>
        </w:tc>
      </w:tr>
      <w:tr>
        <w:trPr>
          <w:cantSplit/>
        </w:trPr>
        <w:tc>
          <w:tcPr>
            <w:tcW w:type="dxa" w:w="1063"/>
            <w:vAlign w:val="center"/>
            <w:tcMar>
              <w:top w:w="50" w:type="dxa"/>
              <w:bottom w:w="50" w:type="dxa"/>
              <w:left w:w="80" w:type="dxa"/>
              <w:right w:w="80" w:type="dxa"/>
            </w:tcMar>
          </w:tcPr>
          <w:p>
            <w:pPr>
              <w:spacing w:after="0" w:line="264" w:lineRule="auto"/>
              <w:ind w:firstLine="0"/>
              <w:jc w:val="center"/>
            </w:pPr>
            <w:r>
              <w:rPr>
                <w:b w:val="0"/>
                <w:sz w:val="18"/>
              </w:rPr>
              <w:t>AAEC</w:t>
            </w:r>
          </w:p>
        </w:tc>
        <w:tc>
          <w:tcPr>
            <w:tcW w:type="dxa" w:w="1116"/>
            <w:vAlign w:val="center"/>
            <w:tcMar>
              <w:top w:w="50" w:type="dxa"/>
              <w:bottom w:w="50" w:type="dxa"/>
              <w:left w:w="80" w:type="dxa"/>
              <w:right w:w="80" w:type="dxa"/>
            </w:tcMar>
          </w:tcPr>
          <w:p>
            <w:pPr>
              <w:spacing w:after="0" w:line="264" w:lineRule="auto"/>
              <w:ind w:firstLine="0"/>
              <w:jc w:val="center"/>
            </w:pPr>
            <w:r>
              <w:rPr>
                <w:b w:val="0"/>
                <w:sz w:val="18"/>
              </w:rPr>
              <w:t>64.98</w:t>
            </w:r>
          </w:p>
        </w:tc>
        <w:tc>
          <w:tcPr>
            <w:tcW w:type="dxa" w:w="1116"/>
            <w:vAlign w:val="center"/>
            <w:tcMar>
              <w:top w:w="50" w:type="dxa"/>
              <w:bottom w:w="50" w:type="dxa"/>
              <w:left w:w="80" w:type="dxa"/>
              <w:right w:w="80" w:type="dxa"/>
            </w:tcMar>
          </w:tcPr>
          <w:p>
            <w:pPr>
              <w:spacing w:after="0" w:line="264" w:lineRule="auto"/>
              <w:ind w:firstLine="0"/>
              <w:jc w:val="center"/>
            </w:pPr>
            <w:r>
              <w:rPr>
                <w:b w:val="0"/>
                <w:sz w:val="18"/>
              </w:rPr>
              <w:t>64.52</w:t>
            </w:r>
          </w:p>
        </w:tc>
        <w:tc>
          <w:tcPr>
            <w:tcW w:type="dxa" w:w="1116"/>
            <w:vAlign w:val="center"/>
            <w:tcMar>
              <w:top w:w="50" w:type="dxa"/>
              <w:bottom w:w="50" w:type="dxa"/>
              <w:left w:w="80" w:type="dxa"/>
              <w:right w:w="80" w:type="dxa"/>
            </w:tcMar>
          </w:tcPr>
          <w:p>
            <w:pPr>
              <w:spacing w:after="0" w:line="264" w:lineRule="auto"/>
              <w:ind w:firstLine="0"/>
              <w:jc w:val="center"/>
            </w:pPr>
            <w:r>
              <w:rPr>
                <w:b w:val="0"/>
                <w:sz w:val="18"/>
              </w:rPr>
              <w:t>64.81</w:t>
            </w:r>
          </w:p>
        </w:tc>
        <w:tc>
          <w:tcPr>
            <w:tcW w:type="dxa" w:w="1824"/>
            <w:vAlign w:val="center"/>
            <w:tcMar>
              <w:top w:w="50" w:type="dxa"/>
              <w:bottom w:w="50" w:type="dxa"/>
              <w:left w:w="80" w:type="dxa"/>
              <w:right w:w="80" w:type="dxa"/>
            </w:tcMar>
          </w:tcPr>
          <w:p>
            <w:pPr>
              <w:spacing w:after="0" w:line="264" w:lineRule="auto"/>
              <w:ind w:firstLine="0"/>
              <w:jc w:val="center"/>
            </w:pPr>
            <w:r>
              <w:rPr>
                <w:b w:val="0"/>
                <w:sz w:val="18"/>
              </w:rPr>
              <w:t>64.77 ± 0.23</w:t>
            </w:r>
          </w:p>
        </w:tc>
        <w:tc>
          <w:tcPr>
            <w:tcW w:type="dxa" w:w="1842"/>
            <w:vAlign w:val="center"/>
            <w:tcMar>
              <w:top w:w="50" w:type="dxa"/>
              <w:bottom w:w="50" w:type="dxa"/>
              <w:left w:w="80" w:type="dxa"/>
              <w:right w:w="80" w:type="dxa"/>
            </w:tcMar>
          </w:tcPr>
          <w:p>
            <w:pPr>
              <w:spacing w:after="0" w:line="264" w:lineRule="auto"/>
              <w:ind w:firstLine="0"/>
              <w:jc w:val="center"/>
            </w:pPr>
            <w:r>
              <w:rPr>
                <w:b w:val="0"/>
                <w:sz w:val="18"/>
              </w:rPr>
              <w:t>64.83</w:t>
            </w:r>
          </w:p>
        </w:tc>
        <w:tc>
          <w:tcPr>
            <w:tcW w:type="dxa" w:w="1470"/>
            <w:vAlign w:val="center"/>
            <w:tcMar>
              <w:top w:w="50" w:type="dxa"/>
              <w:bottom w:w="50" w:type="dxa"/>
              <w:left w:w="80" w:type="dxa"/>
              <w:right w:w="80" w:type="dxa"/>
            </w:tcMar>
          </w:tcPr>
          <w:p>
            <w:pPr>
              <w:spacing w:after="0" w:line="264" w:lineRule="auto"/>
              <w:ind w:firstLine="0"/>
              <w:jc w:val="center"/>
            </w:pPr>
            <w:r>
              <w:rPr>
                <w:b w:val="0"/>
                <w:sz w:val="18"/>
              </w:rPr>
              <w:t>-0.06</w:t>
            </w:r>
          </w:p>
        </w:tc>
      </w:tr>
      <w:tr>
        <w:trPr>
          <w:cantSplit/>
        </w:trPr>
        <w:tc>
          <w:tcPr>
            <w:tcW w:type="dxa" w:w="1063"/>
            <w:vAlign w:val="center"/>
            <w:tcMar>
              <w:top w:w="50" w:type="dxa"/>
              <w:bottom w:w="50" w:type="dxa"/>
              <w:left w:w="80" w:type="dxa"/>
              <w:right w:w="80" w:type="dxa"/>
            </w:tcMar>
          </w:tcPr>
          <w:p>
            <w:pPr>
              <w:spacing w:after="0" w:line="264" w:lineRule="auto"/>
              <w:ind w:firstLine="0"/>
              <w:jc w:val="center"/>
            </w:pPr>
            <w:r>
              <w:rPr>
                <w:b w:val="0"/>
                <w:sz w:val="18"/>
              </w:rPr>
              <w:t>CDCP</w:t>
            </w:r>
          </w:p>
        </w:tc>
        <w:tc>
          <w:tcPr>
            <w:tcW w:type="dxa" w:w="1116"/>
            <w:vAlign w:val="center"/>
            <w:tcMar>
              <w:top w:w="50" w:type="dxa"/>
              <w:bottom w:w="50" w:type="dxa"/>
              <w:left w:w="80" w:type="dxa"/>
              <w:right w:w="80" w:type="dxa"/>
            </w:tcMar>
          </w:tcPr>
          <w:p>
            <w:pPr>
              <w:spacing w:after="0" w:line="264" w:lineRule="auto"/>
              <w:ind w:firstLine="0"/>
              <w:jc w:val="center"/>
            </w:pPr>
            <w:r>
              <w:rPr>
                <w:b w:val="0"/>
                <w:sz w:val="18"/>
              </w:rPr>
              <w:t>38.31</w:t>
            </w:r>
          </w:p>
        </w:tc>
        <w:tc>
          <w:tcPr>
            <w:tcW w:type="dxa" w:w="1116"/>
            <w:vAlign w:val="center"/>
            <w:tcMar>
              <w:top w:w="50" w:type="dxa"/>
              <w:bottom w:w="50" w:type="dxa"/>
              <w:left w:w="80" w:type="dxa"/>
              <w:right w:w="80" w:type="dxa"/>
            </w:tcMar>
          </w:tcPr>
          <w:p>
            <w:pPr>
              <w:spacing w:after="0" w:line="264" w:lineRule="auto"/>
              <w:ind w:firstLine="0"/>
              <w:jc w:val="center"/>
            </w:pPr>
            <w:r>
              <w:rPr>
                <w:b w:val="0"/>
                <w:sz w:val="18"/>
              </w:rPr>
              <w:t>37.88</w:t>
            </w:r>
          </w:p>
        </w:tc>
        <w:tc>
          <w:tcPr>
            <w:tcW w:type="dxa" w:w="1116"/>
            <w:vAlign w:val="center"/>
            <w:tcMar>
              <w:top w:w="50" w:type="dxa"/>
              <w:bottom w:w="50" w:type="dxa"/>
              <w:left w:w="80" w:type="dxa"/>
              <w:right w:w="80" w:type="dxa"/>
            </w:tcMar>
          </w:tcPr>
          <w:p>
            <w:pPr>
              <w:spacing w:after="0" w:line="264" w:lineRule="auto"/>
              <w:ind w:firstLine="0"/>
              <w:jc w:val="center"/>
            </w:pPr>
            <w:r>
              <w:rPr>
                <w:b w:val="0"/>
                <w:sz w:val="18"/>
              </w:rPr>
              <w:t>38.04</w:t>
            </w:r>
          </w:p>
        </w:tc>
        <w:tc>
          <w:tcPr>
            <w:tcW w:type="dxa" w:w="1824"/>
            <w:vAlign w:val="center"/>
            <w:tcMar>
              <w:top w:w="50" w:type="dxa"/>
              <w:bottom w:w="50" w:type="dxa"/>
              <w:left w:w="80" w:type="dxa"/>
              <w:right w:w="80" w:type="dxa"/>
            </w:tcMar>
          </w:tcPr>
          <w:p>
            <w:pPr>
              <w:spacing w:after="0" w:line="264" w:lineRule="auto"/>
              <w:ind w:firstLine="0"/>
              <w:jc w:val="center"/>
            </w:pPr>
            <w:r>
              <w:rPr>
                <w:b w:val="0"/>
                <w:sz w:val="18"/>
              </w:rPr>
              <w:t>38.08 ± 0.22</w:t>
            </w:r>
          </w:p>
        </w:tc>
        <w:tc>
          <w:tcPr>
            <w:tcW w:type="dxa" w:w="1842"/>
            <w:vAlign w:val="center"/>
            <w:tcMar>
              <w:top w:w="50" w:type="dxa"/>
              <w:bottom w:w="50" w:type="dxa"/>
              <w:left w:w="80" w:type="dxa"/>
              <w:right w:w="80" w:type="dxa"/>
            </w:tcMar>
          </w:tcPr>
          <w:p>
            <w:pPr>
              <w:spacing w:after="0" w:line="264" w:lineRule="auto"/>
              <w:ind w:firstLine="0"/>
              <w:jc w:val="center"/>
            </w:pPr>
            <w:r>
              <w:rPr>
                <w:b w:val="0"/>
                <w:sz w:val="18"/>
              </w:rPr>
              <w:t>38.17</w:t>
            </w:r>
          </w:p>
        </w:tc>
        <w:tc>
          <w:tcPr>
            <w:tcW w:type="dxa" w:w="1470"/>
            <w:vAlign w:val="center"/>
            <w:tcMar>
              <w:top w:w="50" w:type="dxa"/>
              <w:bottom w:w="50" w:type="dxa"/>
              <w:left w:w="80" w:type="dxa"/>
              <w:right w:w="80" w:type="dxa"/>
            </w:tcMar>
          </w:tcPr>
          <w:p>
            <w:pPr>
              <w:spacing w:after="0" w:line="264" w:lineRule="auto"/>
              <w:ind w:firstLine="0"/>
              <w:jc w:val="center"/>
            </w:pPr>
            <w:r>
              <w:rPr>
                <w:b w:val="0"/>
                <w:sz w:val="18"/>
              </w:rPr>
              <w:t>-0.09</w:t>
            </w:r>
          </w:p>
        </w:tc>
      </w:tr>
    </w:tbl>
    <w:p>
      <w:pPr/>
      <w:r>
        <w:t>该表沿用原test稿件数值。原协议结果只用于继承配置的核查，不能与原生完整关系指标直接求差，也不进入14项主要比较族。</w:t>
      </w:r>
    </w:p>
    <w:p>
      <w:pPr>
        <w:pStyle w:val="Heading1"/>
      </w:pPr>
      <w:r>
        <w:t>S2.2 数据处理与记录用途</w:t>
      </w:r>
    </w:p>
    <w:p>
      <w:pPr/>
      <w:r>
        <w:t>AAEC按发布的train-test-split.csv匹配ID，CDCP按原压缩包train/test目录读取。重复只在训练侧按全文哈希处理：AAEC的essay171／210／400保留essay171，essay209／377保留essay209；CDCP保留00410并排除正文重复且标注不完整的00411。训练和测试没有全文哈希交叉重复，所有测试文档保留。</w:t>
      </w:r>
    </w:p>
    <w:p>
      <w:pPr/>
      <w:r>
        <w:t>AAEC测试标注中11个显示文本差异均为尾部制表符，坐标有效；CDCP保留原坐标并规范组件首尾空白，训练和测试分别修整3166、810次。字符严格评价不将24个无法精确对齐整词的组件扩展到相邻词，三层坐标通过字符残差往返。</w:t>
      </w:r>
    </w:p>
    <w:p>
      <w:pPr/>
      <w:r>
        <w:t>三折OOF按源文档及全部增强视图分组，T0与T1、两种语料、三个训练种子共对应36个OOF运行条目。每个持出源只由未见该源的生成器产生候选。拟合、校准与策略用途及其规模见正文2.5节。</w:t>
      </w:r>
    </w:p>
    <w:p>
      <w:pPr/>
      <w:r>
        <w:t>字符规范键统一为（文档与文本版本、字符起点、字符终点、原生类型）；模型子词集合按字符区间与offset mapping求交，聊天模板和连续提示位置不进入原文跨度。词中边界的实际示例见正文表2-2。</w:t>
      </w:r>
    </w:p>
    <w:p>
      <w:pPr>
        <w:pStyle w:val="Heading1"/>
      </w:pPr>
      <w:r>
        <w:t>S2.3 固定训练与推理配置</w:t>
      </w:r>
    </w:p>
    <w:p>
      <w:pPr>
        <w:keepNext/>
        <w:spacing w:before="80" w:after="100"/>
        <w:ind w:firstLine="0"/>
      </w:pPr>
      <w:r>
        <w:rPr>
          <w:b/>
          <w:sz w:val="19"/>
        </w:rPr>
        <w:t>补充表S2-2 公共训练与评价配置</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94"/>
        <w:gridCol w:w="7553"/>
      </w:tblGrid>
      <w:tr>
        <w:trPr>
          <w:cantSplit/>
          <w:tblHeader/>
        </w:trPr>
        <w:tc>
          <w:tcPr>
            <w:tcW w:type="dxa" w:w="1994"/>
            <w:vAlign w:val="center"/>
            <w:tcMar>
              <w:top w:w="50" w:type="dxa"/>
              <w:bottom w:w="50" w:type="dxa"/>
              <w:left w:w="80" w:type="dxa"/>
              <w:right w:w="80" w:type="dxa"/>
            </w:tcMar>
            <w:shd w:fill="E7E6E6"/>
          </w:tcPr>
          <w:p>
            <w:pPr>
              <w:spacing w:after="0" w:line="264" w:lineRule="auto"/>
              <w:ind w:firstLine="0"/>
              <w:jc w:val="center"/>
            </w:pPr>
            <w:r>
              <w:rPr>
                <w:b/>
                <w:sz w:val="19"/>
              </w:rPr>
              <w:t>项目</w:t>
            </w:r>
          </w:p>
        </w:tc>
        <w:tc>
          <w:tcPr>
            <w:tcW w:type="dxa" w:w="7553"/>
            <w:vAlign w:val="center"/>
            <w:tcMar>
              <w:top w:w="50" w:type="dxa"/>
              <w:bottom w:w="50" w:type="dxa"/>
              <w:left w:w="80" w:type="dxa"/>
              <w:right w:w="80" w:type="dxa"/>
            </w:tcMar>
            <w:shd w:fill="E7E6E6"/>
          </w:tcPr>
          <w:p>
            <w:pPr>
              <w:spacing w:after="0" w:line="264" w:lineRule="auto"/>
              <w:ind w:firstLine="0"/>
              <w:jc w:val="center"/>
            </w:pPr>
            <w:r>
              <w:rPr>
                <w:b/>
                <w:sz w:val="19"/>
              </w:rPr>
              <w:t>设置</w:t>
            </w:r>
          </w:p>
        </w:tc>
      </w:tr>
      <w:tr>
        <w:trPr>
          <w:cantSplit/>
        </w:trPr>
        <w:tc>
          <w:tcPr>
            <w:tcW w:type="dxa" w:w="1994"/>
            <w:vAlign w:val="center"/>
            <w:tcMar>
              <w:top w:w="50" w:type="dxa"/>
              <w:bottom w:w="50" w:type="dxa"/>
              <w:left w:w="80" w:type="dxa"/>
              <w:right w:w="80" w:type="dxa"/>
            </w:tcMar>
          </w:tcPr>
          <w:p>
            <w:pPr>
              <w:spacing w:after="0" w:line="264" w:lineRule="auto"/>
              <w:ind w:firstLine="0"/>
              <w:jc w:val="left"/>
            </w:pPr>
            <w:r>
              <w:rPr>
                <w:b w:val="0"/>
                <w:sz w:val="19"/>
              </w:rPr>
              <w:t>骨干</w:t>
            </w:r>
          </w:p>
        </w:tc>
        <w:tc>
          <w:tcPr>
            <w:tcW w:type="dxa" w:w="7553"/>
            <w:vAlign w:val="center"/>
            <w:tcMar>
              <w:top w:w="50" w:type="dxa"/>
              <w:bottom w:w="50" w:type="dxa"/>
              <w:left w:w="80" w:type="dxa"/>
              <w:right w:w="80" w:type="dxa"/>
            </w:tcMar>
          </w:tcPr>
          <w:p>
            <w:pPr>
              <w:spacing w:after="0" w:line="264" w:lineRule="auto"/>
              <w:ind w:firstLine="0"/>
              <w:jc w:val="left"/>
            </w:pPr>
            <w:r>
              <w:rPr>
                <w:b w:val="0"/>
                <w:sz w:val="19"/>
              </w:rPr>
              <w:t>Qwen2.5-7B-Instruct；基础权重冻结</w:t>
            </w:r>
          </w:p>
        </w:tc>
      </w:tr>
      <w:tr>
        <w:trPr>
          <w:cantSplit/>
        </w:trPr>
        <w:tc>
          <w:tcPr>
            <w:tcW w:type="dxa" w:w="1994"/>
            <w:vAlign w:val="center"/>
            <w:tcMar>
              <w:top w:w="50" w:type="dxa"/>
              <w:bottom w:w="50" w:type="dxa"/>
              <w:left w:w="80" w:type="dxa"/>
              <w:right w:w="80" w:type="dxa"/>
            </w:tcMar>
          </w:tcPr>
          <w:p>
            <w:pPr>
              <w:spacing w:after="0" w:line="264" w:lineRule="auto"/>
              <w:ind w:firstLine="0"/>
              <w:jc w:val="left"/>
            </w:pPr>
            <w:r>
              <w:rPr>
                <w:b w:val="0"/>
                <w:sz w:val="19"/>
              </w:rPr>
              <w:t>LoRA</w:t>
            </w:r>
          </w:p>
        </w:tc>
        <w:tc>
          <w:tcPr>
            <w:tcW w:type="dxa" w:w="7553"/>
            <w:vAlign w:val="center"/>
            <w:tcMar>
              <w:top w:w="50" w:type="dxa"/>
              <w:bottom w:w="50" w:type="dxa"/>
              <w:left w:w="80" w:type="dxa"/>
              <w:right w:w="80" w:type="dxa"/>
            </w:tcMar>
          </w:tcPr>
          <w:p>
            <w:pPr>
              <w:spacing w:after="0" w:line="264" w:lineRule="auto"/>
              <w:ind w:firstLine="0"/>
              <w:jc w:val="left"/>
            </w:pPr>
            <w:r>
              <w:rPr>
                <w:b w:val="0"/>
                <w:sz w:val="19"/>
              </w:rPr>
              <w:t>rank 16，alpha 32，dropout 0.05</w:t>
            </w:r>
          </w:p>
        </w:tc>
      </w:tr>
      <w:tr>
        <w:trPr>
          <w:cantSplit/>
        </w:trPr>
        <w:tc>
          <w:tcPr>
            <w:tcW w:type="dxa" w:w="1994"/>
            <w:vAlign w:val="center"/>
            <w:tcMar>
              <w:top w:w="50" w:type="dxa"/>
              <w:bottom w:w="50" w:type="dxa"/>
              <w:left w:w="80" w:type="dxa"/>
              <w:right w:w="80" w:type="dxa"/>
            </w:tcMar>
          </w:tcPr>
          <w:p>
            <w:pPr>
              <w:spacing w:after="0" w:line="264" w:lineRule="auto"/>
              <w:ind w:firstLine="0"/>
              <w:jc w:val="left"/>
            </w:pPr>
            <w:r>
              <w:rPr>
                <w:b w:val="0"/>
                <w:sz w:val="19"/>
              </w:rPr>
              <w:t>优化器</w:t>
            </w:r>
          </w:p>
        </w:tc>
        <w:tc>
          <w:tcPr>
            <w:tcW w:type="dxa" w:w="7553"/>
            <w:vAlign w:val="center"/>
            <w:tcMar>
              <w:top w:w="50" w:type="dxa"/>
              <w:bottom w:w="50" w:type="dxa"/>
              <w:left w:w="80" w:type="dxa"/>
              <w:right w:w="80" w:type="dxa"/>
            </w:tcMar>
          </w:tcPr>
          <w:p>
            <w:pPr>
              <w:spacing w:after="0" w:line="264" w:lineRule="auto"/>
              <w:ind w:firstLine="0"/>
              <w:jc w:val="left"/>
            </w:pPr>
            <w:r>
              <w:rPr>
                <w:b w:val="0"/>
                <w:sz w:val="19"/>
              </w:rPr>
              <w:t>AdamW；生成适配学习率2×10⁻⁴；weight decay 0.01；β=(0.9,0.999)；ε=10⁻⁸</w:t>
            </w:r>
          </w:p>
        </w:tc>
      </w:tr>
      <w:tr>
        <w:trPr>
          <w:cantSplit/>
        </w:trPr>
        <w:tc>
          <w:tcPr>
            <w:tcW w:type="dxa" w:w="1994"/>
            <w:vAlign w:val="center"/>
            <w:tcMar>
              <w:top w:w="50" w:type="dxa"/>
              <w:bottom w:w="50" w:type="dxa"/>
              <w:left w:w="80" w:type="dxa"/>
              <w:right w:w="80" w:type="dxa"/>
            </w:tcMar>
          </w:tcPr>
          <w:p>
            <w:pPr>
              <w:spacing w:after="0" w:line="264" w:lineRule="auto"/>
              <w:ind w:firstLine="0"/>
              <w:jc w:val="left"/>
            </w:pPr>
            <w:r>
              <w:rPr>
                <w:b w:val="0"/>
                <w:sz w:val="19"/>
              </w:rPr>
              <w:t>学习预算</w:t>
            </w:r>
          </w:p>
        </w:tc>
        <w:tc>
          <w:tcPr>
            <w:tcW w:type="dxa" w:w="7553"/>
            <w:vAlign w:val="center"/>
            <w:tcMar>
              <w:top w:w="50" w:type="dxa"/>
              <w:bottom w:w="50" w:type="dxa"/>
              <w:left w:w="80" w:type="dxa"/>
              <w:right w:w="80" w:type="dxa"/>
            </w:tcMar>
          </w:tcPr>
          <w:p>
            <w:pPr>
              <w:spacing w:after="0" w:line="264" w:lineRule="auto"/>
              <w:ind w:firstLine="0"/>
              <w:jc w:val="left"/>
            </w:pPr>
            <w:r>
              <w:rPr>
                <w:b w:val="0"/>
                <w:sz w:val="19"/>
              </w:rPr>
              <w:t>5 epoch，有效批量32源文档；每批4源、累计8步；末批按有效源数归一化</w:t>
            </w:r>
          </w:p>
        </w:tc>
      </w:tr>
      <w:tr>
        <w:trPr>
          <w:cantSplit/>
        </w:trPr>
        <w:tc>
          <w:tcPr>
            <w:tcW w:type="dxa" w:w="1994"/>
            <w:vAlign w:val="center"/>
            <w:tcMar>
              <w:top w:w="50" w:type="dxa"/>
              <w:bottom w:w="50" w:type="dxa"/>
              <w:left w:w="80" w:type="dxa"/>
              <w:right w:w="80" w:type="dxa"/>
            </w:tcMar>
          </w:tcPr>
          <w:p>
            <w:pPr>
              <w:spacing w:after="0" w:line="264" w:lineRule="auto"/>
              <w:ind w:firstLine="0"/>
              <w:jc w:val="left"/>
            </w:pPr>
            <w:r>
              <w:rPr>
                <w:b w:val="0"/>
                <w:sz w:val="19"/>
              </w:rPr>
              <w:t>其他训练参数</w:t>
            </w:r>
          </w:p>
        </w:tc>
        <w:tc>
          <w:tcPr>
            <w:tcW w:type="dxa" w:w="7553"/>
            <w:vAlign w:val="center"/>
            <w:tcMar>
              <w:top w:w="50" w:type="dxa"/>
              <w:bottom w:w="50" w:type="dxa"/>
              <w:left w:w="80" w:type="dxa"/>
              <w:right w:w="80" w:type="dxa"/>
            </w:tcMar>
          </w:tcPr>
          <w:p>
            <w:pPr>
              <w:spacing w:after="0" w:line="264" w:lineRule="auto"/>
              <w:ind w:firstLine="0"/>
              <w:jc w:val="left"/>
            </w:pPr>
            <w:r>
              <w:rPr>
                <w:b w:val="0"/>
                <w:sz w:val="19"/>
              </w:rPr>
              <w:t>warmup 3%；梯度裁剪1；bfloat16</w:t>
            </w:r>
          </w:p>
        </w:tc>
      </w:tr>
      <w:tr>
        <w:trPr>
          <w:cantSplit/>
        </w:trPr>
        <w:tc>
          <w:tcPr>
            <w:tcW w:type="dxa" w:w="1994"/>
            <w:vAlign w:val="center"/>
            <w:tcMar>
              <w:top w:w="50" w:type="dxa"/>
              <w:bottom w:w="50" w:type="dxa"/>
              <w:left w:w="80" w:type="dxa"/>
              <w:right w:w="80" w:type="dxa"/>
            </w:tcMar>
          </w:tcPr>
          <w:p>
            <w:pPr>
              <w:spacing w:after="0" w:line="264" w:lineRule="auto"/>
              <w:ind w:firstLine="0"/>
              <w:jc w:val="left"/>
            </w:pPr>
            <w:r>
              <w:rPr>
                <w:b w:val="0"/>
                <w:sz w:val="19"/>
              </w:rPr>
              <w:t>长度与种子</w:t>
            </w:r>
          </w:p>
        </w:tc>
        <w:tc>
          <w:tcPr>
            <w:tcW w:type="dxa" w:w="7553"/>
            <w:vAlign w:val="center"/>
            <w:tcMar>
              <w:top w:w="50" w:type="dxa"/>
              <w:bottom w:w="50" w:type="dxa"/>
              <w:left w:w="80" w:type="dxa"/>
              <w:right w:w="80" w:type="dxa"/>
            </w:tcMar>
          </w:tcPr>
          <w:p>
            <w:pPr>
              <w:spacing w:after="0" w:line="264" w:lineRule="auto"/>
              <w:ind w:firstLine="0"/>
              <w:jc w:val="left"/>
            </w:pPr>
            <w:r>
              <w:rPr>
                <w:b w:val="0"/>
                <w:sz w:val="19"/>
              </w:rPr>
              <w:t>输入4096、输出2048、总上下文8192；17、29、43</w:t>
            </w:r>
          </w:p>
        </w:tc>
      </w:tr>
      <w:tr>
        <w:trPr>
          <w:cantSplit/>
        </w:trPr>
        <w:tc>
          <w:tcPr>
            <w:tcW w:type="dxa" w:w="1994"/>
            <w:vAlign w:val="center"/>
            <w:tcMar>
              <w:top w:w="50" w:type="dxa"/>
              <w:bottom w:w="50" w:type="dxa"/>
              <w:left w:w="80" w:type="dxa"/>
              <w:right w:w="80" w:type="dxa"/>
            </w:tcMar>
          </w:tcPr>
          <w:p>
            <w:pPr>
              <w:spacing w:after="0" w:line="264" w:lineRule="auto"/>
              <w:ind w:firstLine="0"/>
              <w:jc w:val="left"/>
            </w:pPr>
            <w:r>
              <w:rPr>
                <w:b w:val="0"/>
                <w:sz w:val="19"/>
              </w:rPr>
              <w:t>增强规模</w:t>
            </w:r>
          </w:p>
        </w:tc>
        <w:tc>
          <w:tcPr>
            <w:tcW w:type="dxa" w:w="7553"/>
            <w:vAlign w:val="center"/>
            <w:tcMar>
              <w:top w:w="50" w:type="dxa"/>
              <w:bottom w:w="50" w:type="dxa"/>
              <w:left w:w="80" w:type="dxa"/>
              <w:right w:w="80" w:type="dxa"/>
            </w:tcMar>
          </w:tcPr>
          <w:p>
            <w:pPr>
              <w:spacing w:after="0" w:line="264" w:lineRule="auto"/>
              <w:ind w:firstLine="0"/>
              <w:jc w:val="left"/>
            </w:pPr>
            <w:r>
              <w:rPr>
                <w:b w:val="0"/>
                <w:sz w:val="19"/>
              </w:rPr>
              <w:t>AAEC 500接受视图／0.82M token；CDCP 900／1.35M token</w:t>
            </w:r>
          </w:p>
        </w:tc>
      </w:tr>
      <w:tr>
        <w:trPr>
          <w:cantSplit/>
        </w:trPr>
        <w:tc>
          <w:tcPr>
            <w:tcW w:type="dxa" w:w="1994"/>
            <w:vAlign w:val="center"/>
            <w:tcMar>
              <w:top w:w="50" w:type="dxa"/>
              <w:bottom w:w="50" w:type="dxa"/>
              <w:left w:w="80" w:type="dxa"/>
              <w:right w:w="80" w:type="dxa"/>
            </w:tcMar>
          </w:tcPr>
          <w:p>
            <w:pPr>
              <w:spacing w:after="0" w:line="264" w:lineRule="auto"/>
              <w:ind w:firstLine="0"/>
              <w:jc w:val="left"/>
            </w:pPr>
            <w:r>
              <w:rPr>
                <w:b w:val="0"/>
                <w:sz w:val="19"/>
              </w:rPr>
              <w:t>生成</w:t>
            </w:r>
          </w:p>
        </w:tc>
        <w:tc>
          <w:tcPr>
            <w:tcW w:type="dxa" w:w="7553"/>
            <w:vAlign w:val="center"/>
            <w:tcMar>
              <w:top w:w="50" w:type="dxa"/>
              <w:bottom w:w="50" w:type="dxa"/>
              <w:left w:w="80" w:type="dxa"/>
              <w:right w:w="80" w:type="dxa"/>
            </w:tcMar>
          </w:tcPr>
          <w:p>
            <w:pPr>
              <w:spacing w:after="0" w:line="264" w:lineRule="auto"/>
              <w:ind w:firstLine="0"/>
              <w:jc w:val="left"/>
            </w:pPr>
            <w:r>
              <w:rPr>
                <w:b w:val="0"/>
                <w:sz w:val="19"/>
              </w:rPr>
              <w:t>K=3：1路贪心＋2路temperature 0.7、top-p 0.9采样</w:t>
            </w:r>
          </w:p>
        </w:tc>
      </w:tr>
      <w:tr>
        <w:trPr>
          <w:cantSplit/>
        </w:trPr>
        <w:tc>
          <w:tcPr>
            <w:tcW w:type="dxa" w:w="1994"/>
            <w:vAlign w:val="center"/>
            <w:tcMar>
              <w:top w:w="50" w:type="dxa"/>
              <w:bottom w:w="50" w:type="dxa"/>
              <w:left w:w="80" w:type="dxa"/>
              <w:right w:w="80" w:type="dxa"/>
            </w:tcMar>
          </w:tcPr>
          <w:p>
            <w:pPr>
              <w:spacing w:after="0" w:line="264" w:lineRule="auto"/>
              <w:ind w:firstLine="0"/>
              <w:jc w:val="left"/>
            </w:pPr>
            <w:r>
              <w:rPr>
                <w:b w:val="0"/>
                <w:sz w:val="19"/>
              </w:rPr>
              <w:t>硬件</w:t>
            </w:r>
          </w:p>
        </w:tc>
        <w:tc>
          <w:tcPr>
            <w:tcW w:type="dxa" w:w="7553"/>
            <w:vAlign w:val="center"/>
            <w:tcMar>
              <w:top w:w="50" w:type="dxa"/>
              <w:bottom w:w="50" w:type="dxa"/>
              <w:left w:w="80" w:type="dxa"/>
              <w:right w:w="80" w:type="dxa"/>
            </w:tcMar>
          </w:tcPr>
          <w:p>
            <w:pPr>
              <w:spacing w:after="0" w:line="264" w:lineRule="auto"/>
              <w:ind w:firstLine="0"/>
              <w:jc w:val="left"/>
            </w:pPr>
            <w:r>
              <w:rPr>
                <w:b w:val="0"/>
                <w:sz w:val="19"/>
              </w:rPr>
              <w:t>单张A100 80GB，64GiB RAM，4 CPU线程</w:t>
            </w:r>
          </w:p>
        </w:tc>
      </w:tr>
      <w:tr>
        <w:trPr>
          <w:cantSplit/>
        </w:trPr>
        <w:tc>
          <w:tcPr>
            <w:tcW w:type="dxa" w:w="1994"/>
            <w:vAlign w:val="center"/>
            <w:tcMar>
              <w:top w:w="50" w:type="dxa"/>
              <w:bottom w:w="50" w:type="dxa"/>
              <w:left w:w="80" w:type="dxa"/>
              <w:right w:w="80" w:type="dxa"/>
            </w:tcMar>
          </w:tcPr>
          <w:p>
            <w:pPr>
              <w:spacing w:after="0" w:line="264" w:lineRule="auto"/>
              <w:ind w:firstLine="0"/>
              <w:jc w:val="left"/>
            </w:pPr>
            <w:r>
              <w:rPr>
                <w:b w:val="0"/>
                <w:sz w:val="19"/>
              </w:rPr>
              <w:t>评价</w:t>
            </w:r>
          </w:p>
        </w:tc>
        <w:tc>
          <w:tcPr>
            <w:tcW w:type="dxa" w:w="7553"/>
            <w:vAlign w:val="center"/>
            <w:tcMar>
              <w:top w:w="50" w:type="dxa"/>
              <w:bottom w:w="50" w:type="dxa"/>
              <w:left w:w="80" w:type="dxa"/>
              <w:right w:w="80" w:type="dxa"/>
            </w:tcMar>
          </w:tcPr>
          <w:p>
            <w:pPr>
              <w:spacing w:after="0" w:line="264" w:lineRule="auto"/>
              <w:ind w:firstLine="0"/>
              <w:jc w:val="left"/>
            </w:pPr>
            <w:r>
              <w:rPr>
                <w:b w:val="0"/>
                <w:sz w:val="19"/>
              </w:rPr>
              <w:t>AAEC 80篇；CDCP 150篇；三种子严格micro-F1</w:t>
            </w:r>
          </w:p>
        </w:tc>
      </w:tr>
    </w:tbl>
    <w:p>
      <w:pPr>
        <w:keepNext/>
        <w:spacing w:before="80" w:after="100"/>
        <w:ind w:firstLine="0"/>
      </w:pPr>
      <w:r>
        <w:rPr>
          <w:b/>
          <w:sz w:val="19"/>
        </w:rPr>
        <w:t>补充表S2-3 辅助头、评分与推理配置</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94"/>
        <w:gridCol w:w="7553"/>
      </w:tblGrid>
      <w:tr>
        <w:trPr>
          <w:cantSplit/>
          <w:tblHeader/>
        </w:trPr>
        <w:tc>
          <w:tcPr>
            <w:tcW w:type="dxa" w:w="1994"/>
            <w:vAlign w:val="center"/>
            <w:tcMar>
              <w:top w:w="50" w:type="dxa"/>
              <w:bottom w:w="50" w:type="dxa"/>
              <w:left w:w="80" w:type="dxa"/>
              <w:right w:w="80" w:type="dxa"/>
            </w:tcMar>
            <w:shd w:fill="E7E6E6"/>
          </w:tcPr>
          <w:p>
            <w:pPr>
              <w:spacing w:after="0" w:line="264" w:lineRule="auto"/>
              <w:ind w:firstLine="0"/>
              <w:jc w:val="center"/>
            </w:pPr>
            <w:r>
              <w:rPr>
                <w:b/>
                <w:sz w:val="19"/>
              </w:rPr>
              <w:t>项目</w:t>
            </w:r>
          </w:p>
        </w:tc>
        <w:tc>
          <w:tcPr>
            <w:tcW w:type="dxa" w:w="7553"/>
            <w:vAlign w:val="center"/>
            <w:tcMar>
              <w:top w:w="50" w:type="dxa"/>
              <w:bottom w:w="50" w:type="dxa"/>
              <w:left w:w="80" w:type="dxa"/>
              <w:right w:w="80" w:type="dxa"/>
            </w:tcMar>
            <w:shd w:fill="E7E6E6"/>
          </w:tcPr>
          <w:p>
            <w:pPr>
              <w:spacing w:after="0" w:line="264" w:lineRule="auto"/>
              <w:ind w:firstLine="0"/>
              <w:jc w:val="center"/>
            </w:pPr>
            <w:r>
              <w:rPr>
                <w:b/>
                <w:sz w:val="19"/>
              </w:rPr>
              <w:t>设置</w:t>
            </w:r>
          </w:p>
        </w:tc>
      </w:tr>
      <w:tr>
        <w:trPr>
          <w:cantSplit/>
        </w:trPr>
        <w:tc>
          <w:tcPr>
            <w:tcW w:type="dxa" w:w="1994"/>
            <w:vAlign w:val="center"/>
            <w:tcMar>
              <w:top w:w="50" w:type="dxa"/>
              <w:bottom w:w="50" w:type="dxa"/>
              <w:left w:w="80" w:type="dxa"/>
              <w:right w:w="80" w:type="dxa"/>
            </w:tcMar>
          </w:tcPr>
          <w:p>
            <w:pPr>
              <w:spacing w:after="0" w:line="264" w:lineRule="auto"/>
              <w:ind w:firstLine="0"/>
              <w:jc w:val="left"/>
            </w:pPr>
            <w:r>
              <w:rPr>
                <w:b w:val="0"/>
                <w:sz w:val="19"/>
              </w:rPr>
              <w:t>跨度与对象头</w:t>
            </w:r>
          </w:p>
        </w:tc>
        <w:tc>
          <w:tcPr>
            <w:tcW w:type="dxa" w:w="7553"/>
            <w:vAlign w:val="center"/>
            <w:tcMar>
              <w:top w:w="50" w:type="dxa"/>
              <w:bottom w:w="50" w:type="dxa"/>
              <w:left w:w="80" w:type="dxa"/>
              <w:right w:w="80" w:type="dxa"/>
            </w:tcMar>
          </w:tcPr>
          <w:p>
            <w:pPr>
              <w:spacing w:after="0" w:line="264" w:lineRule="auto"/>
              <w:ind w:firstLine="0"/>
              <w:jc w:val="left"/>
            </w:pPr>
            <w:r>
              <w:rPr>
                <w:b w:val="0"/>
                <w:sz w:val="19"/>
              </w:rPr>
              <w:t>起止各一线性层；2层MLP，隐藏1024，dropout 0.1</w:t>
            </w:r>
          </w:p>
        </w:tc>
      </w:tr>
      <w:tr>
        <w:trPr>
          <w:cantSplit/>
        </w:trPr>
        <w:tc>
          <w:tcPr>
            <w:tcW w:type="dxa" w:w="1994"/>
            <w:vAlign w:val="center"/>
            <w:tcMar>
              <w:top w:w="50" w:type="dxa"/>
              <w:bottom w:w="50" w:type="dxa"/>
              <w:left w:w="80" w:type="dxa"/>
              <w:right w:w="80" w:type="dxa"/>
            </w:tcMar>
          </w:tcPr>
          <w:p>
            <w:pPr>
              <w:spacing w:after="0" w:line="264" w:lineRule="auto"/>
              <w:ind w:firstLine="0"/>
              <w:jc w:val="left"/>
            </w:pPr>
            <w:r>
              <w:rPr>
                <w:b w:val="0"/>
                <w:sz w:val="19"/>
              </w:rPr>
              <w:t>头部学习率</w:t>
            </w:r>
          </w:p>
        </w:tc>
        <w:tc>
          <w:tcPr>
            <w:tcW w:type="dxa" w:w="7553"/>
            <w:vAlign w:val="center"/>
            <w:tcMar>
              <w:top w:w="50" w:type="dxa"/>
              <w:bottom w:w="50" w:type="dxa"/>
              <w:left w:w="80" w:type="dxa"/>
              <w:right w:w="80" w:type="dxa"/>
            </w:tcMar>
          </w:tcPr>
          <w:p>
            <w:pPr>
              <w:spacing w:after="0" w:line="264" w:lineRule="auto"/>
              <w:ind w:firstLine="0"/>
              <w:jc w:val="left"/>
            </w:pPr>
            <w:r>
              <w:rPr>
                <w:b w:val="0"/>
                <w:sz w:val="19"/>
              </w:rPr>
              <w:t>辅助头10⁻³；评分头训练10 epoch</w:t>
            </w:r>
          </w:p>
        </w:tc>
      </w:tr>
      <w:tr>
        <w:trPr>
          <w:cantSplit/>
        </w:trPr>
        <w:tc>
          <w:tcPr>
            <w:tcW w:type="dxa" w:w="1994"/>
            <w:vAlign w:val="center"/>
            <w:tcMar>
              <w:top w:w="50" w:type="dxa"/>
              <w:bottom w:w="50" w:type="dxa"/>
              <w:left w:w="80" w:type="dxa"/>
              <w:right w:w="80" w:type="dxa"/>
            </w:tcMar>
          </w:tcPr>
          <w:p>
            <w:pPr>
              <w:spacing w:after="0" w:line="264" w:lineRule="auto"/>
              <w:ind w:firstLine="0"/>
              <w:jc w:val="left"/>
            </w:pPr>
            <w:r>
              <w:rPr>
                <w:b w:val="0"/>
                <w:sz w:val="19"/>
              </w:rPr>
              <w:t>损失系数</w:t>
            </w:r>
          </w:p>
        </w:tc>
        <w:tc>
          <w:tcPr>
            <w:tcW w:type="dxa" w:w="7553"/>
            <w:vAlign w:val="center"/>
            <w:tcMar>
              <w:top w:w="50" w:type="dxa"/>
              <w:bottom w:w="50" w:type="dxa"/>
              <w:left w:w="80" w:type="dxa"/>
              <w:right w:w="80" w:type="dxa"/>
            </w:tcMar>
          </w:tcPr>
          <w:p>
            <w:pPr>
              <w:spacing w:after="0" w:line="264" w:lineRule="auto"/>
              <w:ind w:firstLine="0"/>
              <w:jc w:val="left"/>
            </w:pPr>
            <w:r>
              <w:rPr>
                <w:b w:val="0"/>
                <w:sz w:val="19"/>
              </w:rPr>
              <w:t>原文生成1，头监督1，组件对齐0.5，关系对齐0.5；变体不承担整图生成损失</w:t>
            </w:r>
          </w:p>
        </w:tc>
      </w:tr>
      <w:tr>
        <w:trPr>
          <w:cantSplit/>
        </w:trPr>
        <w:tc>
          <w:tcPr>
            <w:tcW w:type="dxa" w:w="1994"/>
            <w:vAlign w:val="center"/>
            <w:tcMar>
              <w:top w:w="50" w:type="dxa"/>
              <w:bottom w:w="50" w:type="dxa"/>
              <w:left w:w="80" w:type="dxa"/>
              <w:right w:w="80" w:type="dxa"/>
            </w:tcMar>
          </w:tcPr>
          <w:p>
            <w:pPr>
              <w:spacing w:after="0" w:line="264" w:lineRule="auto"/>
              <w:ind w:firstLine="0"/>
              <w:jc w:val="left"/>
            </w:pPr>
            <w:r>
              <w:rPr>
                <w:b w:val="0"/>
                <w:sz w:val="19"/>
              </w:rPr>
              <w:t>校准</w:t>
            </w:r>
          </w:p>
        </w:tc>
        <w:tc>
          <w:tcPr>
            <w:tcW w:type="dxa" w:w="7553"/>
            <w:vAlign w:val="center"/>
            <w:tcMar>
              <w:top w:w="50" w:type="dxa"/>
              <w:bottom w:w="50" w:type="dxa"/>
              <w:left w:w="80" w:type="dxa"/>
              <w:right w:w="80" w:type="dxa"/>
            </w:tcMar>
          </w:tcPr>
          <w:p>
            <w:pPr>
              <w:spacing w:after="0" w:line="264" w:lineRule="auto"/>
              <w:ind w:firstLine="0"/>
              <w:jc w:val="left"/>
            </w:pPr>
            <w:r>
              <w:rPr>
                <w:b w:val="0"/>
                <w:sz w:val="19"/>
              </w:rPr>
              <w:t>按语料、种子、对象族分别拟合Platt；自然候选分布</w:t>
            </w:r>
          </w:p>
        </w:tc>
      </w:tr>
      <w:tr>
        <w:trPr>
          <w:cantSplit/>
        </w:trPr>
        <w:tc>
          <w:tcPr>
            <w:tcW w:type="dxa" w:w="1994"/>
            <w:vAlign w:val="center"/>
            <w:tcMar>
              <w:top w:w="50" w:type="dxa"/>
              <w:bottom w:w="50" w:type="dxa"/>
              <w:left w:w="80" w:type="dxa"/>
              <w:right w:w="80" w:type="dxa"/>
            </w:tcMar>
          </w:tcPr>
          <w:p>
            <w:pPr>
              <w:spacing w:after="0" w:line="264" w:lineRule="auto"/>
              <w:ind w:firstLine="0"/>
              <w:jc w:val="left"/>
            </w:pPr>
            <w:r>
              <w:rPr>
                <w:b w:val="0"/>
                <w:sz w:val="19"/>
              </w:rPr>
              <w:t>效用与阈值</w:t>
            </w:r>
          </w:p>
        </w:tc>
        <w:tc>
          <w:tcPr>
            <w:tcW w:type="dxa" w:w="7553"/>
            <w:vAlign w:val="center"/>
            <w:tcMar>
              <w:top w:w="50" w:type="dxa"/>
              <w:bottom w:w="50" w:type="dxa"/>
              <w:left w:w="80" w:type="dxa"/>
              <w:right w:w="80" w:type="dxa"/>
            </w:tcMar>
          </w:tcPr>
          <w:p>
            <w:pPr>
              <w:spacing w:after="0" w:line="264" w:lineRule="auto"/>
              <w:ind w:firstLine="0"/>
              <w:jc w:val="left"/>
            </w:pPr>
            <w:r>
              <w:rPr>
                <w:b w:val="0"/>
                <w:sz w:val="19"/>
              </w:rPr>
              <w:t>wC=wR=1；κC=1；κR为AAEC 1、CDCP 0.5；δ=0.20</w:t>
            </w:r>
          </w:p>
        </w:tc>
      </w:tr>
      <w:tr>
        <w:trPr>
          <w:cantSplit/>
        </w:trPr>
        <w:tc>
          <w:tcPr>
            <w:tcW w:type="dxa" w:w="1994"/>
            <w:vAlign w:val="center"/>
            <w:tcMar>
              <w:top w:w="50" w:type="dxa"/>
              <w:bottom w:w="50" w:type="dxa"/>
              <w:left w:w="80" w:type="dxa"/>
              <w:right w:w="80" w:type="dxa"/>
            </w:tcMar>
          </w:tcPr>
          <w:p>
            <w:pPr>
              <w:spacing w:after="0" w:line="264" w:lineRule="auto"/>
              <w:ind w:firstLine="0"/>
              <w:jc w:val="left"/>
            </w:pPr>
            <w:r>
              <w:rPr>
                <w:b w:val="0"/>
                <w:sz w:val="19"/>
              </w:rPr>
              <w:t>开发选择</w:t>
            </w:r>
          </w:p>
        </w:tc>
        <w:tc>
          <w:tcPr>
            <w:tcW w:type="dxa" w:w="7553"/>
            <w:vAlign w:val="center"/>
            <w:tcMar>
              <w:top w:w="50" w:type="dxa"/>
              <w:bottom w:w="50" w:type="dxa"/>
              <w:left w:w="80" w:type="dxa"/>
              <w:right w:w="80" w:type="dxa"/>
            </w:tcMar>
          </w:tcPr>
          <w:p>
            <w:pPr>
              <w:spacing w:after="0" w:line="264" w:lineRule="auto"/>
              <w:ind w:firstLine="0"/>
              <w:jc w:val="left"/>
            </w:pPr>
            <w:r>
              <w:rPr>
                <w:b w:val="0"/>
                <w:sz w:val="19"/>
              </w:rPr>
              <w:t>κR∈{0.5,1.0}；δ∈{0.01,0.05,0.10,0.20}；原TP损失≤5%；无合格配置返回G0</w:t>
            </w:r>
          </w:p>
        </w:tc>
      </w:tr>
      <w:tr>
        <w:trPr>
          <w:cantSplit/>
        </w:trPr>
        <w:tc>
          <w:tcPr>
            <w:tcW w:type="dxa" w:w="1994"/>
            <w:vAlign w:val="center"/>
            <w:tcMar>
              <w:top w:w="50" w:type="dxa"/>
              <w:bottom w:w="50" w:type="dxa"/>
              <w:left w:w="80" w:type="dxa"/>
              <w:right w:w="80" w:type="dxa"/>
            </w:tcMar>
          </w:tcPr>
          <w:p>
            <w:pPr>
              <w:spacing w:after="0" w:line="264" w:lineRule="auto"/>
              <w:ind w:firstLine="0"/>
              <w:jc w:val="left"/>
            </w:pPr>
            <w:r>
              <w:rPr>
                <w:b w:val="0"/>
                <w:sz w:val="19"/>
              </w:rPr>
              <w:t>编辑与外层</w:t>
            </w:r>
          </w:p>
        </w:tc>
        <w:tc>
          <w:tcPr>
            <w:tcW w:type="dxa" w:w="7553"/>
            <w:vAlign w:val="center"/>
            <w:tcMar>
              <w:top w:w="50" w:type="dxa"/>
              <w:bottom w:w="50" w:type="dxa"/>
              <w:left w:w="80" w:type="dxa"/>
              <w:right w:w="80" w:type="dxa"/>
            </w:tcMar>
          </w:tcPr>
          <w:p>
            <w:pPr>
              <w:spacing w:after="0" w:line="264" w:lineRule="auto"/>
              <w:ind w:firstLine="0"/>
              <w:jc w:val="left"/>
            </w:pPr>
            <w:r>
              <w:rPr>
                <w:b w:val="0"/>
                <w:sz w:val="19"/>
              </w:rPr>
              <w:t>组件24、关系96；每轮32尝试／3接受，最多4轮</w:t>
            </w:r>
          </w:p>
        </w:tc>
      </w:tr>
      <w:tr>
        <w:trPr>
          <w:cantSplit/>
        </w:trPr>
        <w:tc>
          <w:tcPr>
            <w:tcW w:type="dxa" w:w="1994"/>
            <w:vAlign w:val="center"/>
            <w:tcMar>
              <w:top w:w="50" w:type="dxa"/>
              <w:bottom w:w="50" w:type="dxa"/>
              <w:left w:w="80" w:type="dxa"/>
              <w:right w:w="80" w:type="dxa"/>
            </w:tcMar>
          </w:tcPr>
          <w:p>
            <w:pPr>
              <w:spacing w:after="0" w:line="264" w:lineRule="auto"/>
              <w:ind w:firstLine="0"/>
              <w:jc w:val="left"/>
            </w:pPr>
            <w:r>
              <w:rPr>
                <w:b w:val="0"/>
                <w:sz w:val="19"/>
              </w:rPr>
              <w:t>路由与时限</w:t>
            </w:r>
          </w:p>
        </w:tc>
        <w:tc>
          <w:tcPr>
            <w:tcW w:type="dxa" w:w="7553"/>
            <w:vAlign w:val="center"/>
            <w:tcMar>
              <w:top w:w="50" w:type="dxa"/>
              <w:bottom w:w="50" w:type="dxa"/>
              <w:left w:w="80" w:type="dxa"/>
              <w:right w:w="80" w:type="dxa"/>
            </w:tcMar>
          </w:tcPr>
          <w:p>
            <w:pPr>
              <w:spacing w:after="0" w:line="264" w:lineRule="auto"/>
              <w:ind w:firstLine="0"/>
              <w:jc w:val="left"/>
            </w:pPr>
            <w:r>
              <w:rPr>
                <w:b w:val="0"/>
                <w:sz w:val="19"/>
              </w:rPr>
              <w:t>n≤2500用全局，否则单对象局部；AAEC 3秒，CDCP 5秒</w:t>
            </w:r>
          </w:p>
        </w:tc>
      </w:tr>
      <w:tr>
        <w:trPr>
          <w:cantSplit/>
        </w:trPr>
        <w:tc>
          <w:tcPr>
            <w:tcW w:type="dxa" w:w="1994"/>
            <w:vAlign w:val="center"/>
            <w:tcMar>
              <w:top w:w="50" w:type="dxa"/>
              <w:bottom w:w="50" w:type="dxa"/>
              <w:left w:w="80" w:type="dxa"/>
              <w:right w:w="80" w:type="dxa"/>
            </w:tcMar>
          </w:tcPr>
          <w:p>
            <w:pPr>
              <w:spacing w:after="0" w:line="264" w:lineRule="auto"/>
              <w:ind w:firstLine="0"/>
              <w:jc w:val="left"/>
            </w:pPr>
            <w:r>
              <w:rPr>
                <w:b w:val="0"/>
                <w:sz w:val="19"/>
              </w:rPr>
              <w:t>候选与缺分</w:t>
            </w:r>
          </w:p>
        </w:tc>
        <w:tc>
          <w:tcPr>
            <w:tcW w:type="dxa" w:w="7553"/>
            <w:vAlign w:val="center"/>
            <w:tcMar>
              <w:top w:w="50" w:type="dxa"/>
              <w:bottom w:w="50" w:type="dxa"/>
              <w:left w:w="80" w:type="dxa"/>
              <w:right w:w="80" w:type="dxa"/>
            </w:tcMar>
          </w:tcPr>
          <w:p>
            <w:pPr>
              <w:spacing w:after="0" w:line="264" w:lineRule="auto"/>
              <w:ind w:firstLine="0"/>
              <w:jc w:val="left"/>
            </w:pPr>
            <w:r>
              <w:rPr>
                <w:b w:val="0"/>
                <w:sz w:val="19"/>
              </w:rPr>
              <w:t>预检关系槽位50000；保护初始对象；评分批4096；缺分拒绝受影响事务</w:t>
            </w:r>
          </w:p>
        </w:tc>
      </w:tr>
      <w:tr>
        <w:trPr>
          <w:cantSplit/>
        </w:trPr>
        <w:tc>
          <w:tcPr>
            <w:tcW w:type="dxa" w:w="1994"/>
            <w:vAlign w:val="center"/>
            <w:tcMar>
              <w:top w:w="50" w:type="dxa"/>
              <w:bottom w:w="50" w:type="dxa"/>
              <w:left w:w="80" w:type="dxa"/>
              <w:right w:w="80" w:type="dxa"/>
            </w:tcMar>
          </w:tcPr>
          <w:p>
            <w:pPr>
              <w:spacing w:after="0" w:line="264" w:lineRule="auto"/>
              <w:ind w:firstLine="0"/>
              <w:jc w:val="left"/>
            </w:pPr>
            <w:r>
              <w:rPr>
                <w:b w:val="0"/>
                <w:sz w:val="19"/>
              </w:rPr>
              <w:t>软件</w:t>
            </w:r>
          </w:p>
        </w:tc>
        <w:tc>
          <w:tcPr>
            <w:tcW w:type="dxa" w:w="7553"/>
            <w:vAlign w:val="center"/>
            <w:tcMar>
              <w:top w:w="50" w:type="dxa"/>
              <w:bottom w:w="50" w:type="dxa"/>
              <w:left w:w="80" w:type="dxa"/>
              <w:right w:w="80" w:type="dxa"/>
            </w:tcMar>
          </w:tcPr>
          <w:p>
            <w:pPr>
              <w:spacing w:after="0" w:line="264" w:lineRule="auto"/>
              <w:ind w:firstLine="0"/>
              <w:jc w:val="left"/>
            </w:pPr>
            <w:r>
              <w:rPr>
                <w:b w:val="0"/>
                <w:sz w:val="19"/>
              </w:rPr>
              <w:t>Python 3.11；PyTorch 2.5.1；Transformers 4.46.3；PEFT 0.13.2；HiGHS接口，固定4线程</w:t>
            </w:r>
          </w:p>
        </w:tc>
      </w:tr>
    </w:tbl>
    <w:p>
      <w:pPr/>
      <w:r>
        <w:t>配置、提示和版本清单绑定登记标识RT-PREREG-01。权重与分词器身份为rt-qwen25-7b-r1、rt-qwen25-tokenizer-r1；最终检查点按语料、方法、种子和epoch命名。NoPair、CompPair、T1/I0共享视图及掩码摘要，改变学习项；其余增强对照匹配接受规模和源文档更新预算。</w:t>
      </w:r>
    </w:p>
    <w:p>
      <w:pPr/>
      <w:r>
        <w:t>登记标识与文件摘要用于关联记录。本轮没有凭这些名称确认对应训练或推理已执行；模型、预测和逐文档计数仍需与实际交付文件绑定。</w:t>
      </w:r>
    </w:p>
    <w:p>
      <w:pPr>
        <w:pStyle w:val="Heading1"/>
      </w:pPr>
      <w:r>
        <w:t>S2.4 研究问题与比较责任</w:t>
      </w:r>
    </w:p>
    <w:p>
      <w:pPr>
        <w:keepNext/>
        <w:spacing w:before="80" w:after="100"/>
        <w:ind w:firstLine="0"/>
      </w:pPr>
      <w:r>
        <w:rPr>
          <w:b/>
          <w:sz w:val="19"/>
        </w:rPr>
        <w:t>补充表S2-4 主要比较族与探索性分析的归因边界</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57"/>
        <w:gridCol w:w="3666"/>
        <w:gridCol w:w="4124"/>
      </w:tblGrid>
      <w:tr>
        <w:trPr>
          <w:cantSplit/>
          <w:tblHeader/>
        </w:trPr>
        <w:tc>
          <w:tcPr>
            <w:tcW w:type="dxa" w:w="1757"/>
            <w:vAlign w:val="center"/>
            <w:tcMar>
              <w:top w:w="50" w:type="dxa"/>
              <w:bottom w:w="50" w:type="dxa"/>
              <w:left w:w="80" w:type="dxa"/>
              <w:right w:w="80" w:type="dxa"/>
            </w:tcMar>
            <w:shd w:fill="E7E6E6"/>
          </w:tcPr>
          <w:p>
            <w:pPr>
              <w:spacing w:after="0" w:line="264" w:lineRule="auto"/>
              <w:ind w:firstLine="0"/>
              <w:jc w:val="center"/>
            </w:pPr>
            <w:r>
              <w:rPr>
                <w:b/>
                <w:sz w:val="19"/>
              </w:rPr>
              <w:t>层次与研究问题</w:t>
            </w:r>
          </w:p>
        </w:tc>
        <w:tc>
          <w:tcPr>
            <w:tcW w:type="dxa" w:w="3666"/>
            <w:vAlign w:val="center"/>
            <w:tcMar>
              <w:top w:w="50" w:type="dxa"/>
              <w:bottom w:w="50" w:type="dxa"/>
              <w:left w:w="80" w:type="dxa"/>
              <w:right w:w="80" w:type="dxa"/>
            </w:tcMar>
            <w:shd w:fill="E7E6E6"/>
          </w:tcPr>
          <w:p>
            <w:pPr>
              <w:spacing w:after="0" w:line="264" w:lineRule="auto"/>
              <w:ind w:firstLine="0"/>
              <w:jc w:val="center"/>
            </w:pPr>
            <w:r>
              <w:rPr>
                <w:b/>
                <w:sz w:val="19"/>
              </w:rPr>
              <w:t>比较与控制条件</w:t>
            </w:r>
          </w:p>
        </w:tc>
        <w:tc>
          <w:tcPr>
            <w:tcW w:type="dxa" w:w="4124"/>
            <w:vAlign w:val="center"/>
            <w:tcMar>
              <w:top w:w="50" w:type="dxa"/>
              <w:bottom w:w="50" w:type="dxa"/>
              <w:left w:w="80" w:type="dxa"/>
              <w:right w:w="80" w:type="dxa"/>
            </w:tcMar>
            <w:shd w:fill="E7E6E6"/>
          </w:tcPr>
          <w:p>
            <w:pPr>
              <w:spacing w:after="0" w:line="264" w:lineRule="auto"/>
              <w:ind w:firstLine="0"/>
              <w:jc w:val="center"/>
            </w:pPr>
            <w:r>
              <w:rPr>
                <w:b/>
                <w:sz w:val="19"/>
              </w:rPr>
              <w:t>可以回答的问题及归因边界</w:t>
            </w:r>
          </w:p>
        </w:tc>
      </w:tr>
      <w:tr>
        <w:trPr>
          <w:cantSplit/>
        </w:trPr>
        <w:tc>
          <w:tcPr>
            <w:tcW w:type="dxa" w:w="1757"/>
            <w:vAlign w:val="center"/>
            <w:tcMar>
              <w:top w:w="50" w:type="dxa"/>
              <w:bottom w:w="50" w:type="dxa"/>
              <w:left w:w="80" w:type="dxa"/>
              <w:right w:w="80" w:type="dxa"/>
            </w:tcMar>
          </w:tcPr>
          <w:p>
            <w:pPr>
              <w:spacing w:after="0" w:line="264" w:lineRule="auto"/>
              <w:ind w:firstLine="0"/>
              <w:jc w:val="left"/>
            </w:pPr>
            <w:r>
              <w:rPr>
                <w:b w:val="0"/>
                <w:sz w:val="19"/>
              </w:rPr>
              <w:t>主要1 整套训练</w:t>
            </w:r>
          </w:p>
        </w:tc>
        <w:tc>
          <w:tcPr>
            <w:tcW w:type="dxa" w:w="3666"/>
            <w:vAlign w:val="center"/>
            <w:tcMar>
              <w:top w:w="50" w:type="dxa"/>
              <w:bottom w:w="50" w:type="dxa"/>
              <w:left w:w="80" w:type="dxa"/>
              <w:right w:w="80" w:type="dxa"/>
            </w:tcMar>
          </w:tcPr>
          <w:p>
            <w:pPr>
              <w:spacing w:after="0" w:line="264" w:lineRule="auto"/>
              <w:ind w:firstLine="0"/>
              <w:jc w:val="left"/>
            </w:pPr>
            <w:r>
              <w:rPr>
                <w:b w:val="0"/>
                <w:sz w:val="19"/>
              </w:rPr>
              <w:t>T1/I0 对 T0/I0</w:t>
            </w:r>
          </w:p>
        </w:tc>
        <w:tc>
          <w:tcPr>
            <w:tcW w:type="dxa" w:w="4124"/>
            <w:vAlign w:val="center"/>
            <w:tcMar>
              <w:top w:w="50" w:type="dxa"/>
              <w:bottom w:w="50" w:type="dxa"/>
              <w:left w:w="80" w:type="dxa"/>
              <w:right w:w="80" w:type="dxa"/>
            </w:tcMar>
          </w:tcPr>
          <w:p>
            <w:pPr>
              <w:spacing w:after="0" w:line="264" w:lineRule="auto"/>
              <w:ind w:firstLine="0"/>
              <w:jc w:val="left"/>
            </w:pPr>
            <w:r>
              <w:rPr>
                <w:b w:val="0"/>
                <w:sz w:val="19"/>
              </w:rPr>
              <w:t>判断新训练配置的条件效果，不能将全部差异归于成对项</w:t>
            </w:r>
          </w:p>
        </w:tc>
      </w:tr>
      <w:tr>
        <w:trPr>
          <w:cantSplit/>
        </w:trPr>
        <w:tc>
          <w:tcPr>
            <w:tcW w:type="dxa" w:w="1757"/>
            <w:vAlign w:val="center"/>
            <w:tcMar>
              <w:top w:w="50" w:type="dxa"/>
              <w:bottom w:w="50" w:type="dxa"/>
              <w:left w:w="80" w:type="dxa"/>
              <w:right w:w="80" w:type="dxa"/>
            </w:tcMar>
          </w:tcPr>
          <w:p>
            <w:pPr>
              <w:spacing w:after="0" w:line="264" w:lineRule="auto"/>
              <w:ind w:firstLine="0"/>
              <w:jc w:val="left"/>
            </w:pPr>
            <w:r>
              <w:rPr>
                <w:b w:val="0"/>
                <w:sz w:val="19"/>
              </w:rPr>
              <w:t>主要2 成对项</w:t>
            </w:r>
          </w:p>
        </w:tc>
        <w:tc>
          <w:tcPr>
            <w:tcW w:type="dxa" w:w="3666"/>
            <w:vAlign w:val="center"/>
            <w:tcMar>
              <w:top w:w="50" w:type="dxa"/>
              <w:bottom w:w="50" w:type="dxa"/>
              <w:left w:w="80" w:type="dxa"/>
              <w:right w:w="80" w:type="dxa"/>
            </w:tcMar>
          </w:tcPr>
          <w:p>
            <w:pPr>
              <w:spacing w:after="0" w:line="264" w:lineRule="auto"/>
              <w:ind w:firstLine="0"/>
              <w:jc w:val="left"/>
            </w:pPr>
            <w:r>
              <w:rPr>
                <w:b w:val="0"/>
                <w:sz w:val="19"/>
              </w:rPr>
              <w:t>T1/I0 对 NoPair；同视图、同掩码、同辅助头</w:t>
            </w:r>
          </w:p>
        </w:tc>
        <w:tc>
          <w:tcPr>
            <w:tcW w:type="dxa" w:w="4124"/>
            <w:vAlign w:val="center"/>
            <w:tcMar>
              <w:top w:w="50" w:type="dxa"/>
              <w:bottom w:w="50" w:type="dxa"/>
              <w:left w:w="80" w:type="dxa"/>
              <w:right w:w="80" w:type="dxa"/>
            </w:tcMar>
          </w:tcPr>
          <w:p>
            <w:pPr>
              <w:spacing w:after="0" w:line="264" w:lineRule="auto"/>
              <w:ind w:firstLine="0"/>
              <w:jc w:val="left"/>
            </w:pPr>
            <w:r>
              <w:rPr>
                <w:b w:val="0"/>
                <w:sz w:val="19"/>
              </w:rPr>
              <w:t>判断成对目标的额外作用，不评价数据构造本身是否优于近邻</w:t>
            </w:r>
          </w:p>
        </w:tc>
      </w:tr>
      <w:tr>
        <w:trPr>
          <w:cantSplit/>
        </w:trPr>
        <w:tc>
          <w:tcPr>
            <w:tcW w:type="dxa" w:w="1757"/>
            <w:vAlign w:val="center"/>
            <w:tcMar>
              <w:top w:w="50" w:type="dxa"/>
              <w:bottom w:w="50" w:type="dxa"/>
              <w:left w:w="80" w:type="dxa"/>
              <w:right w:w="80" w:type="dxa"/>
            </w:tcMar>
          </w:tcPr>
          <w:p>
            <w:pPr>
              <w:spacing w:after="0" w:line="264" w:lineRule="auto"/>
              <w:ind w:firstLine="0"/>
              <w:jc w:val="left"/>
            </w:pPr>
            <w:r>
              <w:rPr>
                <w:b w:val="0"/>
                <w:sz w:val="19"/>
              </w:rPr>
              <w:t>主要3 整套推理</w:t>
            </w:r>
          </w:p>
        </w:tc>
        <w:tc>
          <w:tcPr>
            <w:tcW w:type="dxa" w:w="3666"/>
            <w:vAlign w:val="center"/>
            <w:tcMar>
              <w:top w:w="50" w:type="dxa"/>
              <w:bottom w:w="50" w:type="dxa"/>
              <w:left w:w="80" w:type="dxa"/>
              <w:right w:w="80" w:type="dxa"/>
            </w:tcMar>
          </w:tcPr>
          <w:p>
            <w:pPr>
              <w:spacing w:after="0" w:line="264" w:lineRule="auto"/>
              <w:ind w:firstLine="0"/>
              <w:jc w:val="left"/>
            </w:pPr>
            <w:r>
              <w:rPr>
                <w:b w:val="0"/>
                <w:sz w:val="19"/>
              </w:rPr>
              <w:t>T1/I1 对 T1/I0</w:t>
            </w:r>
          </w:p>
        </w:tc>
        <w:tc>
          <w:tcPr>
            <w:tcW w:type="dxa" w:w="4124"/>
            <w:vAlign w:val="center"/>
            <w:tcMar>
              <w:top w:w="50" w:type="dxa"/>
              <w:bottom w:w="50" w:type="dxa"/>
              <w:left w:w="80" w:type="dxa"/>
              <w:right w:w="80" w:type="dxa"/>
            </w:tcMar>
          </w:tcPr>
          <w:p>
            <w:pPr>
              <w:spacing w:after="0" w:line="264" w:lineRule="auto"/>
              <w:ind w:firstLine="0"/>
              <w:jc w:val="left"/>
            </w:pPr>
            <w:r>
              <w:rPr>
                <w:b w:val="0"/>
                <w:sz w:val="19"/>
              </w:rPr>
              <w:t>判断新推理配置的条件效果，不能归因于单一事务机制</w:t>
            </w:r>
          </w:p>
        </w:tc>
      </w:tr>
      <w:tr>
        <w:trPr>
          <w:cantSplit/>
        </w:trPr>
        <w:tc>
          <w:tcPr>
            <w:tcW w:type="dxa" w:w="1757"/>
            <w:vAlign w:val="center"/>
            <w:tcMar>
              <w:top w:w="50" w:type="dxa"/>
              <w:bottom w:w="50" w:type="dxa"/>
              <w:left w:w="80" w:type="dxa"/>
              <w:right w:w="80" w:type="dxa"/>
            </w:tcMar>
          </w:tcPr>
          <w:p>
            <w:pPr>
              <w:spacing w:after="0" w:line="264" w:lineRule="auto"/>
              <w:ind w:firstLine="0"/>
              <w:jc w:val="left"/>
            </w:pPr>
            <w:r>
              <w:rPr>
                <w:b w:val="0"/>
                <w:sz w:val="19"/>
              </w:rPr>
              <w:t>主要4 修改范围</w:t>
            </w:r>
          </w:p>
        </w:tc>
        <w:tc>
          <w:tcPr>
            <w:tcW w:type="dxa" w:w="3666"/>
            <w:vAlign w:val="center"/>
            <w:tcMar>
              <w:top w:w="50" w:type="dxa"/>
              <w:bottom w:w="50" w:type="dxa"/>
              <w:left w:w="80" w:type="dxa"/>
              <w:right w:w="80" w:type="dxa"/>
            </w:tcMar>
          </w:tcPr>
          <w:p>
            <w:pPr>
              <w:spacing w:after="0" w:line="264" w:lineRule="auto"/>
              <w:ind w:firstLine="0"/>
              <w:jc w:val="left"/>
            </w:pPr>
            <w:r>
              <w:rPr>
                <w:b w:val="0"/>
                <w:sz w:val="19"/>
              </w:rPr>
              <w:t>T1/I1 对 RelationOnly；同候选、同评分</w:t>
            </w:r>
          </w:p>
        </w:tc>
        <w:tc>
          <w:tcPr>
            <w:tcW w:type="dxa" w:w="4124"/>
            <w:vAlign w:val="center"/>
            <w:tcMar>
              <w:top w:w="50" w:type="dxa"/>
              <w:bottom w:w="50" w:type="dxa"/>
              <w:left w:w="80" w:type="dxa"/>
              <w:right w:w="80" w:type="dxa"/>
            </w:tcMar>
          </w:tcPr>
          <w:p>
            <w:pPr>
              <w:spacing w:after="0" w:line="264" w:lineRule="auto"/>
              <w:ind w:firstLine="0"/>
              <w:jc w:val="left"/>
            </w:pPr>
            <w:r>
              <w:rPr>
                <w:b w:val="0"/>
                <w:sz w:val="19"/>
              </w:rPr>
              <w:t>判断允许组件修改带来的差异，不等于共同接受的差异</w:t>
            </w:r>
          </w:p>
        </w:tc>
      </w:tr>
      <w:tr>
        <w:trPr>
          <w:cantSplit/>
        </w:trPr>
        <w:tc>
          <w:tcPr>
            <w:tcW w:type="dxa" w:w="1757"/>
            <w:vAlign w:val="center"/>
            <w:tcMar>
              <w:top w:w="50" w:type="dxa"/>
              <w:bottom w:w="50" w:type="dxa"/>
              <w:left w:w="80" w:type="dxa"/>
              <w:right w:w="80" w:type="dxa"/>
            </w:tcMar>
          </w:tcPr>
          <w:p>
            <w:pPr>
              <w:spacing w:after="0" w:line="264" w:lineRule="auto"/>
              <w:ind w:firstLine="0"/>
              <w:jc w:val="left"/>
            </w:pPr>
            <w:r>
              <w:rPr>
                <w:b w:val="0"/>
                <w:sz w:val="19"/>
              </w:rPr>
              <w:t>主要5 共同接受</w:t>
            </w:r>
          </w:p>
        </w:tc>
        <w:tc>
          <w:tcPr>
            <w:tcW w:type="dxa" w:w="3666"/>
            <w:vAlign w:val="center"/>
            <w:tcMar>
              <w:top w:w="50" w:type="dxa"/>
              <w:bottom w:w="50" w:type="dxa"/>
              <w:left w:w="80" w:type="dxa"/>
              <w:right w:w="80" w:type="dxa"/>
            </w:tcMar>
          </w:tcPr>
          <w:p>
            <w:pPr>
              <w:spacing w:after="0" w:line="264" w:lineRule="auto"/>
              <w:ind w:firstLine="0"/>
              <w:jc w:val="left"/>
            </w:pPr>
            <w:r>
              <w:rPr>
                <w:b w:val="0"/>
                <w:sz w:val="19"/>
              </w:rPr>
              <w:t>Single 对 Sequential；同候选、同评分</w:t>
            </w:r>
          </w:p>
        </w:tc>
        <w:tc>
          <w:tcPr>
            <w:tcW w:type="dxa" w:w="4124"/>
            <w:vAlign w:val="center"/>
            <w:tcMar>
              <w:top w:w="50" w:type="dxa"/>
              <w:bottom w:w="50" w:type="dxa"/>
              <w:left w:w="80" w:type="dxa"/>
              <w:right w:w="80" w:type="dxa"/>
            </w:tcMar>
          </w:tcPr>
          <w:p>
            <w:pPr>
              <w:spacing w:after="0" w:line="264" w:lineRule="auto"/>
              <w:ind w:firstLine="0"/>
              <w:jc w:val="left"/>
            </w:pPr>
            <w:r>
              <w:rPr>
                <w:b w:val="0"/>
                <w:sz w:val="19"/>
              </w:rPr>
              <w:t>判断单对象共同决策相对分步决策的作用</w:t>
            </w:r>
          </w:p>
        </w:tc>
      </w:tr>
      <w:tr>
        <w:trPr>
          <w:cantSplit/>
        </w:trPr>
        <w:tc>
          <w:tcPr>
            <w:tcW w:type="dxa" w:w="1757"/>
            <w:vAlign w:val="center"/>
            <w:tcMar>
              <w:top w:w="50" w:type="dxa"/>
              <w:bottom w:w="50" w:type="dxa"/>
              <w:left w:w="80" w:type="dxa"/>
              <w:right w:w="80" w:type="dxa"/>
            </w:tcMar>
          </w:tcPr>
          <w:p>
            <w:pPr>
              <w:spacing w:after="0" w:line="264" w:lineRule="auto"/>
              <w:ind w:firstLine="0"/>
              <w:jc w:val="left"/>
            </w:pPr>
            <w:r>
              <w:rPr>
                <w:b w:val="0"/>
                <w:sz w:val="19"/>
              </w:rPr>
              <w:t>主要6 等预算替代</w:t>
            </w:r>
          </w:p>
        </w:tc>
        <w:tc>
          <w:tcPr>
            <w:tcW w:type="dxa" w:w="3666"/>
            <w:vAlign w:val="center"/>
            <w:tcMar>
              <w:top w:w="50" w:type="dxa"/>
              <w:bottom w:w="50" w:type="dxa"/>
              <w:left w:w="80" w:type="dxa"/>
              <w:right w:w="80" w:type="dxa"/>
            </w:tcMar>
          </w:tcPr>
          <w:p>
            <w:pPr>
              <w:spacing w:after="0" w:line="264" w:lineRule="auto"/>
              <w:ind w:firstLine="0"/>
              <w:jc w:val="left"/>
            </w:pPr>
            <w:r>
              <w:rPr>
                <w:b w:val="0"/>
                <w:sz w:val="19"/>
              </w:rPr>
              <w:t>T1/I1 对 Regenerate</w:t>
            </w:r>
          </w:p>
        </w:tc>
        <w:tc>
          <w:tcPr>
            <w:tcW w:type="dxa" w:w="4124"/>
            <w:vAlign w:val="center"/>
            <w:tcMar>
              <w:top w:w="50" w:type="dxa"/>
              <w:bottom w:w="50" w:type="dxa"/>
              <w:left w:w="80" w:type="dxa"/>
              <w:right w:w="80" w:type="dxa"/>
            </w:tcMar>
          </w:tcPr>
          <w:p>
            <w:pPr>
              <w:spacing w:after="0" w:line="264" w:lineRule="auto"/>
              <w:ind w:firstLine="0"/>
              <w:jc w:val="left"/>
            </w:pPr>
            <w:r>
              <w:rPr>
                <w:b w:val="0"/>
                <w:sz w:val="19"/>
              </w:rPr>
              <w:t>判断相同追加调用与token上限下的差异，CPU成本另列</w:t>
            </w:r>
          </w:p>
        </w:tc>
      </w:tr>
      <w:tr>
        <w:trPr>
          <w:cantSplit/>
        </w:trPr>
        <w:tc>
          <w:tcPr>
            <w:tcW w:type="dxa" w:w="1757"/>
            <w:vAlign w:val="center"/>
            <w:tcMar>
              <w:top w:w="50" w:type="dxa"/>
              <w:bottom w:w="50" w:type="dxa"/>
              <w:left w:w="80" w:type="dxa"/>
              <w:right w:w="80" w:type="dxa"/>
            </w:tcMar>
          </w:tcPr>
          <w:p>
            <w:pPr>
              <w:spacing w:after="0" w:line="264" w:lineRule="auto"/>
              <w:ind w:firstLine="0"/>
              <w:jc w:val="left"/>
            </w:pPr>
            <w:r>
              <w:rPr>
                <w:b w:val="0"/>
                <w:sz w:val="19"/>
              </w:rPr>
              <w:t>主要7 开发风险限制</w:t>
            </w:r>
          </w:p>
        </w:tc>
        <w:tc>
          <w:tcPr>
            <w:tcW w:type="dxa" w:w="3666"/>
            <w:vAlign w:val="center"/>
            <w:tcMar>
              <w:top w:w="50" w:type="dxa"/>
              <w:bottom w:w="50" w:type="dxa"/>
              <w:left w:w="80" w:type="dxa"/>
              <w:right w:w="80" w:type="dxa"/>
            </w:tcMar>
          </w:tcPr>
          <w:p>
            <w:pPr>
              <w:spacing w:after="0" w:line="264" w:lineRule="auto"/>
              <w:ind w:firstLine="0"/>
              <w:jc w:val="left"/>
            </w:pPr>
            <w:r>
              <w:rPr>
                <w:b w:val="0"/>
                <w:sz w:val="19"/>
              </w:rPr>
              <w:t>T1/I1 对 NoRisk</w:t>
            </w:r>
          </w:p>
        </w:tc>
        <w:tc>
          <w:tcPr>
            <w:tcW w:type="dxa" w:w="4124"/>
            <w:vAlign w:val="center"/>
            <w:tcMar>
              <w:top w:w="50" w:type="dxa"/>
              <w:bottom w:w="50" w:type="dxa"/>
              <w:left w:w="80" w:type="dxa"/>
              <w:right w:w="80" w:type="dxa"/>
            </w:tcMar>
          </w:tcPr>
          <w:p>
            <w:pPr>
              <w:spacing w:after="0" w:line="264" w:lineRule="auto"/>
              <w:ind w:firstLine="0"/>
              <w:jc w:val="left"/>
            </w:pPr>
            <w:r>
              <w:rPr>
                <w:b w:val="0"/>
                <w:sz w:val="19"/>
              </w:rPr>
              <w:t>判断限制是否值得保留，开发保留率不保证测试安全</w:t>
            </w:r>
          </w:p>
        </w:tc>
      </w:tr>
      <w:tr>
        <w:trPr>
          <w:cantSplit/>
        </w:trPr>
        <w:tc>
          <w:tcPr>
            <w:tcW w:type="dxa" w:w="1757"/>
            <w:vAlign w:val="center"/>
            <w:tcMar>
              <w:top w:w="50" w:type="dxa"/>
              <w:bottom w:w="50" w:type="dxa"/>
              <w:left w:w="80" w:type="dxa"/>
              <w:right w:w="80" w:type="dxa"/>
            </w:tcMar>
          </w:tcPr>
          <w:p>
            <w:pPr>
              <w:spacing w:after="0" w:line="264" w:lineRule="auto"/>
              <w:ind w:firstLine="0"/>
              <w:jc w:val="left"/>
            </w:pPr>
            <w:r>
              <w:rPr>
                <w:b w:val="0"/>
                <w:sz w:val="19"/>
              </w:rPr>
              <w:t>探索 数据构造</w:t>
            </w:r>
          </w:p>
        </w:tc>
        <w:tc>
          <w:tcPr>
            <w:tcW w:type="dxa" w:w="3666"/>
            <w:vAlign w:val="center"/>
            <w:tcMar>
              <w:top w:w="50" w:type="dxa"/>
              <w:bottom w:w="50" w:type="dxa"/>
              <w:left w:w="80" w:type="dxa"/>
              <w:right w:w="80" w:type="dxa"/>
            </w:tcMar>
          </w:tcPr>
          <w:p>
            <w:pPr>
              <w:spacing w:after="0" w:line="264" w:lineRule="auto"/>
              <w:ind w:firstLine="0"/>
              <w:jc w:val="left"/>
            </w:pPr>
            <w:r>
              <w:rPr>
                <w:b w:val="0"/>
                <w:sz w:val="19"/>
              </w:rPr>
              <w:t>可靠对应构造 对 QOS式适配；同规模、同辅助头、无成对项</w:t>
            </w:r>
          </w:p>
        </w:tc>
        <w:tc>
          <w:tcPr>
            <w:tcW w:type="dxa" w:w="4124"/>
            <w:vAlign w:val="center"/>
            <w:tcMar>
              <w:top w:w="50" w:type="dxa"/>
              <w:bottom w:w="50" w:type="dxa"/>
              <w:left w:w="80" w:type="dxa"/>
              <w:right w:w="80" w:type="dxa"/>
            </w:tcMar>
          </w:tcPr>
          <w:p>
            <w:pPr>
              <w:spacing w:after="0" w:line="264" w:lineRule="auto"/>
              <w:ind w:firstLine="0"/>
              <w:jc w:val="left"/>
            </w:pPr>
            <w:r>
              <w:rPr>
                <w:b w:val="0"/>
                <w:sz w:val="19"/>
              </w:rPr>
              <w:t>区分数据构造和学习目标的作用</w:t>
            </w:r>
          </w:p>
        </w:tc>
      </w:tr>
      <w:tr>
        <w:trPr>
          <w:cantSplit/>
        </w:trPr>
        <w:tc>
          <w:tcPr>
            <w:tcW w:type="dxa" w:w="1757"/>
            <w:vAlign w:val="center"/>
            <w:tcMar>
              <w:top w:w="50" w:type="dxa"/>
              <w:bottom w:w="50" w:type="dxa"/>
              <w:left w:w="80" w:type="dxa"/>
              <w:right w:w="80" w:type="dxa"/>
            </w:tcMar>
          </w:tcPr>
          <w:p>
            <w:pPr>
              <w:spacing w:after="0" w:line="264" w:lineRule="auto"/>
              <w:ind w:firstLine="0"/>
              <w:jc w:val="left"/>
            </w:pPr>
            <w:r>
              <w:rPr>
                <w:b w:val="0"/>
                <w:sz w:val="19"/>
              </w:rPr>
              <w:t>探索 动作与求解</w:t>
            </w:r>
          </w:p>
        </w:tc>
        <w:tc>
          <w:tcPr>
            <w:tcW w:type="dxa" w:w="3666"/>
            <w:vAlign w:val="center"/>
            <w:tcMar>
              <w:top w:w="50" w:type="dxa"/>
              <w:bottom w:w="50" w:type="dxa"/>
              <w:left w:w="80" w:type="dxa"/>
              <w:right w:w="80" w:type="dxa"/>
            </w:tcMar>
          </w:tcPr>
          <w:p>
            <w:pPr>
              <w:spacing w:after="0" w:line="264" w:lineRule="auto"/>
              <w:ind w:firstLine="0"/>
              <w:jc w:val="left"/>
            </w:pPr>
            <w:r>
              <w:rPr>
                <w:b w:val="0"/>
                <w:sz w:val="19"/>
              </w:rPr>
              <w:t>Single、SetLocal与同目标Global；核对可行域和预算</w:t>
            </w:r>
          </w:p>
        </w:tc>
        <w:tc>
          <w:tcPr>
            <w:tcW w:type="dxa" w:w="4124"/>
            <w:vAlign w:val="center"/>
            <w:tcMar>
              <w:top w:w="50" w:type="dxa"/>
              <w:bottom w:w="50" w:type="dxa"/>
              <w:left w:w="80" w:type="dxa"/>
              <w:right w:w="80" w:type="dxa"/>
            </w:tcMar>
          </w:tcPr>
          <w:p>
            <w:pPr>
              <w:spacing w:after="0" w:line="264" w:lineRule="auto"/>
              <w:ind w:firstLine="0"/>
              <w:jc w:val="left"/>
            </w:pPr>
            <w:r>
              <w:rPr>
                <w:b w:val="0"/>
                <w:sz w:val="19"/>
              </w:rPr>
              <w:t>分别分析动作粒度及搜索，不能将差异全部归于效率</w:t>
            </w:r>
          </w:p>
        </w:tc>
      </w:tr>
      <w:tr>
        <w:trPr>
          <w:cantSplit/>
        </w:trPr>
        <w:tc>
          <w:tcPr>
            <w:tcW w:type="dxa" w:w="1757"/>
            <w:vAlign w:val="center"/>
            <w:tcMar>
              <w:top w:w="50" w:type="dxa"/>
              <w:bottom w:w="50" w:type="dxa"/>
              <w:left w:w="80" w:type="dxa"/>
              <w:right w:w="80" w:type="dxa"/>
            </w:tcMar>
          </w:tcPr>
          <w:p>
            <w:pPr>
              <w:spacing w:after="0" w:line="264" w:lineRule="auto"/>
              <w:ind w:firstLine="0"/>
              <w:jc w:val="left"/>
            </w:pPr>
            <w:r>
              <w:rPr>
                <w:b w:val="0"/>
                <w:sz w:val="19"/>
              </w:rPr>
              <w:t>探索 审核与评分</w:t>
            </w:r>
          </w:p>
        </w:tc>
        <w:tc>
          <w:tcPr>
            <w:tcW w:type="dxa" w:w="3666"/>
            <w:vAlign w:val="center"/>
            <w:tcMar>
              <w:top w:w="50" w:type="dxa"/>
              <w:bottom w:w="50" w:type="dxa"/>
              <w:left w:w="80" w:type="dxa"/>
              <w:right w:w="80" w:type="dxa"/>
            </w:tcMar>
          </w:tcPr>
          <w:p>
            <w:pPr>
              <w:spacing w:after="0" w:line="264" w:lineRule="auto"/>
              <w:ind w:firstLine="0"/>
              <w:jc w:val="left"/>
            </w:pPr>
            <w:r>
              <w:rPr>
                <w:b w:val="0"/>
                <w:sz w:val="19"/>
              </w:rPr>
              <w:t>按使用单位分层审核；分开报告评分质量、逐次接受与终态变化</w:t>
            </w:r>
          </w:p>
        </w:tc>
        <w:tc>
          <w:tcPr>
            <w:tcW w:type="dxa" w:w="4124"/>
            <w:vAlign w:val="center"/>
            <w:tcMar>
              <w:top w:w="50" w:type="dxa"/>
              <w:bottom w:w="50" w:type="dxa"/>
              <w:left w:w="80" w:type="dxa"/>
              <w:right w:w="80" w:type="dxa"/>
            </w:tcMar>
          </w:tcPr>
          <w:p>
            <w:pPr>
              <w:spacing w:after="0" w:line="264" w:lineRule="auto"/>
              <w:ind w:firstLine="0"/>
              <w:jc w:val="left"/>
            </w:pPr>
            <w:r>
              <w:rPr>
                <w:b w:val="0"/>
                <w:sz w:val="19"/>
              </w:rPr>
              <w:t>组件审核不代表关系审核，净变化不代表逐次过程风险</w:t>
            </w:r>
          </w:p>
        </w:tc>
      </w:tr>
    </w:tbl>
    <w:p>
      <w:pPr/>
      <w:r>
        <w:t>前7项各在AAEC和CDCP评价，构成14项主要比较。其余保持探索性身份。这张表承接原绪论中研究问题与比较责任的详细说明；第一章保留概括性表述，并在2.5节统一说明主要比较族。</w:t>
      </w:r>
    </w:p>
    <w:p>
      <w:pPr>
        <w:pStyle w:val="Heading1"/>
      </w:pPr>
      <w:r>
        <w:t>S2.5 统计结果复算材料</w:t>
      </w:r>
    </w:p>
    <w:p>
      <w:pPr/>
      <w:r>
        <w:t>逐文档计数的主键为dataset、document_id、seed、method、object_family；source_group用于关联重复文本或同源组。计数均为非负整数，相同任务下各方法的TP+FN必须一致。失败文档保留一行，并按空预测记录TP=FP=0及对应FN。</w:t>
      </w:r>
    </w:p>
    <w:p>
      <w:pPr/>
      <w:r>
        <w:t>复算包还应包括比较族清单、共同抽样索引、重采样次数、随机数生成器及种子、代码版本和输入文件摘要。固定相同输入与抽样索引后，应得到相同的逐次差值、区间、原始p和Holm校正p。</w:t>
      </w:r>
    </w:p>
    <w:p>
      <w:pPr/>
      <w:r>
        <w:t>随本章提供的统计脚本与教学输入用于验证计数、配对与重采样接口。教学输入使用DEMO标识，不参与论文主结果。原稿主结果尚缺少完整的文档×种子×方法计数输入，因此本轮不声称已经复现表3-4、表4-4或表5-3中的统计分布。</w:t>
      </w:r>
    </w:p>
    <w:sectPr w:rsidR="00FC693F" w:rsidRPr="0006063C" w:rsidSect="00034616">
      <w:headerReference w:type="default" r:id="rId9"/>
      <w:footerReference w:type="default" r:id="rId10"/>
      <w:pgSz w:w="11909" w:h="16834"/>
      <w:pgMar w:top="1181" w:right="1181" w:bottom="1123" w:left="1181" w:header="504" w:footer="504"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第二章审阅版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test稿件  第二章审阅版  沿用原稿模拟说明</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20"/>
      <w:ind w:firstLine="420"/>
    </w:pPr>
    <w:rPr>
      <w:rFonts w:ascii="Arial Unicode MS" w:hAnsi="Arial Unicode MS" w:eastAsia="Arial Unicode M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Unicode MS" w:hAnsi="Arial Unicode MS" w:eastAsia="Arial Unicode MS"/>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Unicode MS" w:hAnsi="Arial Unicode MS" w:eastAsia="Arial Unicode MS"/>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ind w:firstLine="0"/>
      <w:outlineLvl w:val="0"/>
    </w:pPr>
    <w:rPr>
      <w:rFonts w:asciiTheme="majorHAnsi" w:eastAsiaTheme="majorEastAsia" w:hAnsiTheme="majorHAnsi" w:cstheme="majorBidi" w:ascii="Arial Unicode MS" w:hAnsi="Arial Unicode MS" w:eastAsia="Arial Unicode MS"/>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20"/>
      <w:ind w:firstLine="0"/>
      <w:outlineLvl w:val="1"/>
    </w:pPr>
    <w:rPr>
      <w:rFonts w:asciiTheme="majorHAnsi" w:eastAsiaTheme="majorEastAsia" w:hAnsiTheme="majorHAnsi" w:cstheme="majorBidi" w:ascii="Arial Unicode MS" w:hAnsi="Arial Unicode MS" w:eastAsia="Arial Unicode MS"/>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Unicode MS" w:hAnsi="Arial Unicode MS" w:eastAsia="Arial Unicode MS"/>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Unicode MS" w:hAnsi="Arial Unicode MS" w:eastAsia="Arial Unicode MS"/>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Unicode MS" w:hAnsi="Arial Unicode MS" w:eastAsia="Arial Unicode MS"/>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Unicode MS" w:hAnsi="Arial Unicode MS" w:eastAsia="Arial Unicode MS"/>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Unicode MS" w:hAnsi="Arial Unicode MS" w:eastAsia="Arial Unicode MS"/>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Unicode MS" w:hAnsi="Arial Unicode MS" w:eastAsia="Arial Unicode MS"/>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Unicode MS" w:hAnsi="Arial Unicode MS" w:eastAsia="Arial Unicode MS"/>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Unicode MS" w:hAnsi="Arial Unicode MS" w:eastAsia="Arial Unicode MS"/>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200"/>
      <w:ind w:firstLine="0"/>
      <w:contextualSpacing/>
    </w:pPr>
    <w:rPr>
      <w:rFonts w:asciiTheme="majorHAnsi" w:eastAsiaTheme="majorEastAsia" w:hAnsiTheme="majorHAnsi" w:cstheme="majorBidi" w:ascii="Arial Unicode MS" w:hAnsi="Arial Unicode MS" w:eastAsia="Arial Unicode MS"/>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Unicode MS" w:hAnsi="Arial Unicode MS" w:eastAsia="Arial Unicode M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Unicode MS" w:hAnsi="Arial Unicode MS" w:eastAsia="Arial Unicode MS"/>
      <w:color w:val="000000"/>
    </w:rPr>
  </w:style>
  <w:style w:type="paragraph" w:styleId="BodyText">
    <w:name w:val="Body Text"/>
    <w:basedOn w:val="Normal"/>
    <w:link w:val="BodyTextChar"/>
    <w:uiPriority w:val="99"/>
    <w:unhideWhenUsed/>
    <w:rsid w:val="00AA1D8D"/>
    <w:pPr>
      <w:spacing w:after="120"/>
    </w:pPr>
    <w:rPr>
      <w:rFonts w:ascii="Arial Unicode MS" w:hAnsi="Arial Unicode MS" w:eastAsia="Arial Unicode MS"/>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Arial Unicode MS" w:hAnsi="Arial Unicode MS" w:eastAsia="Arial Unicode MS"/>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Arial Unicode MS" w:hAnsi="Arial Unicode MS" w:eastAsia="Arial Unicode MS"/>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Arial Unicode MS" w:hAnsi="Arial Unicode MS" w:eastAsia="Arial Unicode MS"/>
      <w:color w:val="000000"/>
    </w:rPr>
  </w:style>
  <w:style w:type="paragraph" w:styleId="List2">
    <w:name w:val="List 2"/>
    <w:basedOn w:val="Normal"/>
    <w:uiPriority w:val="99"/>
    <w:unhideWhenUsed/>
    <w:rsid w:val="00326F90"/>
    <w:pPr>
      <w:ind w:left="720" w:hanging="360"/>
      <w:contextualSpacing/>
    </w:pPr>
    <w:rPr>
      <w:rFonts w:ascii="Arial Unicode MS" w:hAnsi="Arial Unicode MS" w:eastAsia="Arial Unicode MS"/>
      <w:color w:val="000000"/>
    </w:rPr>
  </w:style>
  <w:style w:type="paragraph" w:styleId="List3">
    <w:name w:val="List 3"/>
    <w:basedOn w:val="Normal"/>
    <w:uiPriority w:val="99"/>
    <w:unhideWhenUsed/>
    <w:rsid w:val="00326F90"/>
    <w:pPr>
      <w:ind w:left="1080" w:hanging="360"/>
      <w:contextualSpacing/>
    </w:pPr>
    <w:rPr>
      <w:rFonts w:ascii="Arial Unicode MS" w:hAnsi="Arial Unicode MS" w:eastAsia="Arial Unicode MS"/>
      <w:color w:val="000000"/>
    </w:rPr>
  </w:style>
  <w:style w:type="paragraph" w:styleId="ListBullet">
    <w:name w:val="List Bullet"/>
    <w:basedOn w:val="Normal"/>
    <w:uiPriority w:val="99"/>
    <w:unhideWhenUsed/>
    <w:rsid w:val="00326F90"/>
    <w:pPr>
      <w:numPr>
        <w:numId w:val="1"/>
      </w:numPr>
      <w:contextualSpacing/>
    </w:pPr>
    <w:rPr>
      <w:rFonts w:ascii="Arial Unicode MS" w:hAnsi="Arial Unicode MS" w:eastAsia="Arial Unicode MS"/>
      <w:color w:val="000000"/>
    </w:rPr>
  </w:style>
  <w:style w:type="paragraph" w:styleId="ListBullet2">
    <w:name w:val="List Bullet 2"/>
    <w:basedOn w:val="Normal"/>
    <w:uiPriority w:val="99"/>
    <w:unhideWhenUsed/>
    <w:rsid w:val="00326F90"/>
    <w:pPr>
      <w:numPr>
        <w:numId w:val="2"/>
      </w:numPr>
      <w:contextualSpacing/>
    </w:pPr>
    <w:rPr>
      <w:rFonts w:ascii="Arial Unicode MS" w:hAnsi="Arial Unicode MS" w:eastAsia="Arial Unicode MS"/>
      <w:color w:val="000000"/>
    </w:rPr>
  </w:style>
  <w:style w:type="paragraph" w:styleId="ListBullet3">
    <w:name w:val="List Bullet 3"/>
    <w:basedOn w:val="Normal"/>
    <w:uiPriority w:val="99"/>
    <w:unhideWhenUsed/>
    <w:rsid w:val="00326F90"/>
    <w:pPr>
      <w:numPr>
        <w:numId w:val="3"/>
      </w:numPr>
      <w:contextualSpacing/>
    </w:pPr>
    <w:rPr>
      <w:rFonts w:ascii="Arial Unicode MS" w:hAnsi="Arial Unicode MS" w:eastAsia="Arial Unicode MS"/>
      <w:color w:val="000000"/>
    </w:rPr>
  </w:style>
  <w:style w:type="paragraph" w:styleId="ListNumber">
    <w:name w:val="List Number"/>
    <w:basedOn w:val="Normal"/>
    <w:uiPriority w:val="99"/>
    <w:unhideWhenUsed/>
    <w:rsid w:val="00326F90"/>
    <w:pPr>
      <w:numPr>
        <w:numId w:val="5"/>
      </w:numPr>
      <w:contextualSpacing/>
    </w:pPr>
    <w:rPr>
      <w:rFonts w:ascii="Arial Unicode MS" w:hAnsi="Arial Unicode MS" w:eastAsia="Arial Unicode MS"/>
      <w:color w:val="000000"/>
    </w:rPr>
  </w:style>
  <w:style w:type="paragraph" w:styleId="ListNumber2">
    <w:name w:val="List Number 2"/>
    <w:basedOn w:val="Normal"/>
    <w:uiPriority w:val="99"/>
    <w:unhideWhenUsed/>
    <w:rsid w:val="0029639D"/>
    <w:pPr>
      <w:numPr>
        <w:numId w:val="6"/>
      </w:numPr>
      <w:contextualSpacing/>
    </w:pPr>
    <w:rPr>
      <w:rFonts w:ascii="Arial Unicode MS" w:hAnsi="Arial Unicode MS" w:eastAsia="Arial Unicode MS"/>
      <w:color w:val="000000"/>
    </w:rPr>
  </w:style>
  <w:style w:type="paragraph" w:styleId="ListNumber3">
    <w:name w:val="List Number 3"/>
    <w:basedOn w:val="Normal"/>
    <w:uiPriority w:val="99"/>
    <w:unhideWhenUsed/>
    <w:rsid w:val="0029639D"/>
    <w:pPr>
      <w:numPr>
        <w:numId w:val="7"/>
      </w:numPr>
      <w:contextualSpacing/>
    </w:pPr>
    <w:rPr>
      <w:rFonts w:ascii="Arial Unicode MS" w:hAnsi="Arial Unicode MS" w:eastAsia="Arial Unicode MS"/>
      <w:color w:val="000000"/>
    </w:rPr>
  </w:style>
  <w:style w:type="paragraph" w:styleId="ListContinue">
    <w:name w:val="List Continue"/>
    <w:basedOn w:val="Normal"/>
    <w:uiPriority w:val="99"/>
    <w:unhideWhenUsed/>
    <w:rsid w:val="0029639D"/>
    <w:pPr>
      <w:spacing w:after="120"/>
      <w:ind w:left="360"/>
      <w:contextualSpacing/>
    </w:pPr>
    <w:rPr>
      <w:rFonts w:ascii="Arial Unicode MS" w:hAnsi="Arial Unicode MS" w:eastAsia="Arial Unicode MS"/>
      <w:color w:val="000000"/>
    </w:rPr>
  </w:style>
  <w:style w:type="paragraph" w:styleId="ListContinue2">
    <w:name w:val="List Continue 2"/>
    <w:basedOn w:val="Normal"/>
    <w:uiPriority w:val="99"/>
    <w:unhideWhenUsed/>
    <w:rsid w:val="0029639D"/>
    <w:pPr>
      <w:spacing w:after="120"/>
      <w:ind w:left="720"/>
      <w:contextualSpacing/>
    </w:pPr>
    <w:rPr>
      <w:rFonts w:ascii="Arial Unicode MS" w:hAnsi="Arial Unicode MS" w:eastAsia="Arial Unicode MS"/>
      <w:color w:val="000000"/>
    </w:rPr>
  </w:style>
  <w:style w:type="paragraph" w:styleId="ListContinue3">
    <w:name w:val="List Continue 3"/>
    <w:basedOn w:val="Normal"/>
    <w:uiPriority w:val="99"/>
    <w:unhideWhenUsed/>
    <w:rsid w:val="0029639D"/>
    <w:pPr>
      <w:spacing w:after="120"/>
      <w:ind w:left="1080"/>
      <w:contextualSpacing/>
    </w:pPr>
    <w:rPr>
      <w:rFonts w:ascii="Arial Unicode MS" w:hAnsi="Arial Unicode MS" w:eastAsia="Arial Unicode MS"/>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Unicode MS" w:hAnsi="Arial Unicode MS" w:eastAsia="Arial Unicode MS"/>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Arial Unicode MS" w:hAnsi="Arial Unicode MS" w:eastAsia="Arial Unicode MS"/>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Unicode MS" w:hAnsi="Arial Unicode MS" w:eastAsia="Arial Unicode MS"/>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Arial Unicode MS" w:hAnsi="Arial Unicode MS" w:eastAsia="Arial Unicode MS"/>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Arial Unicode MS" w:hAnsi="Arial Unicode MS" w:eastAsia="Arial Unicode MS"/>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