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第三章 关系影响域约束的增强与成对学习</w:t>
      </w:r>
    </w:p>
    <w:p>
      <w:pPr>
        <w:pStyle w:val="Heading1"/>
      </w:pPr>
      <w:r>
        <w:t>3.1 引言</w:t>
      </w:r>
    </w:p>
    <w:p>
      <w:pPr/>
      <w:r>
        <w:t>在端到端论辩挖掘中，组件文字既承载自身的论辩角色，也为与其他组件之间的关系提供依据。因此，局部改写即使保持句意相近，也可能改变支持方向、削弱跨边界理由，或使原本没有标注关系的因素获得新的解释。若直接将全部旧标签复制到增强文本，增加的样本可能同时引入错误监督。</w:t>
      </w:r>
    </w:p>
    <w:p>
      <w:pPr/>
      <w:r>
        <w:t>本章研究在组件位置变化和关系语义不确定的条件下，如何构造可追踪的增强视图，并将其中通过检查的监督用于训练。方法首先定义改写的关系影响域，在字符坐标上迁移全部组件；随后分别审核组件与关系，对变化、待定及未审核的因素设置掩码；最后在固定视图和掩码上比较无成对、组件成对与完整成对学习。</w:t>
      </w:r>
    </w:p>
    <w:p>
      <w:pPr/>
      <w:r>
        <w:t>本章依次介绍总体框架、增强构造、学习目标及算法性质，再通过受控比较讨论整套训练配置、成对目标和审核成本。需要区分两项判断：可靠因素接口明确了哪些标签参与学习；成对项是否带来独立收益，仍须由固定数据条件下的比较回答。</w:t>
      </w:r>
    </w:p>
    <w:p>
      <w:pPr/>
      <w:r>
        <w:t>本章沿用test稿件的模拟评审用途。主结果、审核统计与成本数值为原稿的模拟材料；新增的完整增强示例为明确标注的教学构造，均不能代替目标模型的真实运行证据。表3-1单独保留真实语料的原文与标注身份。</w:t>
      </w:r>
    </w:p>
    <w:p>
      <w:pPr>
        <w:pStyle w:val="Heading1"/>
      </w:pPr>
      <w:r>
        <w:t>3.2 总体框架与基础模型</w:t>
      </w:r>
    </w:p>
    <w:p>
      <w:pPr/>
      <w:r>
        <w:t>整体框架包括增强构造与参数学习两部分。构造阶段读取训练文档和原生标注，输出新全文、全部组件的对应φ以及可靠因素掩码；学习阶段保留原文完整生成监督，并在增强侧只学习通过检查的因素。图3-2展示二者进入共享生成器后的连接。类型条件LoRA、线索提示和句子监督构成继承基础，本章新增部分是关系影响域约束、可靠监督接口及受控的成对学习目标。</w:t>
      </w:r>
    </w:p>
    <w:p>
      <w:pPr>
        <w:pStyle w:val="Heading2"/>
      </w:pPr>
      <w:r>
        <w:t>3.2.1 类型条件低秩适配</w:t>
      </w:r>
    </w:p>
    <w:p>
      <w:pPr>
        <w:pStyle w:val="Normal"/>
      </w:pPr>
      <w:r>
        <w:t xml:space="preserve">本节说明继承的专项建模与新增学习目标的接口。参考骨干为 Qwen2.5-7B-Instruct，冻结基础权重，在注意力投影中保留全局和结论专项低秩分支；LoRA 参数化沿用已有方法[32]。对于</w:t>
      </w:r>
      <w:r>
        <w:t xml:space="preserve"> </w:t>
      </w:r>
      <m:oMath>
        <m:sSub>
          <m:e>
            <m:r>
              <m:t>W</m:t>
            </m:r>
          </m:e>
          <m:sub>
            <m:r>
              <m:t>0</m:t>
            </m:r>
          </m:sub>
        </m:sSub>
        <m:r>
          <m:rPr>
            <m:sty m:val="p"/>
          </m:rPr>
          <m:t>∈</m:t>
        </m:r>
        <m:sSup>
          <m:e>
            <m:r>
              <m:rPr>
                <m:sty m:val="p"/>
                <m:scr m:val="double-struck"/>
              </m:rPr>
              <m:t>R</m:t>
            </m:r>
          </m:e>
          <m:sup>
            <m:sSub>
              <m:e>
                <m:r>
                  <m:t>d</m:t>
                </m:r>
              </m:e>
              <m:sub>
                <m:r>
                  <m:t>o</m:t>
                </m:r>
                <m:r>
                  <m:t>u</m:t>
                </m:r>
                <m:r>
                  <m:t>t</m:t>
                </m:r>
              </m:sub>
            </m:sSub>
            <m:r>
              <m:rPr>
                <m:sty m:val="p"/>
              </m:rPr>
              <m:t>×</m:t>
            </m:r>
            <m:sSub>
              <m:e>
                <m:r>
                  <m:t>d</m:t>
                </m:r>
              </m:e>
              <m:sub>
                <m:r>
                  <m:t>i</m:t>
                </m:r>
                <m:r>
                  <m:t>n</m:t>
                </m:r>
              </m:sub>
            </m:sSub>
          </m:sup>
        </m:sSup>
      </m:oMath>
      <w:r>
        <w:t xml:space="preserve">，定义</w:t>
      </w:r>
    </w:p>
    <w:p>
      <w:pPr>
        <w:pStyle w:val="Normal"/>
        <w:ind w:firstLine="0"/>
        <w:jc w:val="center"/>
      </w:pPr>
      <m:oMathPara>
        <m:oMathParaPr>
          <m:jc m:val="center"/>
        </m:oMathParaPr>
        <m:oMath>
          <m:r>
            <m:t>h</m:t>
          </m:r>
          <m:sSub>
            <m:e>
              <m:r>
                <m:rPr>
                  <m:sty m:val="p"/>
                </m:rPr>
                <m:t>′</m:t>
              </m:r>
            </m:e>
            <m:sub>
              <m:r>
                <m:t>t</m:t>
              </m:r>
            </m:sub>
          </m:sSub>
          <m:r>
            <m:rPr>
              <m:sty m:val="p"/>
            </m:rPr>
            <m:t>=</m:t>
          </m:r>
          <m:sSub>
            <m:e>
              <m:r>
                <m:t>W</m:t>
              </m:r>
            </m:e>
            <m:sub>
              <m:r>
                <m:t>0</m:t>
              </m:r>
            </m:sub>
          </m:sSub>
          <m:sSub>
            <m:e>
              <m:r>
                <m:t>h</m:t>
              </m:r>
            </m:e>
            <m:sub>
              <m:r>
                <m:t>t</m:t>
              </m:r>
            </m:sub>
          </m:sSub>
          <m:r>
            <m:rPr>
              <m:sty m:val="p"/>
            </m:rPr>
            <m:t>+</m:t>
          </m:r>
          <m:f>
            <m:fPr>
              <m:type m:val="bar"/>
            </m:fPr>
            <m:num>
              <m:r>
                <m:t>α</m:t>
              </m:r>
            </m:num>
            <m:den>
              <m:r>
                <m:t>r</m:t>
              </m:r>
            </m:den>
          </m:f>
          <m:sSub>
            <m:e>
              <m:r>
                <m:t>B</m:t>
              </m:r>
            </m:e>
            <m:sub>
              <m:r>
                <m:t>g</m:t>
              </m:r>
            </m:sub>
          </m:sSub>
          <m:sSub>
            <m:e>
              <m:r>
                <m:t>A</m:t>
              </m:r>
            </m:e>
            <m:sub>
              <m:r>
                <m:t>g</m:t>
              </m:r>
            </m:sub>
          </m:sSub>
          <m:sSub>
            <m:e>
              <m:r>
                <m:t>h</m:t>
              </m:r>
            </m:e>
            <m:sub>
              <m:r>
                <m:t>t</m:t>
              </m:r>
            </m:sub>
          </m:sSub>
          <m:r>
            <m:rPr>
              <m:sty m:val="p"/>
            </m:rPr>
            <m:t>+</m:t>
          </m:r>
          <m:sSub>
            <m:e>
              <m:r>
                <m:t>g</m:t>
              </m:r>
            </m:e>
            <m:sub>
              <m:r>
                <m:t>t</m:t>
              </m:r>
            </m:sub>
          </m:sSub>
          <m:f>
            <m:fPr>
              <m:type m:val="bar"/>
            </m:fPr>
            <m:num>
              <m:r>
                <m:t>α</m:t>
              </m:r>
            </m:num>
            <m:den>
              <m:r>
                <m:t>r</m:t>
              </m:r>
            </m:den>
          </m:f>
          <m:sSub>
            <m:e>
              <m:r>
                <m:t>B</m:t>
              </m:r>
            </m:e>
            <m:sub>
              <m:r>
                <m:t>c</m:t>
              </m:r>
            </m:sub>
          </m:sSub>
          <m:sSub>
            <m:e>
              <m:r>
                <m:t>A</m:t>
              </m:r>
            </m:e>
            <m:sub>
              <m:r>
                <m:t>c</m:t>
              </m:r>
            </m:sub>
          </m:sSub>
          <m:sSub>
            <m:e>
              <m:r>
                <m:t>h</m:t>
              </m:r>
            </m:e>
            <m:sub>
              <m:r>
                <m:t>t</m:t>
              </m:r>
            </m:sub>
          </m:sSub>
          <m:r>
            <m:rPr>
              <m:sty m:val="p"/>
            </m:rPr>
            <m:t>,</m:t>
          </m:r>
          <m:r>
            <m:t>  </m:t>
          </m:r>
          <m:sSub>
            <m:e>
              <m:r>
                <m:t>A</m:t>
              </m:r>
            </m:e>
            <m:sub>
              <m:r>
                <m:rPr>
                  <m:sty m:val="p"/>
                </m:rPr>
                <m:t>⋅</m:t>
              </m:r>
            </m:sub>
          </m:sSub>
          <m:r>
            <m:rPr>
              <m:sty m:val="p"/>
            </m:rPr>
            <m:t>∈</m:t>
          </m:r>
          <m:sSup>
            <m:e>
              <m:r>
                <m:rPr>
                  <m:sty m:val="p"/>
                  <m:scr m:val="double-struck"/>
                </m:rPr>
                <m:t>R</m:t>
              </m:r>
            </m:e>
            <m:sup>
              <m:r>
                <m:t>r</m:t>
              </m:r>
              <m:r>
                <m:rPr>
                  <m:sty m:val="p"/>
                </m:rPr>
                <m:t>×</m:t>
              </m:r>
              <m:sSub>
                <m:e>
                  <m:r>
                    <m:t>d</m:t>
                  </m:r>
                </m:e>
                <m:sub>
                  <m:r>
                    <m:t>i</m:t>
                  </m:r>
                  <m:r>
                    <m:t>n</m:t>
                  </m:r>
                </m:sub>
              </m:sSub>
            </m:sup>
          </m:sSup>
          <m:r>
            <m:rPr>
              <m:sty m:val="p"/>
            </m:rPr>
            <m:t>,</m:t>
          </m:r>
          <m:r>
            <m:t> </m:t>
          </m:r>
          <m:sSub>
            <m:e>
              <m:r>
                <m:t>B</m:t>
              </m:r>
            </m:e>
            <m:sub>
              <m:r>
                <m:rPr>
                  <m:sty m:val="p"/>
                </m:rPr>
                <m:t>⋅</m:t>
              </m:r>
            </m:sub>
          </m:sSub>
          <m:r>
            <m:rPr>
              <m:sty m:val="p"/>
            </m:rPr>
            <m:t>∈</m:t>
          </m:r>
          <m:sSup>
            <m:e>
              <m:r>
                <m:rPr>
                  <m:sty m:val="p"/>
                  <m:scr m:val="double-struck"/>
                </m:rPr>
                <m:t>R</m:t>
              </m:r>
            </m:e>
            <m:sup>
              <m:sSub>
                <m:e>
                  <m:r>
                    <m:t>d</m:t>
                  </m:r>
                </m:e>
                <m:sub>
                  <m:r>
                    <m:t>o</m:t>
                  </m:r>
                  <m:r>
                    <m:t>u</m:t>
                  </m:r>
                  <m:r>
                    <m:t>t</m:t>
                  </m:r>
                </m:sub>
              </m:sSub>
              <m:r>
                <m:rPr>
                  <m:sty m:val="p"/>
                </m:rPr>
                <m:t>×</m:t>
              </m:r>
              <m:r>
                <m:t>r</m:t>
              </m:r>
            </m:sup>
          </m:sSup>
          <m:r>
            <m:rPr>
              <m:sty m:val="p"/>
            </m:rPr>
            <m:t>.</m:t>
          </m:r>
        </m:oMath>
      </m:oMathPara>
    </w:p>
    <w:p>
      <w:pPr>
        <w:pStyle w:val="Normal"/>
      </w:pPr>
      <w:r>
        <w:t xml:space="preserve">全局分支参与所有位置的计算，结论分支由</w:t>
      </w:r>
      <w:r>
        <w:t xml:space="preserve"> </w:t>
      </w:r>
      <m:oMath>
        <m:sSub>
          <m:e>
            <m:r>
              <m:t>g</m:t>
            </m:r>
          </m:e>
          <m:sub>
            <m:r>
              <m:t>t</m:t>
            </m:r>
          </m:sub>
        </m:sSub>
        <m:r>
          <m:rPr>
            <m:sty m:val="p"/>
          </m:rPr>
          <m:t>∈</m:t>
        </m:r>
        <m:r>
          <m:rPr>
            <m:sty m:val="p"/>
          </m:rPr>
          <m:t>{</m:t>
        </m:r>
        <m:r>
          <m:t>0</m:t>
        </m:r>
        <m:r>
          <m:rPr>
            <m:sty m:val="p"/>
          </m:rPr>
          <m:t>,</m:t>
        </m:r>
        <m:r>
          <m:t>1</m:t>
        </m:r>
        <m:r>
          <m:rPr>
            <m:sty m:val="p"/>
          </m:rPr>
          <m:t>}</m:t>
        </m:r>
      </m:oMath>
      <w:r>
        <w:t xml:space="preserve"> </w:t>
      </w:r>
      <w:r>
        <w:t xml:space="preserve">控制。字段按 id、type、span 排列；可见前缀中的结论类型值完整闭合后，门控在该组件的后续字段开启，并在组件结束时关闭。AAEC 和 CDCP 的触发类型分别为 Claim/MajorClaim 和 Policy/Value；输入、未闭合类型字段及关系区域均令</w:t>
      </w:r>
      <w:r>
        <w:t xml:space="preserve"> </w:t>
      </w:r>
      <m:oMath>
        <m:sSub>
          <m:e>
            <m:r>
              <m:t>g</m:t>
            </m:r>
          </m:e>
          <m:sub>
            <m:r>
              <m:t>t</m:t>
            </m:r>
          </m:sub>
        </m:sSub>
        <m:r>
          <m:rPr>
            <m:sty m:val="p"/>
          </m:rPr>
          <m:t>=</m:t>
        </m:r>
        <m:r>
          <m:t>0</m:t>
        </m:r>
      </m:oMath>
      <w:r>
        <w:t xml:space="preserve">。教师强制训练也仅使用可见前缀。</w:t>
      </w:r>
    </w:p>
    <w:p>
      <w:pPr>
        <w:pStyle w:val="Normal"/>
      </w:pPr>
      <w:r>
        <w:t xml:space="preserve">这一门控作用于类型确定后的跨度等字段，不回溯修改已输出类型。参考配置取</w:t>
      </w:r>
      <w:r>
        <w:t xml:space="preserve"> </w:t>
      </w:r>
      <m:oMath>
        <m:r>
          <m:t>r</m:t>
        </m:r>
        <m:r>
          <m:rPr>
            <m:sty m:val="p"/>
          </m:rPr>
          <m:t>=</m:t>
        </m:r>
        <m:r>
          <m:t>16</m:t>
        </m:r>
      </m:oMath>
      <w:r>
        <w:t xml:space="preserve">、</w:t>
      </w:r>
      <m:oMath>
        <m:r>
          <m:t>α</m:t>
        </m:r>
        <m:r>
          <m:rPr>
            <m:sty m:val="p"/>
          </m:rPr>
          <m:t>=</m:t>
        </m:r>
        <m:r>
          <m:t>32</m:t>
        </m:r>
      </m:oMath>
      <w:r>
        <w:t xml:space="preserve">，以单一全局 rank-32 分支作为参数量匹配对照；实际计算成本另行测量。</w:t>
      </w:r>
    </w:p>
    <w:p>
      <w:pPr>
        <w:pStyle w:val="Heading2"/>
      </w:pPr>
      <w:r>
        <w:t>3.2.2 线索提示与原有监督</w:t>
      </w:r>
    </w:p>
    <w:p>
      <w:pPr>
        <w:pStyle w:val="Normal"/>
      </w:pPr>
      <w:r>
        <w:t xml:space="preserve">连续提示沿用参数高效提示调优机制[33]。对 therefore、thus、in conclusion、consequently、hence、to conclude 作不区分大小写的词边界匹配；命中时在聊天模板输入嵌入之前插入四个向量</w:t>
      </w:r>
      <w:r>
        <w:t xml:space="preserve"> </w:t>
      </w:r>
      <m:oMath>
        <m:sSub>
          <m:e>
            <m:r>
              <m:t>P</m:t>
            </m:r>
          </m:e>
          <m:sub>
            <m:r>
              <m:t>i</m:t>
            </m:r>
          </m:sub>
        </m:sSub>
        <m:r>
          <m:rPr>
            <m:sty m:val="p"/>
          </m:rPr>
          <m:t>∈</m:t>
        </m:r>
        <m:sSup>
          <m:e>
            <m:r>
              <m:rPr>
                <m:sty m:val="p"/>
                <m:scr m:val="double-struck"/>
              </m:rPr>
              <m:t>R</m:t>
            </m:r>
          </m:e>
          <m:sup>
            <m:r>
              <m:t>d</m:t>
            </m:r>
          </m:sup>
        </m:sSup>
      </m:oMath>
      <w:r>
        <w:t xml:space="preserve">，未命中则不插入。提示位置不计入原文坐标。</w:t>
      </w:r>
    </w:p>
    <w:p>
      <w:pPr>
        <w:pStyle w:val="Normal"/>
      </w:pPr>
      <w:r>
        <w:t xml:space="preserve">词典只控制提示启用，不赋予结论标签。话语标记的收益不能由标记数量直接推定[40]；原文与增强文分别按各自文本触发提示；该规则沿用MCR-BR配置，本章不将其单独计为新增机制。</w:t>
      </w:r>
    </w:p>
    <w:p>
      <w:pPr>
        <w:pStyle w:val="Normal"/>
      </w:pPr>
      <w:r>
        <w:t xml:space="preserve">生成目标对有效回答 token（含 EOS）取平均，聊天输入和提示向量不参与该项损失：</w:t>
      </w:r>
    </w:p>
    <w:p>
      <w:pPr>
        <w:pStyle w:val="Normal"/>
        <w:ind w:firstLine="0"/>
        <w:jc w:val="center"/>
      </w:pPr>
      <m:oMathPara>
        <m:oMathParaPr>
          <m:jc m:val="center"/>
        </m:oMathParaPr>
        <m:oMath>
          <m:sSub>
            <m:e>
              <m:r>
                <m:t>L</m:t>
              </m:r>
            </m:e>
            <m:sub>
              <m:r>
                <m:t>g</m:t>
              </m:r>
              <m:r>
                <m:t>e</m:t>
              </m:r>
              <m:r>
                <m:t>n</m:t>
              </m:r>
            </m:sub>
          </m:sSub>
          <m:d>
            <m:dPr>
              <m:begChr m:val="("/>
              <m:endChr m:val=")"/>
              <m:sepChr m:val=""/>
              <m:grow/>
            </m:dPr>
            <m:e>
              <m:r>
                <m:t>x</m:t>
              </m:r>
              <m:r>
                <m:rPr>
                  <m:sty m:val="p"/>
                </m:rPr>
                <m:t>,</m:t>
              </m:r>
              <m:r>
                <m:t>G</m:t>
              </m:r>
            </m:e>
          </m:d>
          <m:r>
            <m:rPr>
              <m:sty m:val="p"/>
            </m:rPr>
            <m:t>=</m:t>
          </m:r>
          <m:r>
            <m:rPr>
              <m:sty m:val="p"/>
            </m:rPr>
            <m:t>−</m:t>
          </m:r>
          <m:f>
            <m:fPr>
              <m:type m:val="bar"/>
            </m:fPr>
            <m:num>
              <m:r>
                <m:t>1</m:t>
              </m:r>
            </m:num>
            <m:den>
              <m:sSub>
                <m:e>
                  <m:r>
                    <m:t>T</m:t>
                  </m:r>
                </m:e>
                <m:sub>
                  <m:r>
                    <m:t>y</m:t>
                  </m:r>
                </m:sub>
              </m:sSub>
            </m:den>
          </m:f>
          <m:nary>
            <m:naryPr>
              <m:chr m:val="∑"/>
              <m:limLoc m:val="undOvr"/>
              <m:subHide m:val="off"/>
              <m:supHide m:val="off"/>
            </m:naryPr>
            <m:sub>
              <m:r>
                <m:t>t</m:t>
              </m:r>
              <m:r>
                <m:rPr>
                  <m:sty m:val="p"/>
                </m:rPr>
                <m:t>=</m:t>
              </m:r>
              <m:r>
                <m:t>1</m:t>
              </m:r>
            </m:sub>
            <m:sup>
              <m:sSub>
                <m:e>
                  <m:r>
                    <m:t>T</m:t>
                  </m:r>
                </m:e>
                <m:sub>
                  <m:r>
                    <m:t>y</m:t>
                  </m:r>
                </m:sub>
              </m:sSub>
            </m:sup>
            <m:e>
              <m:r>
                <m:rPr>
                  <m:sty m:val="p"/>
                </m:rPr>
                <m:t>log</m:t>
              </m:r>
            </m:e>
          </m:nary>
          <m:sSub>
            <m:e>
              <m:r>
                <m:t>p</m:t>
              </m:r>
            </m:e>
            <m:sub>
              <m:r>
                <m:t>θ</m:t>
              </m:r>
            </m:sub>
          </m:sSub>
          <m:d>
            <m:dPr>
              <m:begChr m:val="("/>
              <m:endChr m:val=")"/>
              <m:sepChr m:val=""/>
              <m:grow/>
            </m:dPr>
            <m:e>
              <m:sSub>
                <m:e>
                  <m:r>
                    <m:t>y</m:t>
                  </m:r>
                </m:e>
                <m:sub>
                  <m:r>
                    <m:t>t</m:t>
                  </m:r>
                </m:sub>
              </m:sSub>
              <m:r>
                <m:rPr>
                  <m:sty m:val="p"/>
                </m:rPr>
                <m:t>∣</m:t>
              </m:r>
              <m:r>
                <m:t>x</m:t>
              </m:r>
              <m:r>
                <m:rPr>
                  <m:sty m:val="p"/>
                </m:rPr>
                <m:t>,</m:t>
              </m:r>
              <m:sSub>
                <m:e>
                  <m:r>
                    <m:t>y</m:t>
                  </m:r>
                </m:e>
                <m:sub>
                  <m:r>
                    <m:rPr>
                      <m:sty m:val="p"/>
                    </m:rPr>
                    <m:t>&lt;</m:t>
                  </m:r>
                  <m:r>
                    <m:t>t</m:t>
                  </m:r>
                </m:sub>
              </m:sSub>
            </m:e>
          </m:d>
          <m:r>
            <m:rPr>
              <m:sty m:val="p"/>
            </m:rPr>
            <m:t>.</m:t>
          </m:r>
        </m:oMath>
      </m:oMathPara>
    </w:p>
    <w:p>
      <w:pPr>
        <w:pStyle w:val="Normal"/>
      </w:pPr>
      <w:r>
        <w:t xml:space="preserve">句子辅助任务沿用 ICIC 专项监督思路：按句末标点和文档结尾分句，对输入最后一层隐藏状态作句内均值池化，经线性层和 sigmoid 得到</w:t>
      </w:r>
      <w:r>
        <w:t xml:space="preserve"> </w:t>
      </w:r>
      <m:oMath>
        <m:sSub>
          <m:e>
            <m:acc>
              <m:accPr>
                <m:chr m:val="̂"/>
              </m:accPr>
              <m:e>
                <m:r>
                  <m:t>z</m:t>
                </m:r>
              </m:e>
            </m:acc>
          </m:e>
          <m:sub>
            <m:r>
              <m:t>i</m:t>
            </m:r>
          </m:sub>
        </m:sSub>
      </m:oMath>
      <w:r>
        <w:t xml:space="preserve">。句子与结论类金标跨度相交时令</w:t>
      </w:r>
      <w:r>
        <w:t xml:space="preserve"> </w:t>
      </w:r>
      <m:oMath>
        <m:sSub>
          <m:e>
            <m:r>
              <m:t>z</m:t>
            </m:r>
          </m:e>
          <m:sub>
            <m:r>
              <m:t>i</m:t>
            </m:r>
          </m:sub>
        </m:sSub>
        <m:r>
          <m:rPr>
            <m:sty m:val="p"/>
          </m:rPr>
          <m:t>=</m:t>
        </m:r>
        <m:r>
          <m:t>1</m:t>
        </m:r>
      </m:oMath>
      <w:r>
        <w:t xml:space="preserve">，否则为零；跨句组件可标记多个句子。定义</w:t>
      </w:r>
    </w:p>
    <w:p>
      <w:pPr>
        <w:pStyle w:val="Normal"/>
        <w:ind w:firstLine="0"/>
        <w:jc w:val="center"/>
      </w:pPr>
      <m:oMathPara>
        <m:oMathParaPr>
          <m:jc m:val="center"/>
        </m:oMathParaPr>
        <m:oMath>
          <m:sSub>
            <m:e>
              <m:r>
                <m:t>L</m:t>
              </m:r>
            </m:e>
            <m:sub>
              <m:r>
                <m:t>s</m:t>
              </m:r>
              <m:r>
                <m:t>e</m:t>
              </m:r>
              <m:r>
                <m:t>n</m:t>
              </m:r>
              <m:r>
                <m:t>t</m:t>
              </m:r>
            </m:sub>
          </m:sSub>
          <m:r>
            <m:rPr>
              <m:sty m:val="p"/>
            </m:rPr>
            <m:t>=</m:t>
          </m:r>
          <m:r>
            <m:rPr>
              <m:sty m:val="p"/>
            </m:rPr>
            <m:t>−</m:t>
          </m:r>
          <m:f>
            <m:fPr>
              <m:type m:val="bar"/>
            </m:fPr>
            <m:num>
              <m:r>
                <m:t>1</m:t>
              </m:r>
            </m:num>
            <m:den>
              <m:sSub>
                <m:e>
                  <m:r>
                    <m:t>N</m:t>
                  </m:r>
                </m:e>
                <m:sub>
                  <m:r>
                    <m:t>s</m:t>
                  </m:r>
                </m:sub>
              </m:sSub>
            </m:den>
          </m:f>
          <m:nary>
            <m:naryPr>
              <m:chr m:val="∑"/>
              <m:limLoc m:val="undOvr"/>
              <m:subHide m:val="off"/>
              <m:supHide m:val="off"/>
            </m:naryPr>
            <m:sub>
              <m:r>
                <m:t>i</m:t>
              </m:r>
              <m:r>
                <m:rPr>
                  <m:sty m:val="p"/>
                </m:rPr>
                <m:t>=</m:t>
              </m:r>
              <m:r>
                <m:t>1</m:t>
              </m:r>
            </m:sub>
            <m:sup>
              <m:sSub>
                <m:e>
                  <m:r>
                    <m:t>N</m:t>
                  </m:r>
                </m:e>
                <m:sub>
                  <m:r>
                    <m:t>s</m:t>
                  </m:r>
                </m:sub>
              </m:sSub>
            </m:sup>
            <m:e>
              <m:d>
                <m:dPr>
                  <m:begChr m:val="["/>
                  <m:endChr m:val="]"/>
                  <m:sepChr m:val=""/>
                  <m:grow/>
                </m:dPr>
                <m:e>
                  <m:sSub>
                    <m:e>
                      <m:r>
                        <m:t>z</m:t>
                      </m:r>
                    </m:e>
                    <m:sub>
                      <m:r>
                        <m:t>i</m:t>
                      </m:r>
                    </m:sub>
                  </m:sSub>
                  <m:r>
                    <m:rPr>
                      <m:sty m:val="p"/>
                    </m:rPr>
                    <m:t>log</m:t>
                  </m:r>
                  <m:sSub>
                    <m:e>
                      <m:acc>
                        <m:accPr>
                          <m:chr m:val="̂"/>
                        </m:accPr>
                        <m:e>
                          <m:r>
                            <m:t>z</m:t>
                          </m:r>
                        </m:e>
                      </m:acc>
                    </m:e>
                    <m:sub>
                      <m:r>
                        <m:t>i</m:t>
                      </m:r>
                    </m:sub>
                  </m:sSub>
                  <m:r>
                    <m:rPr>
                      <m:sty m:val="p"/>
                    </m:rPr>
                    <m:t>+</m:t>
                  </m:r>
                  <m:d>
                    <m:dPr>
                      <m:begChr m:val="("/>
                      <m:endChr m:val=")"/>
                      <m:sepChr m:val=""/>
                      <m:grow/>
                    </m:dPr>
                    <m:e>
                      <m:r>
                        <m:t>1</m:t>
                      </m:r>
                      <m:r>
                        <m:rPr>
                          <m:sty m:val="p"/>
                        </m:rPr>
                        <m:t>−</m:t>
                      </m:r>
                      <m:sSub>
                        <m:e>
                          <m:r>
                            <m:t>z</m:t>
                          </m:r>
                        </m:e>
                        <m:sub>
                          <m:r>
                            <m:t>i</m:t>
                          </m:r>
                        </m:sub>
                      </m:sSub>
                    </m:e>
                  </m:d>
                  <m:r>
                    <m:rPr>
                      <m:sty m:val="p"/>
                    </m:rPr>
                    <m:t>log</m:t>
                  </m:r>
                  <m:d>
                    <m:dPr>
                      <m:begChr m:val="("/>
                      <m:endChr m:val=")"/>
                      <m:sepChr m:val=""/>
                      <m:grow/>
                    </m:dPr>
                    <m:e>
                      <m:r>
                        <m:t>1</m:t>
                      </m:r>
                      <m:r>
                        <m:rPr>
                          <m:sty m:val="p"/>
                        </m:rPr>
                        <m:t>−</m:t>
                      </m:r>
                      <m:sSub>
                        <m:e>
                          <m:acc>
                            <m:accPr>
                              <m:chr m:val="̂"/>
                            </m:accPr>
                            <m:e>
                              <m:r>
                                <m:t>z</m:t>
                              </m:r>
                            </m:e>
                          </m:acc>
                        </m:e>
                        <m:sub>
                          <m:r>
                            <m:t>i</m:t>
                          </m:r>
                        </m:sub>
                      </m:sSub>
                    </m:e>
                  </m:d>
                </m:e>
              </m:d>
            </m:e>
          </m:nary>
          <m:r>
            <m:rPr>
              <m:sty m:val="p"/>
            </m:rPr>
            <m:t>,</m:t>
          </m:r>
          <m:r>
            <m:t>  </m:t>
          </m:r>
          <m:sSub>
            <m:e>
              <m:r>
                <m:t>L</m:t>
              </m:r>
            </m:e>
            <m:sub>
              <m:r>
                <m:t>I</m:t>
              </m:r>
              <m:r>
                <m:t>C</m:t>
              </m:r>
              <m:r>
                <m:t>I</m:t>
              </m:r>
              <m:r>
                <m:t>C</m:t>
              </m:r>
            </m:sub>
          </m:sSub>
          <m:r>
            <m:rPr>
              <m:sty m:val="p"/>
            </m:rPr>
            <m:t>=</m:t>
          </m:r>
          <m:sSub>
            <m:e>
              <m:r>
                <m:t>L</m:t>
              </m:r>
            </m:e>
            <m:sub>
              <m:r>
                <m:t>g</m:t>
              </m:r>
              <m:r>
                <m:t>e</m:t>
              </m:r>
              <m:r>
                <m:t>n</m:t>
              </m:r>
            </m:sub>
          </m:sSub>
          <m:r>
            <m:rPr>
              <m:sty m:val="p"/>
            </m:rPr>
            <m:t>+</m:t>
          </m:r>
          <m:sSub>
            <m:e>
              <m:r>
                <m:t>λ</m:t>
              </m:r>
            </m:e>
            <m:sub>
              <m:r>
                <m:t>s</m:t>
              </m:r>
              <m:r>
                <m:t>e</m:t>
              </m:r>
              <m:r>
                <m:t>n</m:t>
              </m:r>
              <m:r>
                <m:t>t</m:t>
              </m:r>
            </m:sub>
          </m:sSub>
          <m:sSub>
            <m:e>
              <m:r>
                <m:t>L</m:t>
              </m:r>
            </m:e>
            <m:sub>
              <m:r>
                <m:t>s</m:t>
              </m:r>
              <m:r>
                <m:t>e</m:t>
              </m:r>
              <m:r>
                <m:t>n</m:t>
              </m:r>
              <m:r>
                <m:t>t</m:t>
              </m:r>
            </m:sub>
          </m:sSub>
          <m:r>
            <m:rPr>
              <m:sty m:val="p"/>
            </m:rPr>
            <m:t>.</m:t>
          </m:r>
        </m:oMath>
      </m:oMathPara>
    </w:p>
    <w:p>
      <w:pPr>
        <w:pStyle w:val="Normal"/>
      </w:pPr>
      <w:r>
        <w:t xml:space="preserve">参考配置取</w:t>
      </w:r>
      <w:r>
        <w:t xml:space="preserve"> </w:t>
      </w:r>
      <m:oMath>
        <m:sSub>
          <m:e>
            <m:r>
              <m:t>λ</m:t>
            </m:r>
          </m:e>
          <m:sub>
            <m:r>
              <m:t>s</m:t>
            </m:r>
            <m:r>
              <m:t>e</m:t>
            </m:r>
            <m:r>
              <m:t>n</m:t>
            </m:r>
            <m:r>
              <m:t>t</m:t>
            </m:r>
          </m:sub>
        </m:sSub>
        <m:r>
          <m:rPr>
            <m:sty m:val="p"/>
          </m:rPr>
          <m:t>=</m:t>
        </m:r>
        <m:r>
          <m:t>0.5</m:t>
        </m:r>
      </m:oMath>
      <w:r>
        <w:t xml:space="preserve">。句子头只读取输入表示，用于共享表示学习。上述生成目标与句子监督构成继承目标</w:t>
      </w:r>
      <w:r>
        <w:t xml:space="preserve"> </w:t>
      </w:r>
      <m:oMath>
        <m:sSub>
          <m:e>
            <m:r>
              <m:t>L</m:t>
            </m:r>
          </m:e>
          <m:sub>
            <m:r>
              <m:t>I</m:t>
            </m:r>
            <m:r>
              <m:t>C</m:t>
            </m:r>
            <m:r>
              <m:t>I</m:t>
            </m:r>
            <m:r>
              <m:t>C</m:t>
            </m:r>
          </m:sub>
        </m:sSub>
      </m:oMath>
      <w:r>
        <w:t xml:space="preserve">；3.3节构造增强视图，3.4节在此基础上引入组件、关系头及成对监督。</w:t>
      </w:r>
    </w:p>
    <w:p>
      <w:pPr>
        <w:pStyle w:val="Heading1"/>
      </w:pPr>
      <w:r>
        <w:t>3.3 关系影响域与可靠增强视图</w:t>
      </w:r>
    </w:p>
    <w:p>
      <w:pPr>
        <w:pStyle w:val="Heading2"/>
      </w:pPr>
      <w:r>
        <w:t>3.3.1 改写范围与关系因素</w:t>
      </w:r>
    </w:p>
    <w:p>
      <w:pPr>
        <w:pStyle w:val="Normal"/>
      </w:pPr>
      <w:r>
        <w:t xml:space="preserve">本章的文本改写是训练数据增强：只替换已标注组件所对应的文字，不重写整篇文章，也不重新决定组件类型或关系答案。改写集合由组件组成，不必对应一个连续段落。</w:t>
      </w:r>
      <w:r>
        <w:t xml:space="preserve">“</w:t>
      </w:r>
      <w:r>
        <w:t xml:space="preserve">内部</w:t>
      </w:r>
      <w:r>
        <w:t xml:space="preserve">”</w:t>
      </w:r>
      <w:r>
        <w:t xml:space="preserve">与“跨边界”均相对于这个集合定义，与是否跨句、跨段没有直接等价关系。</w:t>
      </w:r>
    </w:p>
    <w:p>
      <w:pPr>
        <w:pStyle w:val="Normal"/>
        <w:keepNext/>
        <w:ind w:firstLine="0"/>
        <w:jc w:val="center"/>
      </w:pPr>
      <w:r>
        <w:t xml:space="preserve">表3-1 AAEC essay001的原生组件与关系因素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1440"/>
        <w:gridCol w:w="1512"/>
        <w:gridCol w:w="5414"/>
      </w:tblGrid>
      <w:tr>
        <w:trPr>
          <w:cantSplit/>
          <w:tblHeader/>
        </w:trPr>
        <w:tc>
          <w:tcPr>
            <w:tcW w:type="dxa" w:w="1296"/>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组件</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原生类型</w:t>
            </w:r>
          </w:p>
        </w:tc>
        <w:tc>
          <w:tcPr>
            <w:tcW w:type="dxa" w:w="1512"/>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字符区间</w:t>
            </w:r>
          </w:p>
        </w:tc>
        <w:tc>
          <w:tcPr>
            <w:tcW w:type="dxa" w:w="5414"/>
            <w:vAlign w:val="center"/>
            <w:tcMar>
              <w:top w:w="65" w:type="dxa"/>
              <w:bottom w:w="65" w:type="dxa"/>
              <w:left w:w="65" w:type="dxa"/>
              <w:right w:w="65" w:type="dxa"/>
            </w:tcMar>
            <w:shd w:fill="E7E6E6"/>
          </w:tcPr>
          <w:p>
            <w:pPr>
              <w:pStyle w:val="Normal"/>
              <w:spacing w:after="0" w:line="259" w:lineRule="auto"/>
              <w:ind w:firstLine="0"/>
              <w:jc w:val="center"/>
            </w:pPr>
            <w:r>
              <w:rPr>
                <w:b/>
                <w:sz w:val="18"/>
              </w:rPr>
              <w:t xml:space="preserve">原文</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T3</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Claim</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[591,714)</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through cooperation, children can learn about interpersonal skills which are significant in the future life of all students</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T4</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[716,851)</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What we acquired from team work is not only how to achieve the same goal with others but more importantly, how to get along with others</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T5</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[853,1086)</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During the process of cooperation, children can learn about how to listen to opinions of others, how to communicate with others, how to think comprehensively, and even how to compromise with other team members when conflicts occurred</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T6</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Premise</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[1088,1191)</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All of these skills help them to get on well with other people and will benefit them for the whole life</w:t>
            </w:r>
          </w:p>
        </w:tc>
      </w:tr>
      <w:tr>
        <w:trPr>
          <w:cantSplit/>
        </w:trPr>
        <w:tc>
          <w:tcPr>
            <w:tcW w:type="dxa" w:w="1296"/>
            <w:vAlign w:val="center"/>
            <w:tcMar>
              <w:top w:w="65" w:type="dxa"/>
              <w:bottom w:w="65" w:type="dxa"/>
              <w:left w:w="65" w:type="dxa"/>
              <w:right w:w="65" w:type="dxa"/>
            </w:tcMar>
          </w:tcPr>
          <w:p>
            <w:pPr>
              <w:pStyle w:val="Normal"/>
              <w:spacing w:after="0" w:line="259" w:lineRule="auto"/>
              <w:ind w:firstLine="0"/>
              <w:jc w:val="center"/>
            </w:pPr>
            <w:r>
              <w:rPr>
                <w:b w:val="0"/>
                <w:sz w:val="18"/>
              </w:rPr>
              <w:t xml:space="preserve">T7</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8"/>
              </w:rPr>
              <w:t xml:space="preserve">Claim</w:t>
            </w:r>
          </w:p>
        </w:tc>
        <w:tc>
          <w:tcPr>
            <w:tcW w:type="dxa" w:w="1512"/>
            <w:vAlign w:val="center"/>
            <w:tcMar>
              <w:top w:w="65" w:type="dxa"/>
              <w:bottom w:w="65" w:type="dxa"/>
              <w:left w:w="65" w:type="dxa"/>
              <w:right w:w="65" w:type="dxa"/>
            </w:tcMar>
          </w:tcPr>
          <w:p>
            <w:pPr>
              <w:pStyle w:val="Normal"/>
              <w:spacing w:after="0" w:line="259" w:lineRule="auto"/>
              <w:ind w:firstLine="0"/>
              <w:jc w:val="center"/>
            </w:pPr>
            <w:r>
              <w:rPr>
                <w:b w:val="0"/>
                <w:sz w:val="18"/>
              </w:rPr>
              <w:t xml:space="preserve">[1332,1376)</w:t>
            </w:r>
          </w:p>
        </w:tc>
        <w:tc>
          <w:tcPr>
            <w:tcW w:type="dxa" w:w="5414"/>
            <w:vAlign w:val="center"/>
            <w:tcMar>
              <w:top w:w="65" w:type="dxa"/>
              <w:bottom w:w="65" w:type="dxa"/>
              <w:left w:w="65" w:type="dxa"/>
              <w:right w:w="65" w:type="dxa"/>
            </w:tcMar>
          </w:tcPr>
          <w:p>
            <w:pPr>
              <w:pStyle w:val="Normal"/>
              <w:spacing w:after="0" w:line="259" w:lineRule="auto"/>
              <w:ind w:firstLine="0"/>
              <w:jc w:val="left"/>
            </w:pPr>
            <w:r>
              <w:rPr>
                <w:b w:val="0"/>
                <w:sz w:val="18"/>
              </w:rPr>
              <w:t xml:space="preserve">competition makes the society more effective</w:t>
            </w:r>
          </w:p>
        </w:tc>
      </w:tr>
    </w:tbl>
    <w:p>
      <w:pPr/>
      <w:r>
        <w:t>表内T4、T5、T6各自以supports指向T3，T4→T7没有标注边。以局部观察集合A={T3,T4}解释因素分类时，T4→T3属于内部正因素，T5→T3和T6→T3属于跨边界正因素，T4→T7属于跨边界NONE。该观察集合用于说明定义，不等于默认自动选择结果：若默认中心为T3，所有指向T3的完整源成员T4、T5、T6都会进入改写集合。</w:t>
      </w:r>
    </w:p>
    <w:p>
      <w:pPr>
        <w:keepNext/>
        <w:ind w:firstLine="0"/>
        <w:jc w:val="center"/>
      </w:pPr>
      <w:r>
        <w:drawing>
          <wp:inline xmlns:a="http://schemas.openxmlformats.org/drawingml/2006/main" xmlns:pic="http://schemas.openxmlformats.org/drawingml/2006/picture">
            <wp:extent cx="6080760" cy="384342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80760" cy="3843429"/>
                    </a:xfrm>
                    <a:prstGeom prst="rect"/>
                  </pic:spPr>
                </pic:pic>
              </a:graphicData>
            </a:graphic>
          </wp:inline>
        </w:drawing>
      </w:r>
    </w:p>
    <w:p>
      <w:pPr>
        <w:pStyle w:val="Normal"/>
        <w:keepNext w:val="0"/>
        <w:ind w:firstLine="0"/>
        <w:jc w:val="center"/>
      </w:pPr>
      <w:r>
        <w:t xml:space="preserve">图3-1 默认因素掩码与可选完整筛选的不同接受路径</w:t>
      </w:r>
    </w:p>
    <w:p>
      <w:pPr>
        <w:pStyle w:val="Normal"/>
      </w:pPr>
      <w:r>
        <w:t xml:space="preserve">“</w:t>
      </w:r>
      <w:r>
        <w:t xml:space="preserve">内部／跨边界</w:t>
      </w:r>
      <w:r>
        <w:t xml:space="preserve">”</w:t>
      </w:r>
      <w:r>
        <w:t xml:space="preserve">描述端点与改写集合的位置关系，</w:t>
      </w:r>
      <w:r>
        <w:t xml:space="preserve">“</w:t>
      </w:r>
      <w:r>
        <w:t xml:space="preserve">正关系／NONE／语义未知</w:t>
      </w:r>
      <w:r>
        <w:t xml:space="preserve">”</w:t>
      </w:r>
      <w:r>
        <w:t xml:space="preserve">描述因素状态，二者分别记录。默认路径保留有效组件，屏蔽关系层面的不确定监督；完整筛选路径才因任一可审核因素失败拒绝整例。已知联合源真子集的语义未知状态按3.3.3节处理，不伪装成已经确认的NONE。</w:t>
      </w:r>
    </w:p>
    <w:p>
      <w:pPr>
        <w:pStyle w:val="Normal"/>
      </w:pPr>
      <w:r>
        <w:t xml:space="preserve">对训练金标图</w:t>
      </w:r>
      <w:r>
        <w:t xml:space="preserve"> </w:t>
      </w:r>
      <m:oMath>
        <m:r>
          <m:t>G</m:t>
        </m:r>
        <m:r>
          <m:rPr>
            <m:sty m:val="p"/>
          </m:rPr>
          <m:t>=</m:t>
        </m:r>
        <m:d>
          <m:dPr>
            <m:begChr m:val="("/>
            <m:endChr m:val=")"/>
            <m:sepChr m:val=""/>
            <m:grow/>
          </m:dPr>
          <m:e>
            <m:r>
              <m:t>C</m:t>
            </m:r>
            <m:r>
              <m:rPr>
                <m:sty m:val="p"/>
              </m:rPr>
              <m:t>,</m:t>
            </m:r>
            <m:r>
              <m:t>R</m:t>
            </m:r>
          </m:e>
        </m:d>
      </m:oMath>
      <w:r>
        <w:t xml:space="preserve">，每篇文档固定一个中心。AAEC优先集合为Claim与MajorClaim，CDCP为Policy与Value；后者只定义本方法的触发角色，不改写原生类型。对固定种子17、语料、文档ID、组件ID及center标记按竖线连接，计算SHA-256，按前16位哈希数值选取第一个对象。中心使用固定种子17，同一文档全部视图复用同一中心；不依据生成成功率换中心。</w:t>
      </w:r>
    </w:p>
    <w:p>
      <w:pPr>
        <w:pStyle w:val="Normal"/>
      </w:pPr>
      <w:r>
        <w:t xml:space="preserve">优先集合为空时，从全部合法金标组件按同一顺序回退，并记录fallback；组件集合为空时保留原文、跳过增强。改写集合</w:t>
      </w:r>
      <m:oMath>
        <m:r>
          <m:t>A</m:t>
        </m:r>
      </m:oMath>
      <w:r>
        <w:t xml:space="preserve">由中心及所有指向中心的金标关系的完整源成员组成，去重、不递归扩展。无入关系时仅改写中心；超过三源成员的金标超边仍完整纳入，新增NONE因素的元数预算不截断金标。其余组件文字只读。</w:t>
      </w:r>
    </w:p>
    <w:p>
      <w:pPr>
        <w:pStyle w:val="Normal"/>
      </w:pPr>
      <w:r>
        <w:t xml:space="preserve">若槽位重叠或完整输入超过冻结上下文上限，则跳过该文档增强并记录原因，不删除源成员或改选中心。默认因素掩码版本仅审核声明的有限子集；完整筛选版本在完整影响域无法处理时跳过，二者分别登记审核覆盖。不同模型的上下文及调用上限由运行清单提供；未提供时不启动生成。每文档最多四次尝试、两个接受变体，原始样本始终保留。该选择控制定义和资源，不意味着结论中心已经优于其他中心。</w:t>
      </w:r>
    </w:p>
    <w:p>
      <w:pPr>
        <w:pStyle w:val="Normal"/>
      </w:pPr>
      <w:r>
        <w:t xml:space="preserve">记</w:t>
      </w:r>
      <w:r>
        <w:t xml:space="preserve"> </w:t>
      </w:r>
      <m:oMath>
        <m:r>
          <m:t>Ω</m:t>
        </m:r>
        <m:d>
          <m:dPr>
            <m:begChr m:val="("/>
            <m:endChr m:val=")"/>
            <m:sepChr m:val=""/>
            <m:grow/>
          </m:dPr>
          <m:e>
            <m:r>
              <m:t>C</m:t>
            </m:r>
          </m:e>
        </m:d>
      </m:oMath>
      <w:r>
        <w:t xml:space="preserve"> </w:t>
      </w:r>
      <w:r>
        <w:t xml:space="preserve">为协议允许的完整端点组合集合，因素</w:t>
      </w:r>
      <w:r>
        <w:t xml:space="preserve"> </w:t>
      </w:r>
      <m:oMath>
        <m:r>
          <m:t>ω</m:t>
        </m:r>
        <m:r>
          <m:rPr>
            <m:sty m:val="p"/>
          </m:rPr>
          <m:t>=</m:t>
        </m:r>
        <m:d>
          <m:dPr>
            <m:begChr m:val="("/>
            <m:endChr m:val=")"/>
            <m:sepChr m:val=""/>
            <m:grow/>
          </m:dPr>
          <m:e>
            <m:r>
              <m:t>S</m:t>
            </m:r>
            <m:r>
              <m:rPr>
                <m:sty m:val="p"/>
              </m:rPr>
              <m:t>,</m:t>
            </m:r>
            <m:r>
              <m:t>v</m:t>
            </m:r>
          </m:e>
        </m:d>
      </m:oMath>
      <w:r>
        <w:t xml:space="preserve"> </w:t>
      </w:r>
      <w:r>
        <w:t xml:space="preserve">由非空源组件集合</w:t>
      </w:r>
      <w:r>
        <w:t xml:space="preserve"> </w:t>
      </w:r>
      <m:oMath>
        <m:r>
          <m:t>S</m:t>
        </m:r>
      </m:oMath>
      <w:r>
        <w:t xml:space="preserve"> </w:t>
      </w:r>
      <w:r>
        <w:t xml:space="preserve">和目标</w:t>
      </w:r>
      <w:r>
        <w:t xml:space="preserve"> </w:t>
      </w:r>
      <m:oMath>
        <m:r>
          <m:t>v</m:t>
        </m:r>
      </m:oMath>
      <w:r>
        <w:t xml:space="preserve"> </w:t>
      </w:r>
      <w:r>
        <w:t xml:space="preserve">构成。AAEC 中</w:t>
      </w:r>
      <w:r>
        <w:t xml:space="preserve"> </w:t>
      </w:r>
      <m:oMath>
        <m:d>
          <m:dPr>
            <m:begChr m:val="|"/>
            <m:endChr m:val="|"/>
            <m:sepChr m:val=""/>
            <m:grow/>
          </m:dPr>
          <m:e>
            <m:r>
              <m:t>S</m:t>
            </m:r>
          </m:e>
        </m:d>
        <m:r>
          <m:rPr>
            <m:sty m:val="p"/>
          </m:rPr>
          <m:t>=</m:t>
        </m:r>
        <m:r>
          <m:t>1</m:t>
        </m:r>
      </m:oMath>
      <w:r>
        <w:t xml:space="preserve">，枚举全部合法有向组件对；内部正边、边界正边和其余合法对均纳入候选。因素标签</w:t>
      </w:r>
      <w:r>
        <w:t xml:space="preserve"> </w:t>
      </w:r>
      <m:oMath>
        <m:sSub>
          <m:e>
            <m:r>
              <m:t>y</m:t>
            </m:r>
          </m:e>
          <m:sub>
            <m:r>
              <m:t>ω</m:t>
            </m:r>
          </m:sub>
        </m:sSub>
      </m:oMath>
      <w:r>
        <w:t xml:space="preserve"> </w:t>
      </w:r>
      <w:r>
        <w:t xml:space="preserve">为协议规定的关系状态。在可审核因素宇宙内，无标注关系记作NONE；已标注联合源真子集的语义未知例外按3.3.3节定义，先从语义监督和审核域中排除。若协议允许同一端点组合具有多个标签，则使用合法标签组合表示状态，不能通过任取一个标签丢失监督。</w:t>
      </w:r>
    </w:p>
    <w:p>
      <w:pPr>
        <w:pStyle w:val="Normal"/>
      </w:pPr>
      <w:r>
        <w:t xml:space="preserve">CDCP 保留</w:t>
      </w:r>
      <w:r>
        <w:t xml:space="preserve"> </w:t>
      </w:r>
      <m:oMath>
        <m:d>
          <m:dPr>
            <m:begChr m:val="("/>
            <m:endChr m:val=")"/>
            <m:sepChr m:val=""/>
            <m:grow/>
          </m:dPr>
          <m:e>
            <m:r>
              <m:rPr>
                <m:sty m:val="p"/>
              </m:rPr>
              <m:t>{</m:t>
            </m:r>
            <m:sSub>
              <m:e>
                <m:r>
                  <m:t>c</m:t>
                </m:r>
              </m:e>
              <m:sub>
                <m:sSub>
                  <m:e>
                    <m:r>
                      <m:t>i</m:t>
                    </m:r>
                  </m:e>
                  <m:sub>
                    <m:r>
                      <m:t>1</m:t>
                    </m:r>
                  </m:sub>
                </m:sSub>
              </m:sub>
            </m:sSub>
            <m:r>
              <m:rPr>
                <m:sty m:val="p"/>
              </m:rPr>
              <m:t>,</m:t>
            </m:r>
            <m:r>
              <m:rPr>
                <m:sty m:val="p"/>
              </m:rPr>
              <m:t>…</m:t>
            </m:r>
            <m:r>
              <m:rPr>
                <m:sty m:val="p"/>
              </m:rPr>
              <m:t>,</m:t>
            </m:r>
            <m:sSub>
              <m:e>
                <m:r>
                  <m:t>c</m:t>
                </m:r>
              </m:e>
              <m:sub>
                <m:sSub>
                  <m:e>
                    <m:r>
                      <m:t>i</m:t>
                    </m:r>
                  </m:e>
                  <m:sub>
                    <m:r>
                      <m:t>k</m:t>
                    </m:r>
                  </m:sub>
                </m:sSub>
              </m:sub>
            </m:sSub>
            <m:r>
              <m:rPr>
                <m:sty m:val="p"/>
              </m:rPr>
              <m:t>}</m:t>
            </m:r>
            <m:r>
              <m:rPr>
                <m:sty m:val="p"/>
              </m:rPr>
              <m:t>,</m:t>
            </m:r>
            <m:sSub>
              <m:e>
                <m:r>
                  <m:t>c</m:t>
                </m:r>
              </m:e>
              <m:sub>
                <m:r>
                  <m:t>j</m:t>
                </m:r>
              </m:sub>
            </m:sSub>
            <m:r>
              <m:rPr>
                <m:sty m:val="p"/>
              </m:rPr>
              <m:t>,</m:t>
            </m:r>
            <m:r>
              <m:rPr>
                <m:sty m:val="p"/>
              </m:rPr>
              <m:t>ℓ</m:t>
            </m:r>
          </m:e>
        </m:d>
      </m:oMath>
      <w:r>
        <w:t xml:space="preserve"> </w:t>
      </w:r>
      <w:r>
        <w:t xml:space="preserve">的原生多前提超边，</w:t>
      </w:r>
      <m:oMath>
        <m:r>
          <m:rPr>
            <m:sty m:val="p"/>
          </m:rPr>
          <m:t>ℓ</m:t>
        </m:r>
        <m:r>
          <m:rPr>
            <m:sty m:val="p"/>
          </m:rPr>
          <m:t>∈</m:t>
        </m:r>
        <m:r>
          <m:rPr>
            <m:sty m:val="p"/>
          </m:rPr>
          <m:t>{</m:t>
        </m:r>
        <m:r>
          <m:rPr>
            <m:sty m:val="p"/>
          </m:rPr>
          <m:t>R</m:t>
        </m:r>
        <m:r>
          <m:rPr>
            <m:sty m:val="p"/>
          </m:rPr>
          <m:t>e</m:t>
        </m:r>
        <m:r>
          <m:rPr>
            <m:sty m:val="p"/>
          </m:rPr>
          <m:t>a</m:t>
        </m:r>
        <m:r>
          <m:rPr>
            <m:sty m:val="p"/>
          </m:rPr>
          <m:t>s</m:t>
        </m:r>
        <m:r>
          <m:rPr>
            <m:sty m:val="p"/>
          </m:rPr>
          <m:t>o</m:t>
        </m:r>
        <m:r>
          <m:rPr>
            <m:sty m:val="p"/>
          </m:rPr>
          <m:t>n</m:t>
        </m:r>
        <m:r>
          <m:rPr>
            <m:sty m:val="p"/>
          </m:rPr>
          <m:t>,</m:t>
        </m:r>
        <m:r>
          <m:rPr>
            <m:sty m:val="p"/>
          </m:rPr>
          <m:t>E</m:t>
        </m:r>
        <m:r>
          <m:rPr>
            <m:sty m:val="p"/>
          </m:rPr>
          <m:t>v</m:t>
        </m:r>
        <m:r>
          <m:rPr>
            <m:sty m:val="p"/>
          </m:rPr>
          <m:t>i</m:t>
        </m:r>
        <m:r>
          <m:rPr>
            <m:sty m:val="p"/>
          </m:rPr>
          <m:t>d</m:t>
        </m:r>
        <m:r>
          <m:rPr>
            <m:sty m:val="p"/>
          </m:rPr>
          <m:t>e</m:t>
        </m:r>
        <m:r>
          <m:rPr>
            <m:sty m:val="p"/>
          </m:rPr>
          <m:t>n</m:t>
        </m:r>
        <m:r>
          <m:rPr>
            <m:sty m:val="p"/>
          </m:rPr>
          <m:t>c</m:t>
        </m:r>
        <m:r>
          <m:rPr>
            <m:sty m:val="p"/>
          </m:rPr>
          <m:t>e</m:t>
        </m:r>
        <m:r>
          <m:rPr>
            <m:sty m:val="p"/>
          </m:rPr>
          <m:t>}</m:t>
        </m:r>
      </m:oMath>
      <w:r>
        <w:t xml:space="preserve">。源成员按原文顺序规范化，整条超边作为一个关系对象，不展开为独立二元关系。</w:t>
      </w:r>
    </w:p>
    <w:p>
      <w:pPr>
        <w:pStyle w:val="Normal"/>
      </w:pPr>
      <w:r>
        <w:t xml:space="preserve">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pPr>
        <w:pStyle w:val="Normal"/>
      </w:pPr>
      <w:r>
        <w:t xml:space="preserve">NONE 仅在上述有限宇宙内定义，不涉及组件集合的全部子集。三源成员预算使更长的金标超边缺少同元数NONE对照，可能形成长度相关的监督偏置，需按元数诊断。这一辅助头不用于估计长超边的完整对象正确率。</w:t>
      </w:r>
    </w:p>
    <w:p>
      <w:pPr>
        <w:pStyle w:val="Normal"/>
      </w:pPr>
      <w:r>
        <w:t xml:space="preserve">设</w:t>
      </w:r>
      <w:r>
        <w:t xml:space="preserve"> </w:t>
      </w:r>
      <m:oMath>
        <m:r>
          <m:t>V</m:t>
        </m:r>
        <m:d>
          <m:dPr>
            <m:begChr m:val="("/>
            <m:endChr m:val=")"/>
            <m:sepChr m:val=""/>
            <m:grow/>
          </m:dPr>
          <m:e>
            <m:r>
              <m:t>ω</m:t>
            </m:r>
          </m:e>
        </m:d>
        <m:r>
          <m:rPr>
            <m:sty m:val="p"/>
          </m:rPr>
          <m:t>=</m:t>
        </m:r>
        <m:r>
          <m:t>S</m:t>
        </m:r>
        <m:r>
          <m:rPr>
            <m:sty m:val="p"/>
          </m:rPr>
          <m:t>∪</m:t>
        </m:r>
        <m:r>
          <m:rPr>
            <m:sty m:val="p"/>
          </m:rPr>
          <m:t>{</m:t>
        </m:r>
        <m:r>
          <m:t>v</m:t>
        </m:r>
        <m:r>
          <m:rPr>
            <m:sty m:val="p"/>
          </m:rPr>
          <m:t>}</m:t>
        </m:r>
      </m:oMath>
      <w:r>
        <w:t xml:space="preserve">，完整影响域定义为</w:t>
      </w:r>
    </w:p>
    <w:p>
      <w:pPr>
        <w:pStyle w:val="Normal"/>
        <w:ind w:firstLine="0"/>
        <w:jc w:val="center"/>
      </w:pPr>
      <m:oMathPara>
        <m:oMathParaPr>
          <m:jc m:val="center"/>
        </m:oMathParaPr>
        <m:oMath>
          <m:sSub>
            <m:e>
              <m:r>
                <m:rPr>
                  <m:sty m:val="p"/>
                  <m:scr m:val="script"/>
                </m:rPr>
                <m:t>D</m:t>
              </m:r>
            </m:e>
            <m:sub>
              <m:r>
                <m:t>A</m:t>
              </m:r>
            </m:sub>
          </m:sSub>
          <m:r>
            <m:rPr>
              <m:sty m:val="p"/>
            </m:rPr>
            <m:t>=</m:t>
          </m:r>
          <m:r>
            <m:rPr>
              <m:sty m:val="p"/>
            </m:rPr>
            <m:t>{</m:t>
          </m:r>
          <m:r>
            <m:t>ω</m:t>
          </m:r>
          <m:r>
            <m:rPr>
              <m:sty m:val="p"/>
            </m:rPr>
            <m:t>∈</m:t>
          </m:r>
          <m:sSub>
            <m:e>
              <m:r>
                <m:t>Ω</m:t>
              </m:r>
            </m:e>
            <m:sub>
              <m:r>
                <m:t>s</m:t>
              </m:r>
              <m:r>
                <m:t>e</m:t>
              </m:r>
              <m:r>
                <m:t>m</m:t>
              </m:r>
            </m:sub>
          </m:sSub>
          <m:d>
            <m:dPr>
              <m:begChr m:val="("/>
              <m:endChr m:val=")"/>
              <m:sepChr m:val=""/>
              <m:grow/>
            </m:dPr>
            <m:e>
              <m:r>
                <m:t>C</m:t>
              </m:r>
            </m:e>
          </m:d>
          <m:r>
            <m:rPr>
              <m:sty m:val="p"/>
            </m:rPr>
            <m:t>:</m:t>
          </m:r>
          <m:r>
            <m:t>V</m:t>
          </m:r>
          <m:d>
            <m:dPr>
              <m:begChr m:val="("/>
              <m:endChr m:val=")"/>
              <m:sepChr m:val=""/>
              <m:grow/>
            </m:dPr>
            <m:e>
              <m:r>
                <m:t>ω</m:t>
              </m:r>
            </m:e>
          </m:d>
          <m:r>
            <m:rPr>
              <m:sty m:val="p"/>
            </m:rPr>
            <m:t>∩</m:t>
          </m:r>
          <m:r>
            <m:t>A</m:t>
          </m:r>
          <m:r>
            <m:rPr>
              <m:sty m:val="p"/>
            </m:rPr>
            <m:t>≠</m:t>
          </m:r>
          <m:r>
            <m:rPr>
              <m:sty m:val="p"/>
            </m:rPr>
            <m:t>⌀</m:t>
          </m:r>
          <m:r>
            <m:rPr>
              <m:sty m:val="p"/>
            </m:rPr>
            <m:t>}</m:t>
          </m:r>
          <m:r>
            <m:rPr>
              <m:sty m:val="p"/>
            </m:rPr>
            <m:t>.</m:t>
          </m:r>
        </m:oMath>
      </m:oMathPara>
    </w:p>
    <w:p>
      <w:pPr>
        <w:pStyle w:val="Normal"/>
      </w:pPr>
      <w:r>
        <w:t xml:space="preserve">其中</w:t>
      </w:r>
      <w:r>
        <w:t xml:space="preserve"> </w:t>
      </w:r>
      <m:oMath>
        <m:sSub>
          <m:e>
            <m:r>
              <m:t>Ω</m:t>
            </m:r>
          </m:e>
          <m:sub>
            <m:r>
              <m:t>s</m:t>
            </m:r>
            <m:r>
              <m:t>e</m:t>
            </m:r>
            <m:r>
              <m:t>m</m:t>
            </m:r>
          </m:sub>
        </m:sSub>
        <m:d>
          <m:dPr>
            <m:begChr m:val="("/>
            <m:endChr m:val=")"/>
            <m:sepChr m:val=""/>
            <m:grow/>
          </m:dPr>
          <m:e>
            <m:r>
              <m:t>C</m:t>
            </m:r>
          </m:e>
        </m:d>
        <m:r>
          <m:rPr>
            <m:sty m:val="p"/>
          </m:rPr>
          <m:t>=</m:t>
        </m:r>
        <m:r>
          <m:t>Ω</m:t>
        </m:r>
        <m:d>
          <m:dPr>
            <m:begChr m:val="("/>
            <m:endChr m:val=")"/>
            <m:sepChr m:val=""/>
            <m:grow/>
          </m:dPr>
          <m:e>
            <m:r>
              <m:t>C</m:t>
            </m:r>
          </m:e>
        </m:d>
        <m:r>
          <m:rPr>
            <m:sty m:val="p"/>
          </m:rPr>
          <m:t>∖</m:t>
        </m:r>
        <m:sSub>
          <m:e>
            <m:r>
              <m:rPr>
                <m:sty m:val="p"/>
                <m:scr m:val="script"/>
              </m:rPr>
              <m:t>U</m:t>
            </m:r>
          </m:e>
          <m:sub>
            <m:r>
              <m:t>s</m:t>
            </m:r>
            <m:r>
              <m:t>e</m:t>
            </m:r>
            <m:r>
              <m:t>m</m:t>
            </m:r>
          </m:sub>
        </m:sSub>
      </m:oMath>
      <w:r>
        <w:t xml:space="preserve">，未知集合见3.3.3节；AAEC没有这一联合源子集例外。二元情形即</w:t>
      </w:r>
      <w:r>
        <w:t xml:space="preserve"> </w:t>
      </w:r>
      <m:oMath>
        <m:r>
          <m:rPr>
            <m:sty m:val="p"/>
          </m:rPr>
          <m:t>{</m:t>
        </m:r>
        <m:d>
          <m:dPr>
            <m:begChr m:val="("/>
            <m:endChr m:val=")"/>
            <m:sepChr m:val=""/>
            <m:grow/>
          </m:dPr>
          <m:e>
            <m:r>
              <m:t>u</m:t>
            </m:r>
            <m:r>
              <m:rPr>
                <m:sty m:val="p"/>
              </m:rPr>
              <m:t>,</m:t>
            </m:r>
            <m:r>
              <m:t>v</m:t>
            </m:r>
          </m:e>
        </m:d>
        <m:r>
          <m:rPr>
            <m:sty m:val="p"/>
          </m:rPr>
          <m:t>:</m:t>
        </m:r>
        <m:r>
          <m:t>u</m:t>
        </m:r>
        <m:r>
          <m:rPr>
            <m:sty m:val="p"/>
          </m:rPr>
          <m:t>∈</m:t>
        </m:r>
        <m:r>
          <m:t>A</m:t>
        </m:r>
        <m:r>
          <m:rPr>
            <m:sty m:val="p"/>
          </m:rPr>
          <m:t>∨</m:t>
        </m:r>
        <m:r>
          <m:t>v</m:t>
        </m:r>
        <m:r>
          <m:rPr>
            <m:sty m:val="p"/>
          </m:rPr>
          <m:t>∈</m:t>
        </m:r>
        <m:r>
          <m:t>A</m:t>
        </m:r>
        <m:r>
          <m:rPr>
            <m:sty m:val="p"/>
          </m:rPr>
          <m:t>,</m:t>
        </m:r>
        <m:d>
          <m:dPr>
            <m:begChr m:val="("/>
            <m:endChr m:val=")"/>
            <m:sepChr m:val=""/>
            <m:grow/>
          </m:dPr>
          <m:e>
            <m:r>
              <m:t>u</m:t>
            </m:r>
            <m:r>
              <m:rPr>
                <m:sty m:val="p"/>
              </m:rPr>
              <m:t>,</m:t>
            </m:r>
            <m:r>
              <m:t>v</m:t>
            </m:r>
          </m:e>
        </m:d>
        <m:r>
          <m:rPr>
            <m:sty m:val="p"/>
          </m:rPr>
          <m:t>∈</m:t>
        </m:r>
        <m:sSub>
          <m:e>
            <m:r>
              <m:t>Ω</m:t>
            </m:r>
          </m:e>
          <m:sub>
            <m:r>
              <m:t>s</m:t>
            </m:r>
            <m:r>
              <m:t>e</m:t>
            </m:r>
            <m:r>
              <m:t>m</m:t>
            </m:r>
          </m:sub>
        </m:sSub>
        <m:d>
          <m:dPr>
            <m:begChr m:val="("/>
            <m:endChr m:val=")"/>
            <m:sepChr m:val=""/>
            <m:grow/>
          </m:dPr>
          <m:e>
            <m:r>
              <m:t>C</m:t>
            </m:r>
          </m:e>
        </m:d>
        <m:r>
          <m:rPr>
            <m:sty m:val="p"/>
          </m:rPr>
          <m:t>}</m:t>
        </m:r>
      </m:oMath>
      <w:r>
        <w:t xml:space="preserve">。全部端点位于</w:t>
      </w:r>
      <w:r>
        <w:t xml:space="preserve"> </w:t>
      </w:r>
      <m:oMath>
        <m:r>
          <m:t>A</m:t>
        </m:r>
      </m:oMath>
      <w:r>
        <w:t xml:space="preserve"> </w:t>
      </w:r>
      <w:r>
        <w:t xml:space="preserve">中的因素属于内部因素，仅部分端点位于</w:t>
      </w:r>
      <w:r>
        <w:t xml:space="preserve"> </w:t>
      </w:r>
      <m:oMath>
        <m:r>
          <m:t>A</m:t>
        </m:r>
      </m:oMath>
      <w:r>
        <w:t xml:space="preserve"> </w:t>
      </w:r>
      <w:r>
        <w:t xml:space="preserve">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2"/>
      </w:pPr>
      <w:r>
        <w:t>3.3.2 条件生成与字符坐标迁移</w:t>
      </w:r>
    </w:p>
    <w:p>
      <w:pPr>
        <w:pStyle w:val="Normal"/>
      </w:pPr>
      <w:r>
        <w:t xml:space="preserve">增强模型接收全文、可改写组件的槽位和类型、只读端点目录及影响域标签。条件可采用“全部合法端点目录、显式正关系表、语义未知例外清单、其余可审核因素为NONE”的无损编码，避免逐条重复大量无边因素；验证和训练时仍按展开后的因素执行。输出限定为组件 ID 到替换文本的映射，不允许新增组件、修改类型或自行重建关系表。</w:t>
      </w:r>
    </w:p>
    <w:p>
      <w:pPr>
        <w:pStyle w:val="Normal"/>
      </w:pPr>
      <w:r>
        <w:t xml:space="preserve">程序按原始字符区间执行槽位替换，随后对完整文档重新分词，建立组件对应</w:t>
      </w:r>
    </w:p>
    <w:p>
      <w:pPr>
        <w:ind w:firstLine="0"/>
        <w:jc w:val="center"/>
      </w:pPr>
      <w:r/>
      <m:oMath>
        <m:r>
          <m:t xml:space="preserve">φ</m:t>
        </m:r>
        <m:r>
          <m:t xml:space="preserve">:</m:t>
        </m:r>
        <m:r>
          <m:t xml:space="preserve">C</m:t>
        </m:r>
        <m:r>
          <m:t xml:space="preserve">→</m:t>
        </m:r>
        <m:sSup>
          <m:e>
            <m:r>
              <m:t xml:space="preserve">C</m:t>
            </m:r>
          </m:e>
          <m:sup>
            <m:r>
              <m:t xml:space="preserve">′</m:t>
            </m:r>
          </m:sup>
        </m:sSup>
        <m:r>
          <m:t xml:space="preserve">,</m:t>
        </m:r>
        <m:r>
          <m:t xml:space="preserve">  </m:t>
        </m:r>
        <m:r>
          <m:t xml:space="preserve">(</m:t>
        </m:r>
        <m:r>
          <m:t xml:space="preserve">d</m:t>
        </m:r>
        <m:r>
          <m:t xml:space="preserve">,</m:t>
        </m:r>
        <m:sSub>
          <m:e>
            <m:r>
              <m:t xml:space="preserve">b</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sSup>
          <m:e>
            <m:r>
              <m:t xml:space="preserve">d</m:t>
            </m:r>
          </m:e>
          <m:sup>
            <m:r>
              <m:t xml:space="preserve">′</m:t>
            </m:r>
          </m:sup>
        </m:sSup>
        <m:r>
          <m:t xml:space="preserve">,</m:t>
        </m:r>
        <m:sSubSup>
          <m:e>
            <m:r>
              <m:t xml:space="preserve">b</m:t>
            </m:r>
          </m:e>
          <m:sub>
            <m:r>
              <m:t xml:space="preserve">c</m:t>
            </m:r>
          </m:sub>
          <m:sup>
            <m:r>
              <m:t xml:space="preserve">′</m:t>
            </m:r>
          </m:sup>
        </m:sSubSup>
        <m:r>
          <m:t xml:space="preserve">,</m:t>
        </m:r>
        <m:sSubSup>
          <m:e>
            <m:r>
              <m:t xml:space="preserve">e</m:t>
            </m:r>
          </m:e>
          <m:sub>
            <m:r>
              <m:t xml:space="preserve">c</m:t>
            </m:r>
          </m:sub>
          <m:sup>
            <m:r>
              <m:t xml:space="preserve">′</m:t>
            </m:r>
          </m:sup>
        </m:sSubSup>
        <m:r>
          <m:t xml:space="preserve">,</m:t>
        </m:r>
        <m:sSub>
          <m:e>
            <m:r>
              <m:t xml:space="preserve">t</m:t>
            </m:r>
          </m:e>
          <m:sub>
            <m:r>
              <m:t xml:space="preserve">c</m:t>
            </m:r>
          </m:sub>
        </m:sSub>
        <m:r>
          <m:t xml:space="preserve">)</m:t>
        </m:r>
        <m:r>
          <m:t xml:space="preserve">.</m:t>
        </m:r>
      </m:oMath>
      <w:r/>
    </w:p>
    <w:p>
      <w:pPr/>
      <w:r>
        <w:t>组件采用第二章定义的规范身份：文档版本、原文字符半开区间和原生类型。增强全文是另一个文本版本，故记为d′；显示ID仅建立追踪对应，不能替代坐标或版本身份。回填后更新所有组件的字符区间，再派生评价token与模型子词表示；只读组件也会随前文长度变化而移动。φ是组件之间的双射，不是字符或token位置之间的双射。关系及超边的全部端点经过同一φ迁移。槽位重叠、坐标往返不一致或端点无法无损输运时，拒绝该视图并保留原始样本。</w:t>
      </w:r>
    </w:p>
    <w:p>
      <w:pPr/>
      <w:r>
        <w:t>表3-1提供了迁移前的真实原生对象；3.3.4节另用一个可逐项计算的教学文档展示回填、φ、审核结果及监督掩码。二者的证据身份分别保留，不将教学改写称为模型实际输出。</w:t>
      </w:r>
    </w:p>
    <w:p>
      <w:pPr>
        <w:pStyle w:val="Heading2"/>
      </w:pPr>
      <w:r>
        <w:t>3.3.3 审核掩码与语义未知因素</w:t>
      </w:r>
    </w:p>
    <w:p>
      <w:pPr>
        <w:pStyle w:val="Normal"/>
      </w:pPr>
      <w:r>
        <w:t xml:space="preserve">所有版本先检查格式、槽位身份、坐标往返和完整端点引用，再在全文上下文中检查改写组件的含义、角色、指代、否定与模态。格式失效或确认改变组件含义时拒绝整个变体；组件意义待定时也不接纳该变体。原始文档和金标不因模型判断而删除。</w:t>
      </w:r>
    </w:p>
    <w:p>
      <w:pPr>
        <w:pStyle w:val="Normal"/>
      </w:pPr>
      <w:r>
        <w:t xml:space="preserve">通过组件检查后，默认采用因素掩码。关系审核子集</w:t>
      </w:r>
      <w:r>
        <w:t xml:space="preserve"> </w:t>
      </w:r>
      <m:oMath>
        <m:sSub>
          <m:e>
            <m:r>
              <m:t>J</m:t>
            </m:r>
          </m:e>
          <m:sub>
            <m:r>
              <m:t>A</m:t>
            </m:r>
          </m:sub>
        </m:sSub>
        <m:r>
          <m:rPr>
            <m:sty m:val="p"/>
          </m:rPr>
          <m:t>⊆</m:t>
        </m:r>
        <m:sSub>
          <m:e>
            <m:r>
              <m:rPr>
                <m:sty m:val="p"/>
                <m:scr m:val="script"/>
              </m:rPr>
              <m:t>D</m:t>
            </m:r>
          </m:e>
          <m:sub>
            <m:r>
              <m:t>A</m:t>
            </m:r>
          </m:sub>
        </m:sSub>
      </m:oMath>
      <w:r>
        <w:t xml:space="preserve"> </w:t>
      </w:r>
      <w:r>
        <w:t xml:space="preserve">包含全部受影响正关系，并按固定哈希最多抽取内部、跨边界NONE各4项；已知CDCP联合源的单成员不机械记作负例。正关系无法在资源内全部核查时，本次变体不进入关系学习，但通过检查的组件仍可提供组件级监督。未审核的NONE不被当作已经稳定。</w:t>
      </w:r>
    </w:p>
    <w:p>
      <w:pPr>
        <w:pStyle w:val="Normal"/>
      </w:pPr>
      <w:r>
        <w:t xml:space="preserve">验证器分别判断原文因素和改写因素。仅当原标注获认可、改写后状态仍一致、完整端点对应有效时，令</w:t>
      </w:r>
      <w:r>
        <w:t xml:space="preserve"> </w:t>
      </w:r>
      <m:oMath>
        <m:sSub>
          <m:e>
            <m:r>
              <m:t>m</m:t>
            </m:r>
          </m:e>
          <m:sub>
            <m:r>
              <m:t>R</m:t>
            </m:r>
          </m:sub>
        </m:sSub>
        <m:d>
          <m:dPr>
            <m:begChr m:val="("/>
            <m:endChr m:val=")"/>
            <m:sepChr m:val=""/>
            <m:grow/>
          </m:dPr>
          <m:e>
            <m:r>
              <m:t>ω</m:t>
            </m:r>
          </m:e>
        </m:d>
        <m:r>
          <m:rPr>
            <m:sty m:val="p"/>
          </m:rPr>
          <m:t>=</m:t>
        </m:r>
        <m:r>
          <m:t>1</m:t>
        </m:r>
      </m:oMath>
      <w:r>
        <w:t xml:space="preserve">；原标签分歧、变化或待定均令其为0。组件同样保存</w:t>
      </w:r>
      <w:r>
        <w:t xml:space="preserve"> </w:t>
      </w:r>
      <m:oMath>
        <m:sSub>
          <m:e>
            <m:r>
              <m:t>m</m:t>
            </m:r>
          </m:e>
          <m:sub>
            <m:r>
              <m:t>C</m:t>
            </m:r>
          </m:sub>
        </m:sSub>
        <m:d>
          <m:dPr>
            <m:begChr m:val="("/>
            <m:endChr m:val=")"/>
            <m:sepChr m:val=""/>
            <m:grow/>
          </m:dPr>
          <m:e>
            <m:r>
              <m:t>c</m:t>
            </m:r>
          </m:e>
        </m:d>
      </m:oMath>
      <w:r>
        <w:t xml:space="preserve">，用于头监督和对齐的只读端点也在全文上下文中审核，不能只因字面未变就判定其论辩角色稳定；关系掩码为1还要求全部端点的组件掩码为1。判定来自固定模型，故“可靠”表示通过声明的检查，不是人工金标准语义保证。</w:t>
      </w:r>
    </w:p>
    <w:p>
      <w:pPr>
        <w:pStyle w:val="Normal"/>
      </w:pPr>
      <w:r>
        <w:t xml:space="preserve">默认策略不因某个关系未通过而丢掉所有有效组件，也不把该关系改为NONE。变体保存完整输运图以供追踪，但只有掩码为1的标签参与增强侧损失。完整筛选对照则检查声明影响域的全部因素，任一变化或待定即拒绝整例，其余生成和训练资源按共同规则登记。若完整筛选损失源覆盖却未改善学习，采用因素掩码即可。</w:t>
      </w:r>
    </w:p>
    <w:p>
      <w:pPr/>
      <w:r>
        <w:t>每篇最多四次尝试、最多两个接受视图；记录模型、提示、原始判断、掩码、对应、拒绝原因及全部成本。原文和变体按源文档共同分组。因素掩码是本章声明的默认设计，其漂移和覆盖由3.6.3节独立诊断；不能依据测试结果反向选择掩码策略。</w:t>
      </w:r>
    </w:p>
    <w:p>
      <w:pPr>
        <w:pStyle w:val="Normal"/>
      </w:pPr>
      <w:r>
        <w:t xml:space="preserve">验证时先不给出待判断因素的正确答案，取得分类后再与原标签比较；审核者按固定规范独立作答，再由裁决者形成参照。独立上下文或参数分离都不能保证审核误差独立。</w:t>
      </w:r>
    </w:p>
    <w:p>
      <w:pPr>
        <w:pStyle w:val="Normal"/>
      </w:pPr>
      <w:r>
        <w:t xml:space="preserve">严格抽取评价只问一个完整对象是否在金标中。若金标为</w:t>
      </w:r>
      <w:r>
        <w:t xml:space="preserve"> </w:t>
      </w:r>
      <m:oMath>
        <m:r>
          <m:t>h</m:t>
        </m:r>
        <m:r>
          <m:rPr>
            <m:sty m:val="p"/>
          </m:rPr>
          <m:t>=</m:t>
        </m:r>
        <m:d>
          <m:dPr>
            <m:begChr m:val="("/>
            <m:endChr m:val=")"/>
            <m:sepChr m:val=""/>
            <m:grow/>
          </m:dPr>
          <m:e>
            <m:r>
              <m:rPr>
                <m:sty m:val="p"/>
              </m:rPr>
              <m:t>{</m:t>
            </m:r>
            <m:sSub>
              <m:e>
                <m:r>
                  <m:t>c</m:t>
                </m:r>
              </m:e>
              <m:sub>
                <m:r>
                  <m:t>1</m:t>
                </m:r>
              </m:sub>
            </m:sSub>
            <m:r>
              <m:rPr>
                <m:sty m:val="p"/>
              </m:rPr>
              <m:t>,</m:t>
            </m:r>
            <m:sSub>
              <m:e>
                <m:r>
                  <m:t>c</m:t>
                </m:r>
              </m:e>
              <m:sub>
                <m:r>
                  <m:t>2</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t xml:space="preserve">，预测</w:t>
      </w:r>
      <w:r>
        <w:t xml:space="preserve"> </w:t>
      </w:r>
      <m:oMath>
        <m:d>
          <m:dPr>
            <m:begChr m:val="("/>
            <m:endChr m:val=")"/>
            <m:sepChr m:val=""/>
            <m:grow/>
          </m:dPr>
          <m:e>
            <m:r>
              <m:rPr>
                <m:sty m:val="p"/>
              </m:rPr>
              <m:t>{</m:t>
            </m:r>
            <m:sSub>
              <m:e>
                <m:r>
                  <m:t>c</m:t>
                </m:r>
              </m:e>
              <m:sub>
                <m:r>
                  <m:t>1</m:t>
                </m:r>
              </m:sub>
            </m:sSub>
            <m:r>
              <m:rPr>
                <m:sty m:val="p"/>
              </m:rPr>
              <m:t>}</m:t>
            </m:r>
            <m:r>
              <m:rPr>
                <m:sty m:val="p"/>
              </m:rPr>
              <m:t>,</m:t>
            </m:r>
            <m:sSub>
              <m:e>
                <m:r>
                  <m:t>c</m:t>
                </m:r>
              </m:e>
              <m:sub>
                <m:r>
                  <m:t>3</m:t>
                </m:r>
              </m:sub>
            </m:sSub>
            <m:r>
              <m:rPr>
                <m:sty m:val="p"/>
              </m:rPr>
              <m:t>,</m:t>
            </m:r>
            <m:r>
              <m:rPr>
                <m:sty m:val="p"/>
              </m:rPr>
              <m:t>R</m:t>
            </m:r>
            <m:r>
              <m:rPr>
                <m:sty m:val="p"/>
              </m:rPr>
              <m:t>e</m:t>
            </m:r>
            <m:r>
              <m:rPr>
                <m:sty m:val="p"/>
              </m:rPr>
              <m:t>a</m:t>
            </m:r>
            <m:r>
              <m:rPr>
                <m:sty m:val="p"/>
              </m:rPr>
              <m:t>s</m:t>
            </m:r>
            <m:r>
              <m:rPr>
                <m:sty m:val="p"/>
              </m:rPr>
              <m:t>o</m:t>
            </m:r>
            <m:r>
              <m:rPr>
                <m:sty m:val="p"/>
              </m:rPr>
              <m:t>n</m:t>
            </m:r>
          </m:e>
        </m:d>
      </m:oMath>
      <w:r>
        <w:t xml:space="preserve"> </w:t>
      </w:r>
      <w:r>
        <w:t xml:space="preserve">就是不同对象，不能匹配该金标。但是完整联合理由成立，不推出单一成员在语义上既不支持也不反对目标。</w:t>
      </w:r>
    </w:p>
    <w:p>
      <w:pPr>
        <w:pStyle w:val="Normal"/>
      </w:pPr>
      <w:r>
        <w:t xml:space="preserve">为此，训练语义头另定义未知集合</w:t>
      </w:r>
      <w:r>
        <w:t xml:space="preserve"> </w:t>
      </w:r>
      <m:oMath>
        <m:sSub>
          <m:e>
            <m:r>
              <m:rPr>
                <m:sty m:val="p"/>
                <m:scr m:val="script"/>
              </m:rPr>
              <m:t>U</m:t>
            </m:r>
          </m:e>
          <m:sub>
            <m:r>
              <m:t>s</m:t>
            </m:r>
            <m:r>
              <m:t>e</m:t>
            </m:r>
            <m:r>
              <m:t>m</m:t>
            </m:r>
          </m:sub>
        </m:sSub>
      </m:oMath>
      <w:r>
        <w:t xml:space="preserve">：对已标注联合源，若同目标的非空真子集没有任何单独正关系标注，则将该端点因素列为语义未知。显式正标注优先，不屏蔽已有单源正关系。</w:t>
      </w:r>
      <m:oMath>
        <m:sSub>
          <m:e>
            <m:r>
              <m:t>Ω</m:t>
            </m:r>
          </m:e>
          <m:sub>
            <m:r>
              <m:t>s</m:t>
            </m:r>
            <m:r>
              <m:t>e</m:t>
            </m:r>
            <m:r>
              <m:t>m</m:t>
            </m:r>
          </m:sub>
        </m:sSub>
        <m:r>
          <m:rPr>
            <m:sty m:val="p"/>
          </m:rPr>
          <m:t>=</m:t>
        </m:r>
        <m:r>
          <m:t>Ω</m:t>
        </m:r>
        <m:r>
          <m:rPr>
            <m:sty m:val="p"/>
          </m:rPr>
          <m:t>∖</m:t>
        </m:r>
        <m:sSub>
          <m:e>
            <m:r>
              <m:rPr>
                <m:sty m:val="p"/>
                <m:scr m:val="script"/>
              </m:rPr>
              <m:t>U</m:t>
            </m:r>
          </m:e>
          <m:sub>
            <m:r>
              <m:t>s</m:t>
            </m:r>
            <m:r>
              <m:t>e</m:t>
            </m:r>
            <m:r>
              <m:t>m</m:t>
            </m:r>
          </m:sub>
        </m:sSub>
      </m:oMath>
      <w:r>
        <w:t xml:space="preserve"> </w:t>
      </w:r>
      <w:r>
        <w:t xml:space="preserve">为可审核因素宇宙，完整影响域与抽样集合均在该宇宙内定义。完整筛选的“全部”指这里已声明的可审核域，未知项另计数量，不称为已经通过。</w:t>
      </w:r>
    </w:p>
    <w:p>
      <w:pPr>
        <w:pStyle w:val="Normal"/>
      </w:pPr>
      <w:r>
        <w:t xml:space="preserve">原文和变体的语义关系头均不把</w:t>
      </w:r>
      <w:r>
        <w:t xml:space="preserve"> </w:t>
      </w:r>
      <m:oMath>
        <m:sSub>
          <m:e>
            <m:r>
              <m:rPr>
                <m:sty m:val="p"/>
                <m:scr m:val="script"/>
              </m:rPr>
              <m:t>U</m:t>
            </m:r>
          </m:e>
          <m:sub>
            <m:r>
              <m:t>s</m:t>
            </m:r>
            <m:r>
              <m:t>e</m:t>
            </m:r>
            <m:r>
              <m:t>m</m:t>
            </m:r>
          </m:sub>
        </m:sSub>
      </m:oMath>
      <w:r>
        <w:t xml:space="preserve"> </w:t>
      </w:r>
      <w:r>
        <w:t xml:space="preserve">当作NONE负例；相应监督与对齐掩码都为0。原文完整生成目标仍保留原始超边，金标不删不改。第四章评分器预测的是“完整对象是否与标注精确匹配”，因此该真子集可作为完整对象不匹配的负例，其0标签不解释为语义上没有关系。推理NONE继续表示该槽位未选正关系。由此分开标注存在性、语义审核与推理决策三种用途。</w:t>
      </w:r>
    </w:p>
    <w:p>
      <w:pPr/>
      <w:r>
        <w:t>将通过审核且端点组件也通过检查的关系集合记为</w:t>
      </w:r>
      <m:oMath>
        <m:sSub>
          <m:e>
            <m:r>
              <m:t xml:space="preserve">R</m:t>
            </m:r>
          </m:e>
          <m:sub>
            <m:r>
              <m:t xml:space="preserve">A</m:t>
            </m:r>
          </m:sub>
        </m:sSub>
      </m:oMath>
      <w:r>
        <w:t>，则各层满足</w:t>
      </w:r>
    </w:p>
    <w:p>
      <w:pPr>
        <w:ind w:firstLine="0"/>
        <w:jc w:val="center"/>
      </w:pPr>
      <w:r/>
      <m:oMath>
        <m:sSub>
          <m:e>
            <m:r>
              <m:t xml:space="preserve">R</m:t>
            </m:r>
          </m:e>
          <m:sub>
            <m:r>
              <m:t xml:space="preserve">A</m:t>
            </m:r>
          </m:sub>
        </m:sSub>
        <m:r>
          <m:t xml:space="preserve">⊆</m:t>
        </m:r>
        <m:sSub>
          <m:e>
            <m:r>
              <m:t xml:space="preserve">J</m:t>
            </m:r>
          </m:e>
          <m:sub>
            <m:r>
              <m:t xml:space="preserve">A</m:t>
            </m:r>
          </m:sub>
        </m:sSub>
        <m:r>
          <m:t xml:space="preserve">⊆</m:t>
        </m:r>
        <m:sSub>
          <m:e>
            <m:r>
              <m:t xml:space="preserve">D</m:t>
            </m:r>
          </m:e>
          <m:sub>
            <m:r>
              <m:t xml:space="preserve">A</m:t>
            </m:r>
          </m:sub>
        </m:sSub>
        <m:r>
          <m:t xml:space="preserve">⊆</m:t>
        </m:r>
        <m:sSub>
          <m:e>
            <m:r>
              <m:t xml:space="preserve">Ω</m:t>
            </m:r>
          </m:e>
          <m:sub>
            <m:r>
              <m:t xml:space="preserve">s</m:t>
            </m:r>
            <m:r>
              <m:t xml:space="preserve">e</m:t>
            </m:r>
            <m:r>
              <m:t xml:space="preserve">m</m:t>
            </m:r>
          </m:sub>
        </m:sSub>
        <m:r>
          <m:t xml:space="preserve">,</m:t>
        </m:r>
        <m:r>
          <m:t xml:space="preserve">  </m:t>
        </m:r>
        <m:sSub>
          <m:e>
            <m:r>
              <m:t xml:space="preserve">Ω</m:t>
            </m:r>
          </m:e>
          <m:sub>
            <m:r>
              <m:t xml:space="preserve">s</m:t>
            </m:r>
            <m:r>
              <m:t xml:space="preserve">e</m:t>
            </m:r>
            <m:r>
              <m:t xml:space="preserve">m</m:t>
            </m:r>
          </m:sub>
        </m:sSub>
        <m:r>
          <m:t xml:space="preserve">=</m:t>
        </m:r>
        <m:r>
          <m:t xml:space="preserve">Ω</m:t>
        </m:r>
        <m:r>
          <m:t xml:space="preserve">∖</m:t>
        </m:r>
        <m:sSub>
          <m:e>
            <m:r>
              <m:t xml:space="preserve">U</m:t>
            </m:r>
          </m:e>
          <m:sub>
            <m:r>
              <m:t xml:space="preserve">s</m:t>
            </m:r>
            <m:r>
              <m:t xml:space="preserve">e</m:t>
            </m:r>
            <m:r>
              <m:t xml:space="preserve">m</m:t>
            </m:r>
          </m:sub>
        </m:sSub>
        <m:r>
          <m:t xml:space="preserve">.</m:t>
        </m:r>
      </m:oMath>
      <w:r/>
    </w:p>
    <w:p>
      <w:pPr/>
      <w:r>
        <w:t>完整影响域</w:t>
      </w:r>
      <m:oMath>
        <m:sSub>
          <m:e>
            <m:r>
              <m:t xml:space="preserve">D</m:t>
            </m:r>
          </m:e>
          <m:sub>
            <m:r>
              <m:t xml:space="preserve">A</m:t>
            </m:r>
          </m:sub>
        </m:sSub>
      </m:oMath>
      <w:r>
        <w:t>是定义范围，</w:t>
      </w:r>
      <m:oMath>
        <m:sSub>
          <m:e>
            <m:r>
              <m:t xml:space="preserve">J</m:t>
            </m:r>
          </m:e>
          <m:sub>
            <m:r>
              <m:t xml:space="preserve">A</m:t>
            </m:r>
          </m:sub>
        </m:sSub>
      </m:oMath>
      <w:r>
        <w:t>是实际审核范围，</w:t>
      </w:r>
      <m:oMath>
        <m:sSub>
          <m:e>
            <m:r>
              <m:t xml:space="preserve">R</m:t>
            </m:r>
          </m:e>
          <m:sub>
            <m:r>
              <m:t xml:space="preserve">A</m:t>
            </m:r>
          </m:sub>
        </m:sSub>
      </m:oMath>
      <w:r>
        <w:t>才是增强关系损失的入口。默认</w:t>
      </w:r>
      <m:oMath>
        <m:sSub>
          <m:e>
            <m:r>
              <m:t xml:space="preserve">J</m:t>
            </m:r>
          </m:e>
          <m:sub>
            <m:r>
              <m:t xml:space="preserve">A</m:t>
            </m:r>
          </m:sub>
        </m:sSub>
      </m:oMath>
      <w:r>
        <w:t>通常小于</w:t>
      </w:r>
      <m:oMath>
        <m:sSub>
          <m:e>
            <m:r>
              <m:t xml:space="preserve">D</m:t>
            </m:r>
          </m:e>
          <m:sub>
            <m:r>
              <m:t xml:space="preserve">A</m:t>
            </m:r>
          </m:sub>
        </m:sSub>
      </m:oMath>
      <w:r>
        <w:t>；完整筛选才令</w:t>
      </w:r>
      <m:oMath>
        <m:sSub>
          <m:e>
            <m:r>
              <m:t xml:space="preserve">J</m:t>
            </m:r>
          </m:e>
          <m:sub>
            <m:r>
              <m:t xml:space="preserve">A</m:t>
            </m:r>
          </m:sub>
        </m:sSub>
        <m:r>
          <m:t xml:space="preserve">=</m:t>
        </m:r>
        <m:sSub>
          <m:e>
            <m:r>
              <m:t xml:space="preserve">D</m:t>
            </m:r>
          </m:e>
          <m:sub>
            <m:r>
              <m:t xml:space="preserve">A</m:t>
            </m:r>
          </m:sub>
        </m:sSub>
      </m:oMath>
      <w:r>
        <w:t>，语义未知</w:t>
      </w:r>
      <m:oMath>
        <m:sSub>
          <m:e>
            <m:r>
              <m:t xml:space="preserve">U</m:t>
            </m:r>
          </m:e>
          <m:sub>
            <m:r>
              <m:t xml:space="preserve">s</m:t>
            </m:r>
            <m:r>
              <m:t xml:space="preserve">e</m:t>
            </m:r>
            <m:r>
              <m:t xml:space="preserve">m</m:t>
            </m:r>
          </m:sub>
        </m:sSub>
      </m:oMath>
      <w:r>
        <w:t>始终在两者之外。图3-1的两个分支应按这一集合关系理解。</w:t>
      </w:r>
    </w:p>
    <w:p>
      <w:pPr>
        <w:pStyle w:val="Heading2"/>
      </w:pPr>
      <w:r>
        <w:t>3.3.4 从改写到训练的完整示例</w:t>
      </w:r>
    </w:p>
    <w:p>
      <w:pPr/>
      <w:r>
        <w:t>以下为构造的教学文档，审核状态也按教学目的设定；它不来自目标模型调用。用a、b、c、d追踪四个组件，原始正关系为b→a、c→b，均标为supports，b→d与c→d为NONE。为便于手算，本例声明的因素宇宙仅含这四项，不作为AAEC全量因素枚举的实例。给定中心a，一跳完整入源规则得到A={a,b}；影响域含前三项，c→b是跨边界正因素，c→d位于域外。</w:t>
      </w:r>
    </w:p>
    <w:p>
      <w:pPr>
        <w:keepNext/>
        <w:ind w:firstLine="0"/>
        <w:jc w:val="center"/>
      </w:pPr>
      <w:r>
        <w:t>表3-2 教学示例的原文 改写与全部组件迁移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3"/>
        <w:gridCol w:w="3822"/>
        <w:gridCol w:w="4038"/>
      </w:tblGrid>
      <w:tr>
        <w:trPr>
          <w:cantSplit/>
          <w:tblHeader/>
        </w:trPr>
        <w:tc>
          <w:tcPr>
            <w:tcW w:type="dxa" w:w="1803"/>
            <w:vAlign w:val="center"/>
            <w:tcMar>
              <w:top w:w="65" w:type="dxa"/>
              <w:bottom w:w="65" w:type="dxa"/>
              <w:left w:w="65" w:type="dxa"/>
              <w:right w:w="65" w:type="dxa"/>
            </w:tcMar>
            <w:shd w:fill="E7E6E6"/>
          </w:tcPr>
          <w:p>
            <w:pPr>
              <w:spacing w:after="0" w:line="259" w:lineRule="auto"/>
              <w:ind w:firstLine="0"/>
              <w:jc w:val="center"/>
            </w:pPr>
            <w:r>
              <w:rPr>
                <w:b/>
                <w:sz w:val="18"/>
              </w:rPr>
              <w:t>ID及类型</w:t>
            </w:r>
          </w:p>
        </w:tc>
        <w:tc>
          <w:tcPr>
            <w:tcW w:type="dxa" w:w="3822"/>
            <w:vAlign w:val="center"/>
            <w:tcMar>
              <w:top w:w="65" w:type="dxa"/>
              <w:bottom w:w="65" w:type="dxa"/>
              <w:left w:w="65" w:type="dxa"/>
              <w:right w:w="65" w:type="dxa"/>
            </w:tcMar>
            <w:shd w:fill="E7E6E6"/>
          </w:tcPr>
          <w:p>
            <w:pPr>
              <w:spacing w:after="0" w:line="259" w:lineRule="auto"/>
              <w:ind w:firstLine="0"/>
              <w:jc w:val="center"/>
            </w:pPr>
            <w:r>
              <w:rPr>
                <w:b/>
                <w:sz w:val="18"/>
              </w:rPr>
              <w:t>原字符区间与文字</w:t>
            </w:r>
          </w:p>
        </w:tc>
        <w:tc>
          <w:tcPr>
            <w:tcW w:type="dxa" w:w="4038"/>
            <w:vAlign w:val="center"/>
            <w:tcMar>
              <w:top w:w="65" w:type="dxa"/>
              <w:bottom w:w="65" w:type="dxa"/>
              <w:left w:w="65" w:type="dxa"/>
              <w:right w:w="65" w:type="dxa"/>
            </w:tcMar>
            <w:shd w:fill="E7E6E6"/>
          </w:tcPr>
          <w:p>
            <w:pPr>
              <w:spacing w:after="0" w:line="259" w:lineRule="auto"/>
              <w:ind w:firstLine="0"/>
              <w:jc w:val="center"/>
            </w:pPr>
            <w:r>
              <w:rPr>
                <w:b/>
                <w:sz w:val="18"/>
              </w:rPr>
              <w:t>新字符区间与文字</w:t>
            </w:r>
          </w:p>
        </w:tc>
      </w:tr>
      <w:tr>
        <w:trPr>
          <w:cantSplit/>
        </w:trPr>
        <w:tc>
          <w:tcPr>
            <w:tcW w:type="dxa" w:w="1803"/>
            <w:vAlign w:val="center"/>
            <w:tcMar>
              <w:top w:w="65" w:type="dxa"/>
              <w:bottom w:w="65" w:type="dxa"/>
              <w:left w:w="65" w:type="dxa"/>
              <w:right w:w="65" w:type="dxa"/>
            </w:tcMar>
          </w:tcPr>
          <w:p>
            <w:pPr>
              <w:spacing w:after="0" w:line="259" w:lineRule="auto"/>
              <w:ind w:firstLine="0"/>
              <w:jc w:val="center"/>
            </w:pPr>
            <w:r>
              <w:rPr>
                <w:b w:val="0"/>
                <w:sz w:val="18"/>
              </w:rPr>
              <w:t>a / Claim</w:t>
            </w:r>
          </w:p>
        </w:tc>
        <w:tc>
          <w:tcPr>
            <w:tcW w:type="dxa" w:w="3822"/>
            <w:vAlign w:val="center"/>
            <w:tcMar>
              <w:top w:w="65" w:type="dxa"/>
              <w:bottom w:w="65" w:type="dxa"/>
              <w:left w:w="65" w:type="dxa"/>
              <w:right w:w="65" w:type="dxa"/>
            </w:tcMar>
          </w:tcPr>
          <w:p>
            <w:pPr>
              <w:spacing w:after="0" w:line="259" w:lineRule="auto"/>
              <w:ind w:firstLine="0"/>
              <w:jc w:val="left"/>
            </w:pPr>
            <w:r>
              <w:rPr>
                <w:b w:val="0"/>
                <w:sz w:val="18"/>
              </w:rPr>
              <w:t>[0,44) Teamwork helps children learn social skills.</w:t>
            </w:r>
          </w:p>
        </w:tc>
        <w:tc>
          <w:tcPr>
            <w:tcW w:type="dxa" w:w="4038"/>
            <w:vAlign w:val="center"/>
            <w:tcMar>
              <w:top w:w="65" w:type="dxa"/>
              <w:bottom w:w="65" w:type="dxa"/>
              <w:left w:w="65" w:type="dxa"/>
              <w:right w:w="65" w:type="dxa"/>
            </w:tcMar>
          </w:tcPr>
          <w:p>
            <w:pPr>
              <w:spacing w:after="0" w:line="259" w:lineRule="auto"/>
              <w:ind w:firstLine="0"/>
              <w:jc w:val="left"/>
            </w:pPr>
            <w:r>
              <w:rPr>
                <w:b w:val="0"/>
                <w:sz w:val="18"/>
              </w:rPr>
              <w:t>[0,49) Cooperation helps children develop social skills.</w:t>
            </w:r>
          </w:p>
        </w:tc>
      </w:tr>
      <w:tr>
        <w:trPr>
          <w:cantSplit/>
        </w:trPr>
        <w:tc>
          <w:tcPr>
            <w:tcW w:type="dxa" w:w="1803"/>
            <w:vAlign w:val="center"/>
            <w:tcMar>
              <w:top w:w="65" w:type="dxa"/>
              <w:bottom w:w="65" w:type="dxa"/>
              <w:left w:w="65" w:type="dxa"/>
              <w:right w:w="65" w:type="dxa"/>
            </w:tcMar>
          </w:tcPr>
          <w:p>
            <w:pPr>
              <w:spacing w:after="0" w:line="259" w:lineRule="auto"/>
              <w:ind w:firstLine="0"/>
              <w:jc w:val="center"/>
            </w:pPr>
            <w:r>
              <w:rPr>
                <w:b w:val="0"/>
                <w:sz w:val="18"/>
              </w:rPr>
              <w:t>b / Premise</w:t>
            </w:r>
          </w:p>
        </w:tc>
        <w:tc>
          <w:tcPr>
            <w:tcW w:type="dxa" w:w="3822"/>
            <w:vAlign w:val="center"/>
            <w:tcMar>
              <w:top w:w="65" w:type="dxa"/>
              <w:bottom w:w="65" w:type="dxa"/>
              <w:left w:w="65" w:type="dxa"/>
              <w:right w:w="65" w:type="dxa"/>
            </w:tcMar>
          </w:tcPr>
          <w:p>
            <w:pPr>
              <w:spacing w:after="0" w:line="259" w:lineRule="auto"/>
              <w:ind w:firstLine="0"/>
              <w:jc w:val="left"/>
            </w:pPr>
            <w:r>
              <w:rPr>
                <w:b w:val="0"/>
                <w:sz w:val="18"/>
              </w:rPr>
              <w:t>[45,94) Working together teaches children to communicate.</w:t>
            </w:r>
          </w:p>
        </w:tc>
        <w:tc>
          <w:tcPr>
            <w:tcW w:type="dxa" w:w="4038"/>
            <w:vAlign w:val="center"/>
            <w:tcMar>
              <w:top w:w="65" w:type="dxa"/>
              <w:bottom w:w="65" w:type="dxa"/>
              <w:left w:w="65" w:type="dxa"/>
              <w:right w:w="65" w:type="dxa"/>
            </w:tcMar>
          </w:tcPr>
          <w:p>
            <w:pPr>
              <w:spacing w:after="0" w:line="259" w:lineRule="auto"/>
              <w:ind w:firstLine="0"/>
              <w:jc w:val="left"/>
            </w:pPr>
            <w:r>
              <w:rPr>
                <w:b w:val="0"/>
                <w:sz w:val="18"/>
              </w:rPr>
              <w:t>[50,100) Children learn to communicate by working together.</w:t>
            </w:r>
          </w:p>
        </w:tc>
      </w:tr>
      <w:tr>
        <w:trPr>
          <w:cantSplit/>
        </w:trPr>
        <w:tc>
          <w:tcPr>
            <w:tcW w:type="dxa" w:w="1803"/>
            <w:vAlign w:val="center"/>
            <w:tcMar>
              <w:top w:w="65" w:type="dxa"/>
              <w:bottom w:w="65" w:type="dxa"/>
              <w:left w:w="65" w:type="dxa"/>
              <w:right w:w="65" w:type="dxa"/>
            </w:tcMar>
          </w:tcPr>
          <w:p>
            <w:pPr>
              <w:spacing w:after="0" w:line="259" w:lineRule="auto"/>
              <w:ind w:firstLine="0"/>
              <w:jc w:val="center"/>
            </w:pPr>
            <w:r>
              <w:rPr>
                <w:b w:val="0"/>
                <w:sz w:val="18"/>
              </w:rPr>
              <w:t>c / Premise</w:t>
            </w:r>
          </w:p>
        </w:tc>
        <w:tc>
          <w:tcPr>
            <w:tcW w:type="dxa" w:w="3822"/>
            <w:vAlign w:val="center"/>
            <w:tcMar>
              <w:top w:w="65" w:type="dxa"/>
              <w:bottom w:w="65" w:type="dxa"/>
              <w:left w:w="65" w:type="dxa"/>
              <w:right w:w="65" w:type="dxa"/>
            </w:tcMar>
          </w:tcPr>
          <w:p>
            <w:pPr>
              <w:spacing w:after="0" w:line="259" w:lineRule="auto"/>
              <w:ind w:firstLine="0"/>
              <w:jc w:val="left"/>
            </w:pPr>
            <w:r>
              <w:rPr>
                <w:b w:val="0"/>
                <w:sz w:val="18"/>
              </w:rPr>
              <w:t>[95,143) Team tasks require children to listen to others.</w:t>
            </w:r>
          </w:p>
        </w:tc>
        <w:tc>
          <w:tcPr>
            <w:tcW w:type="dxa" w:w="4038"/>
            <w:vAlign w:val="center"/>
            <w:tcMar>
              <w:top w:w="65" w:type="dxa"/>
              <w:bottom w:w="65" w:type="dxa"/>
              <w:left w:w="65" w:type="dxa"/>
              <w:right w:w="65" w:type="dxa"/>
            </w:tcMar>
          </w:tcPr>
          <w:p>
            <w:pPr>
              <w:spacing w:after="0" w:line="259" w:lineRule="auto"/>
              <w:ind w:firstLine="0"/>
              <w:jc w:val="left"/>
            </w:pPr>
            <w:r>
              <w:rPr>
                <w:b w:val="0"/>
                <w:sz w:val="18"/>
              </w:rPr>
              <w:t>[101,149) Team tasks require children to listen to others.</w:t>
            </w:r>
          </w:p>
        </w:tc>
      </w:tr>
      <w:tr>
        <w:trPr>
          <w:cantSplit/>
        </w:trPr>
        <w:tc>
          <w:tcPr>
            <w:tcW w:type="dxa" w:w="1803"/>
            <w:vAlign w:val="center"/>
            <w:tcMar>
              <w:top w:w="65" w:type="dxa"/>
              <w:bottom w:w="65" w:type="dxa"/>
              <w:left w:w="65" w:type="dxa"/>
              <w:right w:w="65" w:type="dxa"/>
            </w:tcMar>
          </w:tcPr>
          <w:p>
            <w:pPr>
              <w:spacing w:after="0" w:line="259" w:lineRule="auto"/>
              <w:ind w:firstLine="0"/>
              <w:jc w:val="center"/>
            </w:pPr>
            <w:r>
              <w:rPr>
                <w:b w:val="0"/>
                <w:sz w:val="18"/>
              </w:rPr>
              <w:t>d / Claim</w:t>
            </w:r>
          </w:p>
        </w:tc>
        <w:tc>
          <w:tcPr>
            <w:tcW w:type="dxa" w:w="3822"/>
            <w:vAlign w:val="center"/>
            <w:tcMar>
              <w:top w:w="65" w:type="dxa"/>
              <w:bottom w:w="65" w:type="dxa"/>
              <w:left w:w="65" w:type="dxa"/>
              <w:right w:w="65" w:type="dxa"/>
            </w:tcMar>
          </w:tcPr>
          <w:p>
            <w:pPr>
              <w:spacing w:after="0" w:line="259" w:lineRule="auto"/>
              <w:ind w:firstLine="0"/>
              <w:jc w:val="left"/>
            </w:pPr>
            <w:r>
              <w:rPr>
                <w:b w:val="0"/>
                <w:sz w:val="18"/>
              </w:rPr>
              <w:t>[144,179) Competition can improve efficiency.</w:t>
            </w:r>
          </w:p>
        </w:tc>
        <w:tc>
          <w:tcPr>
            <w:tcW w:type="dxa" w:w="4038"/>
            <w:vAlign w:val="center"/>
            <w:tcMar>
              <w:top w:w="65" w:type="dxa"/>
              <w:bottom w:w="65" w:type="dxa"/>
              <w:left w:w="65" w:type="dxa"/>
              <w:right w:w="65" w:type="dxa"/>
            </w:tcMar>
          </w:tcPr>
          <w:p>
            <w:pPr>
              <w:spacing w:after="0" w:line="259" w:lineRule="auto"/>
              <w:ind w:firstLine="0"/>
              <w:jc w:val="left"/>
            </w:pPr>
            <w:r>
              <w:rPr>
                <w:b w:val="0"/>
                <w:sz w:val="18"/>
              </w:rPr>
              <w:t>[150,185) Competition can improve efficiency.</w:t>
            </w:r>
          </w:p>
        </w:tc>
      </w:tr>
    </w:tbl>
    <w:p>
      <w:pPr/>
      <w:r>
        <w:t>四段组件文字以一个ASCII空格连接，坐标从0开始，使用半开区间。新文本仅改写a、b；c、d的文字保持不变，其坐标仍随前文长度变化更新。φ分别把原文版本demo_aug下的四个规范键映射至demo_aug_v1下的新键，关系的每一个端点同步迁移。坐标与字符切片的往返计算保存在augmentation_example.json。</w:t>
      </w:r>
    </w:p>
    <w:p>
      <w:pPr>
        <w:keepNext/>
        <w:ind w:firstLine="0"/>
        <w:jc w:val="center"/>
      </w:pPr>
      <w:r>
        <w:t>表3-3 教学示例的审核状态与损失入口</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528"/>
        <w:gridCol w:w="2304"/>
        <w:gridCol w:w="2174"/>
      </w:tblGrid>
      <w:tr>
        <w:trPr>
          <w:cantSplit/>
          <w:tblHeader/>
        </w:trPr>
        <w:tc>
          <w:tcPr>
            <w:tcW w:type="dxa" w:w="1656"/>
            <w:vAlign w:val="center"/>
            <w:tcMar>
              <w:top w:w="65" w:type="dxa"/>
              <w:bottom w:w="65" w:type="dxa"/>
              <w:left w:w="65" w:type="dxa"/>
              <w:right w:w="65" w:type="dxa"/>
            </w:tcMar>
            <w:shd w:fill="E7E6E6"/>
          </w:tcPr>
          <w:p>
            <w:pPr>
              <w:spacing w:after="0" w:line="259" w:lineRule="auto"/>
              <w:ind w:firstLine="0"/>
              <w:jc w:val="center"/>
            </w:pPr>
            <w:r>
              <w:rPr>
                <w:b/>
                <w:sz w:val="18"/>
              </w:rPr>
              <w:t>监督对象</w:t>
            </w:r>
          </w:p>
        </w:tc>
        <w:tc>
          <w:tcPr>
            <w:tcW w:type="dxa" w:w="3528"/>
            <w:vAlign w:val="center"/>
            <w:tcMar>
              <w:top w:w="65" w:type="dxa"/>
              <w:bottom w:w="65" w:type="dxa"/>
              <w:left w:w="65" w:type="dxa"/>
              <w:right w:w="65" w:type="dxa"/>
            </w:tcMar>
            <w:shd w:fill="E7E6E6"/>
          </w:tcPr>
          <w:p>
            <w:pPr>
              <w:spacing w:after="0" w:line="259" w:lineRule="auto"/>
              <w:ind w:firstLine="0"/>
              <w:jc w:val="center"/>
            </w:pPr>
            <w:r>
              <w:rPr>
                <w:b/>
                <w:sz w:val="18"/>
              </w:rPr>
              <w:t>构造审核状态</w:t>
            </w:r>
          </w:p>
        </w:tc>
        <w:tc>
          <w:tcPr>
            <w:tcW w:type="dxa" w:w="2304"/>
            <w:vAlign w:val="center"/>
            <w:tcMar>
              <w:top w:w="65" w:type="dxa"/>
              <w:bottom w:w="65" w:type="dxa"/>
              <w:left w:w="65" w:type="dxa"/>
              <w:right w:w="65" w:type="dxa"/>
            </w:tcMar>
            <w:shd w:fill="E7E6E6"/>
          </w:tcPr>
          <w:p>
            <w:pPr>
              <w:spacing w:after="0" w:line="259" w:lineRule="auto"/>
              <w:ind w:firstLine="0"/>
              <w:jc w:val="center"/>
            </w:pPr>
            <w:r>
              <w:rPr>
                <w:b/>
                <w:sz w:val="18"/>
              </w:rPr>
              <w:t>掩码</w:t>
            </w:r>
          </w:p>
        </w:tc>
        <w:tc>
          <w:tcPr>
            <w:tcW w:type="dxa" w:w="2174"/>
            <w:vAlign w:val="center"/>
            <w:tcMar>
              <w:top w:w="65" w:type="dxa"/>
              <w:bottom w:w="65" w:type="dxa"/>
              <w:left w:w="65" w:type="dxa"/>
              <w:right w:w="65" w:type="dxa"/>
            </w:tcMar>
            <w:shd w:fill="E7E6E6"/>
          </w:tcPr>
          <w:p>
            <w:pPr>
              <w:spacing w:after="0" w:line="259" w:lineRule="auto"/>
              <w:ind w:firstLine="0"/>
              <w:jc w:val="center"/>
            </w:pPr>
            <w:r>
              <w:rPr>
                <w:b/>
                <w:sz w:val="18"/>
              </w:rPr>
              <w:t>增强侧用途</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a b c d组件</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含义与角色均通过</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mC=1</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全部参与头监督；a b c参与组件对齐</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b→a supports</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原新标签一致</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mR=1</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正关系监督与成对项</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c→b supports</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关系待定</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mR=0</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不进入增强关系监督或对齐，不改成NONE</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b→d NONE</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原新标签一致</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mR=1</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NONE监督与成对项</w:t>
            </w:r>
          </w:p>
        </w:tc>
      </w:tr>
      <w:tr>
        <w:trPr>
          <w:cantSplit/>
        </w:trPr>
        <w:tc>
          <w:tcPr>
            <w:tcW w:type="dxa" w:w="1656"/>
            <w:vAlign w:val="center"/>
            <w:tcMar>
              <w:top w:w="65" w:type="dxa"/>
              <w:bottom w:w="65" w:type="dxa"/>
              <w:left w:w="65" w:type="dxa"/>
              <w:right w:w="65" w:type="dxa"/>
            </w:tcMar>
          </w:tcPr>
          <w:p>
            <w:pPr>
              <w:spacing w:after="0" w:line="259" w:lineRule="auto"/>
              <w:ind w:firstLine="0"/>
              <w:jc w:val="center"/>
            </w:pPr>
            <w:r>
              <w:rPr>
                <w:b w:val="0"/>
                <w:sz w:val="18"/>
              </w:rPr>
              <w:t>域外c→d NONE</w:t>
            </w:r>
          </w:p>
        </w:tc>
        <w:tc>
          <w:tcPr>
            <w:tcW w:type="dxa" w:w="3528"/>
            <w:vAlign w:val="center"/>
            <w:tcMar>
              <w:top w:w="65" w:type="dxa"/>
              <w:bottom w:w="65" w:type="dxa"/>
              <w:left w:w="65" w:type="dxa"/>
              <w:right w:w="65" w:type="dxa"/>
            </w:tcMar>
          </w:tcPr>
          <w:p>
            <w:pPr>
              <w:spacing w:after="0" w:line="259" w:lineRule="auto"/>
              <w:ind w:firstLine="0"/>
              <w:jc w:val="center"/>
            </w:pPr>
            <w:r>
              <w:rPr>
                <w:b w:val="0"/>
                <w:sz w:val="18"/>
              </w:rPr>
              <w:t>不在影响域</w:t>
            </w:r>
          </w:p>
        </w:tc>
        <w:tc>
          <w:tcPr>
            <w:tcW w:type="dxa" w:w="2304"/>
            <w:vAlign w:val="center"/>
            <w:tcMar>
              <w:top w:w="65" w:type="dxa"/>
              <w:bottom w:w="65" w:type="dxa"/>
              <w:left w:w="65" w:type="dxa"/>
              <w:right w:w="65" w:type="dxa"/>
            </w:tcMar>
          </w:tcPr>
          <w:p>
            <w:pPr>
              <w:spacing w:after="0" w:line="259" w:lineRule="auto"/>
              <w:ind w:firstLine="0"/>
              <w:jc w:val="center"/>
            </w:pPr>
            <w:r>
              <w:rPr>
                <w:b w:val="0"/>
                <w:sz w:val="18"/>
              </w:rPr>
              <w:t>mR=0</w:t>
            </w:r>
          </w:p>
        </w:tc>
        <w:tc>
          <w:tcPr>
            <w:tcW w:type="dxa" w:w="2174"/>
            <w:vAlign w:val="center"/>
            <w:tcMar>
              <w:top w:w="65" w:type="dxa"/>
              <w:bottom w:w="65" w:type="dxa"/>
              <w:left w:w="65" w:type="dxa"/>
              <w:right w:w="65" w:type="dxa"/>
            </w:tcMar>
          </w:tcPr>
          <w:p>
            <w:pPr>
              <w:spacing w:after="0" w:line="259" w:lineRule="auto"/>
              <w:ind w:firstLine="0"/>
              <w:jc w:val="center"/>
            </w:pPr>
            <w:r>
              <w:rPr>
                <w:b w:val="0"/>
                <w:sz w:val="18"/>
              </w:rPr>
              <w:t>保留原文监督 不进入增强侧关系损失</w:t>
            </w:r>
          </w:p>
        </w:tc>
      </w:tr>
    </w:tbl>
    <w:p>
      <w:pPr/>
      <w:r>
        <w:t>该视图通过组件门，虽有一项关系待定，仍由默认因素掩码策略接纳。设这篇源文档仅有一个接受视图，则md=1，头监督为(S原文+Sm增强)/2。组件对齐集合A+={a,b,c}，每项先取1/3；d只参与可靠NONE端点，不因此进入组件对齐。关系对齐的正关系组和NONE组各有一项，组权重各为1/2；乘默认λR=0.5后，两项各占0.25。原文完整生成及句子监督的权重不变，增强输运图不作为完整生成答案。</w:t>
      </w:r>
    </w:p>
    <w:p>
      <w:pPr/>
      <w:r>
        <w:t>再考虑第二次构造尝试，将a改为“Teamwork does not help children learn social skills.”。新增否定改变原组件含义，整视图在组件门被拒绝，不进入Views，不增加md，也不参与任何增强损失；原文监督及第一条已接受视图保留。如果随后另有一个真实接受视图，md才增至2，头监督的每视图权重变为1/3，成对项再按两个接受视图平均。</w:t>
      </w:r>
    </w:p>
    <w:p>
      <w:pPr/>
      <w:r>
        <w:t>该示例使坐标、掩码与权重可被复算，却不验证模型生成或语义审核的实际可靠性。真实机制验证仍需提供相同字段的目标流程原始输出，尤其是“部分掩码接纳”与“语义变化拒绝”各一条。</w:t>
      </w:r>
    </w:p>
    <w:p>
      <w:pPr>
        <w:pStyle w:val="Heading1"/>
      </w:pPr>
      <w:r>
        <w:t>3.4 成对组件与关系学习</w:t>
      </w:r>
    </w:p>
    <w:p>
      <w:pPr/>
      <w:r>
        <w:t>增强视图通过检查后，训练还需利用“不同表达对应相同论辩功能”的可靠对应。以表3-1为例，若T4被改写且通过组件检查，其Premise标签可以参与增强侧监督；T4→T3的supports与T4→T7的NONE则须各自通过关系检查，不能由组件通过推定二者都保持。成对目标比较这些可靠因素的类别分布，不要求新旧文本具有相同词序、长度或坐标。两个视图也可能共同预测错误，因此分布对齐必须与金标锚定配合。</w:t>
      </w:r>
    </w:p>
    <w:p>
      <w:pPr>
        <w:pStyle w:val="Normal"/>
      </w:pPr>
      <w:r>
        <w:t xml:space="preserve">图3-2给出从增强样本到参数更新的训练架构。原文与增强文经过同一个生成器，组件对应</w:t>
      </w:r>
      <w:r>
        <w:t xml:space="preserve"> </w:t>
      </w:r>
      <m:oMath>
        <m:r>
          <m:t>ϕ</m:t>
        </m:r>
      </m:oMath>
      <w:r>
        <w:t xml:space="preserve"> </w:t>
      </w:r>
      <w:r>
        <w:t xml:space="preserve">将两个视图的类型分布和关系状态分布连接起来；生成目标、句子监督与新增辅助目标共同作用于可训练表示。基础模型权重保持冻结，辅助头仅在训练阶段使用。</w:t>
      </w:r>
    </w:p>
    <w:p>
      <w:pPr>
        <w:keepNext/>
        <w:ind w:firstLine="0"/>
        <w:jc w:val="center"/>
      </w:pPr>
      <w:r>
        <w:drawing>
          <wp:inline xmlns:a="http://schemas.openxmlformats.org/drawingml/2006/main" xmlns:pic="http://schemas.openxmlformats.org/drawingml/2006/picture">
            <wp:extent cx="6080760" cy="206627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80760" cy="2066278"/>
                    </a:xfrm>
                    <a:prstGeom prst="rect"/>
                  </pic:spPr>
                </pic:pic>
              </a:graphicData>
            </a:graphic>
          </wp:inline>
        </w:drawing>
      </w:r>
    </w:p>
    <w:p>
      <w:pPr>
        <w:pStyle w:val="Normal"/>
        <w:keepNext w:val="0"/>
        <w:ind w:firstLine="0"/>
        <w:jc w:val="center"/>
      </w:pPr>
      <w:r>
        <w:t xml:space="preserve">图3-2 关系影响域增强与成对学习的训练架构</w:t>
      </w:r>
    </w:p>
    <w:p>
      <w:pPr>
        <w:pStyle w:val="Normal"/>
      </w:pPr>
      <w:r>
        <w:t xml:space="preserve">图3-2区分原文生成路径、变体可靠监督与成对学习；具体梯度来源在3.4.2节说明。图中改写全文进入共享表示，但未审核标签不进入增强侧损失。</w:t>
      </w:r>
    </w:p>
    <w:p>
      <w:pPr>
        <w:pStyle w:val="Heading2"/>
      </w:pPr>
      <w:r>
        <w:t>3.4.1 辅助预测与可靠因素对齐</w:t>
      </w:r>
    </w:p>
    <w:p>
      <w:pPr>
        <w:pStyle w:val="Normal"/>
      </w:pPr>
      <w:r>
        <w:t xml:space="preserve">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pPr>
        <w:pStyle w:val="Normal"/>
      </w:pPr>
      <w:r>
        <w:t xml:space="preserve">令</w:t>
      </w:r>
      <w:r>
        <w:t xml:space="preserve"> </w:t>
      </w:r>
      <m:oMath>
        <m:sSubSup>
          <m:e>
            <m:r>
              <m:t>h</m:t>
            </m:r>
          </m:e>
          <m:sub>
            <m:r>
              <m:t>i</m:t>
            </m:r>
          </m:sub>
          <m:sup>
            <m:r>
              <m:t>x</m:t>
            </m:r>
          </m:sup>
        </m:sSubSup>
      </m:oMath>
      <w:r>
        <w:t xml:space="preserve"> </w:t>
      </w:r>
      <w:r>
        <w:t xml:space="preserve">为输入子词隐藏状态，</w:t>
      </w:r>
      <m:oMath>
        <m:sSub>
          <m:e>
            <m:r>
              <m:t>B</m:t>
            </m:r>
          </m:e>
          <m:sub>
            <m:r>
              <m:t>x</m:t>
            </m:r>
          </m:sub>
        </m:sSub>
        <m:d>
          <m:dPr>
            <m:begChr m:val="("/>
            <m:endChr m:val=")"/>
            <m:sepChr m:val=""/>
            <m:grow/>
          </m:dPr>
          <m:e>
            <m:r>
              <m:t>c</m:t>
            </m:r>
          </m:e>
        </m:d>
      </m:oMath>
      <w:r>
        <w:t xml:space="preserve"> </w:t>
      </w:r>
      <w:r>
        <w:t xml:space="preserve">为组件字符跨度对应的输入子词集合，</w:t>
      </w:r>
      <m:oMath>
        <m:sSubSup>
          <m:e>
            <m:r>
              <m:t>h</m:t>
            </m:r>
          </m:e>
          <m:sub>
            <m:r>
              <m:t>e</m:t>
            </m:r>
            <m:r>
              <m:t>n</m:t>
            </m:r>
            <m:r>
              <m:t>d</m:t>
            </m:r>
          </m:sub>
          <m:sup>
            <m:r>
              <m:t>x</m:t>
            </m:r>
          </m:sup>
        </m:sSubSup>
      </m:oMath>
      <w:r>
        <w:t xml:space="preserve"> </w:t>
      </w:r>
      <w:r>
        <w:t xml:space="preserve">为全文输入结束且回答尚未开始处的隐藏状态。坐标映射和输入隔离的实现验收要求见附录F.2。组件表示与类型分布定义为</w:t>
      </w:r>
    </w:p>
    <w:p>
      <w:pPr>
        <w:pStyle w:val="Normal"/>
        <w:ind w:firstLine="0"/>
        <w:jc w:val="center"/>
      </w:pPr>
      <m:oMathPara>
        <m:oMathParaPr>
          <m:jc m:val="center"/>
        </m:oMathParaPr>
        <m:oMath>
          <m:sSubSup>
            <m:e>
              <m:r>
                <m:t>u</m:t>
              </m:r>
            </m:e>
            <m:sub>
              <m:r>
                <m:t>c</m:t>
              </m:r>
            </m:sub>
            <m:sup>
              <m:r>
                <m:t>x</m:t>
              </m:r>
            </m:sup>
          </m:sSubSup>
          <m:r>
            <m:rPr>
              <m:sty m:val="p"/>
            </m:rPr>
            <m:t>=</m:t>
          </m:r>
          <m:sSub>
            <m:e>
              <m:r>
                <m:rPr>
                  <m:sty m:val="p"/>
                </m:rPr>
                <m:t>MeanPool</m:t>
              </m:r>
            </m:e>
            <m:sub>
              <m:r>
                <m:t>i</m:t>
              </m:r>
              <m:r>
                <m:rPr>
                  <m:sty m:val="p"/>
                </m:rPr>
                <m:t>∈</m:t>
              </m:r>
              <m:sSub>
                <m:e>
                  <m:r>
                    <m:t>B</m:t>
                  </m:r>
                </m:e>
                <m:sub>
                  <m:r>
                    <m:t>x</m:t>
                  </m:r>
                </m:sub>
              </m:sSub>
              <m:d>
                <m:dPr>
                  <m:begChr m:val="("/>
                  <m:endChr m:val=")"/>
                  <m:sepChr m:val=""/>
                  <m:grow/>
                </m:dPr>
                <m:e>
                  <m:r>
                    <m:t>c</m:t>
                  </m:r>
                </m:e>
              </m:d>
            </m:sub>
          </m:sSub>
          <m:sSubSup>
            <m:e>
              <m:r>
                <m:t>h</m:t>
              </m:r>
            </m:e>
            <m:sub>
              <m:r>
                <m:t>i</m:t>
              </m:r>
            </m:sub>
            <m:sup>
              <m:r>
                <m:t>x</m:t>
              </m:r>
            </m:sup>
          </m:sSubSup>
          <m:r>
            <m:rPr>
              <m:sty m:val="p"/>
            </m:rPr>
            <m:t>,</m:t>
          </m:r>
          <m:r>
            <m:t>  </m:t>
          </m:r>
          <m:sSubSup>
            <m:e>
              <m:r>
                <m:t>p</m:t>
              </m:r>
            </m:e>
            <m:sub>
              <m:r>
                <m:t>C</m:t>
              </m:r>
            </m:sub>
            <m:sup>
              <m:r>
                <m:t>x</m:t>
              </m:r>
            </m:sup>
          </m:sSubSup>
          <m:d>
            <m:dPr>
              <m:begChr m:val="("/>
              <m:endChr m:val=")"/>
              <m:sepChr m:val=""/>
              <m:grow/>
            </m:dPr>
            <m:e>
              <m:r>
                <m:t>c</m:t>
              </m:r>
            </m:e>
          </m:d>
          <m:r>
            <m:rPr>
              <m:sty m:val="p"/>
            </m:rPr>
            <m:t>=</m:t>
          </m:r>
          <m:r>
            <m:rPr>
              <m:sty m:val="p"/>
            </m:rPr>
            <m:t>softmax</m:t>
          </m:r>
          <m:sSub>
            <m:e>
              <m:r>
                <m:t>f</m:t>
              </m:r>
            </m:e>
            <m:sub>
              <m:r>
                <m:t>C</m:t>
              </m:r>
            </m:sub>
          </m:sSub>
          <m:d>
            <m:dPr>
              <m:begChr m:val="("/>
              <m:endChr m:val=")"/>
              <m:sepChr m:val=""/>
              <m:grow/>
            </m:dPr>
            <m:e>
              <m:d>
                <m:dPr>
                  <m:begChr m:val="["/>
                  <m:endChr m:val="]"/>
                  <m:sepChr m:val=""/>
                  <m:grow/>
                </m:dPr>
                <m:e>
                  <m:sSubSup>
                    <m:e>
                      <m:r>
                        <m:t>u</m:t>
                      </m:r>
                    </m:e>
                    <m:sub>
                      <m:r>
                        <m:t>c</m:t>
                      </m:r>
                    </m:sub>
                    <m:sup>
                      <m:r>
                        <m:t>x</m:t>
                      </m:r>
                    </m:sup>
                  </m:sSubSup>
                  <m:r>
                    <m:rPr>
                      <m:sty m:val="p"/>
                    </m:rPr>
                    <m:t>;</m:t>
                  </m:r>
                  <m:sSubSup>
                    <m:e>
                      <m:r>
                        <m:t>h</m:t>
                      </m:r>
                    </m:e>
                    <m:sub>
                      <m:r>
                        <m:t>e</m:t>
                      </m:r>
                      <m:r>
                        <m:t>n</m:t>
                      </m:r>
                      <m:r>
                        <m:t>d</m:t>
                      </m:r>
                    </m:sub>
                    <m:sup>
                      <m:r>
                        <m:t>x</m:t>
                      </m:r>
                    </m:sup>
                  </m:sSubSup>
                </m:e>
              </m:d>
            </m:e>
          </m:d>
          <m:r>
            <m:rPr>
              <m:sty m:val="p"/>
            </m:rPr>
            <m:t>.</m:t>
          </m:r>
        </m:oMath>
      </m:oMathPara>
    </w:p>
    <w:p>
      <w:pPr>
        <w:pStyle w:val="Normal"/>
      </w:pPr>
      <w:r>
        <w:t xml:space="preserve">因果模型的早期 token 只能访问左侧上下文。拼接</w:t>
      </w:r>
      <w:r>
        <w:t xml:space="preserve"> </w:t>
      </w:r>
      <m:oMath>
        <m:sSubSup>
          <m:e>
            <m:r>
              <m:t>h</m:t>
            </m:r>
          </m:e>
          <m:sub>
            <m:r>
              <m:t>e</m:t>
            </m:r>
            <m:r>
              <m:t>n</m:t>
            </m:r>
            <m:r>
              <m:t>d</m:t>
            </m:r>
          </m:sub>
          <m:sup>
            <m:r>
              <m:t>x</m:t>
            </m:r>
          </m:sup>
        </m:sSubSup>
      </m:oMath>
      <w:r>
        <w:t xml:space="preserve"> </w:t>
      </w:r>
      <w:r>
        <w:t xml:space="preserve">为跨度表示补充全文上下文通道，并不改变模型的因果注意力结构；组件头不输入待预测的金标类型。</w:t>
      </w:r>
    </w:p>
    <w:p>
      <w:pPr>
        <w:pStyle w:val="Normal"/>
      </w:pPr>
      <w:r>
        <w:t xml:space="preserve">关系头显式区分源和目标，写为</w:t>
      </w:r>
    </w:p>
    <w:p>
      <w:pPr>
        <w:pStyle w:val="Normal"/>
        <w:ind w:firstLine="0"/>
        <w:jc w:val="center"/>
      </w:pPr>
      <m:oMathPara>
        <m:oMathParaPr>
          <m:jc m:val="center"/>
        </m:oMathParaPr>
        <m:oMath>
          <m:sSubSup>
            <m:e>
              <m:r>
                <m:t>p</m:t>
              </m:r>
            </m:e>
            <m:sub>
              <m:r>
                <m:t>R</m:t>
              </m:r>
            </m:sub>
            <m:sup>
              <m:r>
                <m:t>x</m:t>
              </m:r>
            </m:sup>
          </m:sSubSup>
          <m:d>
            <m:dPr>
              <m:begChr m:val="("/>
              <m:endChr m:val=")"/>
              <m:sepChr m:val=""/>
              <m:grow/>
            </m:dPr>
            <m:e>
              <m:r>
                <m:t>S</m:t>
              </m:r>
              <m:r>
                <m:rPr>
                  <m:sty m:val="p"/>
                </m:rPr>
                <m:t>,</m:t>
              </m:r>
              <m:r>
                <m:t>v</m:t>
              </m:r>
            </m:e>
          </m:d>
          <m:r>
            <m:rPr>
              <m:sty m:val="p"/>
            </m:rPr>
            <m:t>=</m:t>
          </m:r>
          <m:r>
            <m:rPr>
              <m:sty m:val="p"/>
            </m:rPr>
            <m:t>softmax</m:t>
          </m:r>
          <m:sSub>
            <m:e>
              <m:r>
                <m:t>f</m:t>
              </m:r>
            </m:e>
            <m:sub>
              <m:r>
                <m:t>R</m:t>
              </m:r>
            </m:sub>
          </m:sSub>
          <m:d>
            <m:dPr>
              <m:begChr m:val="("/>
              <m:endChr m:val=")"/>
              <m:sepChr m:val=""/>
              <m:grow/>
            </m:dPr>
            <m:e>
              <m:d>
                <m:dPr>
                  <m:begChr m:val="["/>
                  <m:endChr m:val="]"/>
                  <m:sepChr m:val=""/>
                  <m:grow/>
                </m:dPr>
                <m:e>
                  <m:r>
                    <m:rPr>
                      <m:sty m:val="p"/>
                    </m:rPr>
                    <m:t>Pool</m:t>
                  </m:r>
                  <m:d>
                    <m:dPr>
                      <m:begChr m:val="("/>
                      <m:endChr m:val=")"/>
                      <m:sepChr m:val=""/>
                      <m:grow/>
                    </m:dPr>
                    <m:e>
                      <m:r>
                        <m:rPr>
                          <m:sty m:val="p"/>
                        </m:rPr>
                        <m:t>{</m:t>
                      </m:r>
                      <m:sSubSup>
                        <m:e>
                          <m:r>
                            <m:t>u</m:t>
                          </m:r>
                        </m:e>
                        <m:sub>
                          <m:r>
                            <m:t>c</m:t>
                          </m:r>
                        </m:sub>
                        <m:sup>
                          <m:r>
                            <m:t>x</m:t>
                          </m:r>
                        </m:sup>
                      </m:sSubSup>
                      <m:r>
                        <m:rPr>
                          <m:sty m:val="p"/>
                        </m:rPr>
                        <m:t>:</m:t>
                      </m:r>
                      <m:r>
                        <m:t>c</m:t>
                      </m:r>
                      <m:r>
                        <m:rPr>
                          <m:sty m:val="p"/>
                        </m:rPr>
                        <m:t>∈</m:t>
                      </m:r>
                      <m:r>
                        <m:t>S</m:t>
                      </m:r>
                      <m:r>
                        <m:rPr>
                          <m:sty m:val="p"/>
                        </m:rPr>
                        <m:t>}</m:t>
                      </m:r>
                    </m:e>
                  </m:d>
                  <m:r>
                    <m:rPr>
                      <m:sty m:val="p"/>
                    </m:rPr>
                    <m:t>;</m:t>
                  </m:r>
                  <m:sSubSup>
                    <m:e>
                      <m:r>
                        <m:t>u</m:t>
                      </m:r>
                    </m:e>
                    <m:sub>
                      <m:r>
                        <m:t>v</m:t>
                      </m:r>
                    </m:sub>
                    <m:sup>
                      <m:r>
                        <m:t>x</m:t>
                      </m:r>
                    </m:sup>
                  </m:sSubSup>
                  <m:r>
                    <m:rPr>
                      <m:sty m:val="p"/>
                    </m:rPr>
                    <m:t>;</m:t>
                  </m:r>
                  <m:sSubSup>
                    <m:e>
                      <m:r>
                        <m:t>h</m:t>
                      </m:r>
                    </m:e>
                    <m:sub>
                      <m:r>
                        <m:t>e</m:t>
                      </m:r>
                      <m:r>
                        <m:t>n</m:t>
                      </m:r>
                      <m:r>
                        <m:t>d</m:t>
                      </m:r>
                    </m:sub>
                    <m:sup>
                      <m:r>
                        <m:t>x</m:t>
                      </m:r>
                    </m:sup>
                  </m:sSubSup>
                  <m:r>
                    <m:rPr>
                      <m:sty m:val="p"/>
                    </m:rPr>
                    <m:t>;</m:t>
                  </m:r>
                  <m:r>
                    <m:t>η</m:t>
                  </m:r>
                  <m:d>
                    <m:dPr>
                      <m:begChr m:val="("/>
                      <m:endChr m:val=")"/>
                      <m:sepChr m:val=""/>
                      <m:grow/>
                    </m:dPr>
                    <m:e>
                      <m:r>
                        <m:t>S</m:t>
                      </m:r>
                      <m:r>
                        <m:rPr>
                          <m:sty m:val="p"/>
                        </m:rPr>
                        <m:t>,</m:t>
                      </m:r>
                      <m:r>
                        <m:t>v</m:t>
                      </m:r>
                    </m:e>
                  </m:d>
                </m:e>
              </m:d>
            </m:e>
          </m:d>
          <m:r>
            <m:rPr>
              <m:sty m:val="p"/>
            </m:rPr>
            <m:t>,</m:t>
          </m:r>
        </m:oMath>
      </m:oMathPara>
    </w:p>
    <w:p>
      <w:pPr/>
      <w:r>
        <w:t>其中fC、fR为两层感知机，Pool为源成员表示的算术均值。η包含源成员数、源起点的最小值和均值、源终点的最大值和均值，以及目标起止位置；这里的位置是由规范字符区间派生的评价token坐标，并除以文档token数。它们仅为输入特征，不参与规范对象去重，亦不替代字符残差。η不包含待预测的关系标签；二元关系使用单一源表示，超边以完整源集合和目标作为监督对象，状态包含NONE。两个辅助头在开发评价和测试时移除。</w:t>
      </w:r>
    </w:p>
    <w:p>
      <w:pPr>
        <w:pStyle w:val="Normal"/>
      </w:pPr>
      <w:r>
        <w:t xml:space="preserve">组件对齐应覆盖被改写的组件及其正关系所连接的只读端点，定义</w:t>
      </w:r>
    </w:p>
    <w:p>
      <w:pPr>
        <w:pStyle w:val="Normal"/>
        <w:ind w:firstLine="0"/>
        <w:jc w:val="center"/>
      </w:pPr>
      <m:oMathPara>
        <m:oMathParaPr>
          <m:jc m:val="center"/>
        </m:oMathParaPr>
        <m:oMath>
          <m:sSup>
            <m:e>
              <m:r>
                <m:t>A</m:t>
              </m:r>
            </m:e>
            <m:sup>
              <m:r>
                <m:rPr>
                  <m:sty m:val="p"/>
                </m:rPr>
                <m:t>+</m:t>
              </m:r>
            </m:sup>
          </m:sSup>
          <m:r>
            <m:rPr>
              <m:sty m:val="p"/>
            </m:rPr>
            <m:t>=</m:t>
          </m:r>
          <m:r>
            <m:t>A</m:t>
          </m:r>
          <m:r>
            <m:rPr>
              <m:sty m:val="p"/>
            </m:rPr>
            <m:t>∪</m:t>
          </m:r>
          <m:limLow>
            <m:e>
              <m:r>
                <m:rPr>
                  <m:sty m:val="p"/>
                </m:rPr>
                <m:t>⋃</m:t>
              </m:r>
            </m:e>
            <m:lim>
              <m:m>
                <m:mPr>
                  <m:baseJc m:val="center"/>
                  <m:plcHide m:val="on"/>
                  <m:mcs>
                    <m:mc>
                      <m:mcPr>
                        <m:mcJc m:val="center"/>
                        <m:count m:val="1"/>
                      </m:mcPr>
                    </m:mc>
                  </m:mcs>
                </m:mPr>
                <m:mr>
                  <m:e>
                    <m:r>
                      <m:t>ω</m:t>
                    </m:r>
                    <m:r>
                      <m:rPr>
                        <m:sty m:val="p"/>
                      </m:rPr>
                      <m:t>∈</m:t>
                    </m:r>
                    <m:sSub>
                      <m:e>
                        <m:r>
                          <m:rPr>
                            <m:sty m:val="p"/>
                            <m:scr m:val="script"/>
                          </m:rPr>
                          <m:t>D</m:t>
                        </m:r>
                      </m:e>
                      <m:sub>
                        <m:r>
                          <m:t>A</m:t>
                        </m:r>
                      </m:sub>
                    </m:sSub>
                  </m:e>
                </m:mr>
                <m:mr>
                  <m:e>
                    <m:sSub>
                      <m:e>
                        <m:r>
                          <m:t>y</m:t>
                        </m:r>
                      </m:e>
                      <m:sub>
                        <m:r>
                          <m:t>ω</m:t>
                        </m:r>
                      </m:sub>
                    </m:sSub>
                    <m:r>
                      <m:rPr>
                        <m:sty m:val="p"/>
                      </m:rPr>
                      <m:t>≠</m:t>
                    </m:r>
                    <m:r>
                      <m:rPr>
                        <m:sty m:val="p"/>
                      </m:rPr>
                      <m:t>N</m:t>
                    </m:r>
                    <m:r>
                      <m:rPr>
                        <m:sty m:val="p"/>
                      </m:rPr>
                      <m:t>O</m:t>
                    </m:r>
                    <m:r>
                      <m:rPr>
                        <m:sty m:val="p"/>
                      </m:rPr>
                      <m:t>N</m:t>
                    </m:r>
                    <m:r>
                      <m:rPr>
                        <m:sty m:val="p"/>
                      </m:rPr>
                      <m:t>E</m:t>
                    </m:r>
                  </m:e>
                </m:mr>
              </m:m>
            </m:lim>
          </m:limLow>
          <m:r>
            <m:t>V</m:t>
          </m:r>
          <m:d>
            <m:dPr>
              <m:begChr m:val="("/>
              <m:endChr m:val=")"/>
              <m:sepChr m:val=""/>
              <m:grow/>
            </m:dPr>
            <m:e>
              <m:r>
                <m:t>ω</m:t>
              </m:r>
            </m:e>
          </m:d>
          <m:r>
            <m:rPr>
              <m:sty m:val="p"/>
            </m:rPr>
            <m:t>.</m:t>
          </m:r>
        </m:oMath>
      </m:oMathPara>
    </w:p>
    <w:p>
      <w:pPr>
        <w:pStyle w:val="Normal"/>
      </w:pPr>
      <w:r>
        <w:t xml:space="preserve">即改写组件以及通过正边或超边相连的只读端点。NONE 因素进入关系项，但不因此把全部远处组件都纳入组件对齐。对通过组件检查的视图</w:t>
      </w:r>
      <w:r>
        <w:t xml:space="preserve"> </w:t>
      </w:r>
      <m:oMath>
        <m:r>
          <m:t>x</m:t>
        </m:r>
        <m:r>
          <m:rPr>
            <m:sty m:val="p"/>
          </m:rPr>
          <m:t>′</m:t>
        </m:r>
      </m:oMath>
      <w:r>
        <w:t xml:space="preserve">，以下公式中的</w:t>
      </w:r>
      <w:r>
        <w:t xml:space="preserve"> </w:t>
      </w:r>
      <m:oMath>
        <m:sSup>
          <m:e>
            <m:r>
              <m:t>A</m:t>
            </m:r>
          </m:e>
          <m:sup>
            <m:r>
              <m:rPr>
                <m:sty m:val="p"/>
              </m:rPr>
              <m:t>+</m:t>
            </m:r>
          </m:sup>
        </m:sSup>
      </m:oMath>
      <w:r>
        <w:t xml:space="preserve"> </w:t>
      </w:r>
      <w:r>
        <w:t xml:space="preserve">进一步与</w:t>
      </w:r>
      <w:r>
        <w:t xml:space="preserve"> </w:t>
      </w:r>
      <m:oMath>
        <m:r>
          <m:rPr>
            <m:sty m:val="p"/>
          </m:rPr>
          <m:t>{</m:t>
        </m:r>
        <m:r>
          <m:t>c</m:t>
        </m:r>
        <m:r>
          <m:rPr>
            <m:sty m:val="p"/>
          </m:rPr>
          <m:t>:</m:t>
        </m:r>
        <m:sSub>
          <m:e>
            <m:r>
              <m:t>m</m:t>
            </m:r>
          </m:e>
          <m:sub>
            <m:r>
              <m:t>C</m:t>
            </m:r>
          </m:sub>
        </m:sSub>
        <m:d>
          <m:dPr>
            <m:begChr m:val="("/>
            <m:endChr m:val=")"/>
            <m:sepChr m:val=""/>
            <m:grow/>
          </m:dPr>
          <m:e>
            <m:r>
              <m:t>c</m:t>
            </m:r>
          </m:e>
        </m:d>
        <m:r>
          <m:rPr>
            <m:sty m:val="p"/>
          </m:rPr>
          <m:t>=</m:t>
        </m:r>
        <m:r>
          <m:t>1</m:t>
        </m:r>
        <m:r>
          <m:rPr>
            <m:sty m:val="p"/>
          </m:rPr>
          <m:t>}</m:t>
        </m:r>
      </m:oMath>
      <w:r>
        <w:t xml:space="preserve"> </w:t>
      </w:r>
      <w:r>
        <w:t xml:space="preserve">取交集，组件对齐为</w:t>
      </w:r>
    </w:p>
    <w:p>
      <w:pPr>
        <w:pStyle w:val="Normal"/>
        <w:ind w:firstLine="0"/>
        <w:jc w:val="center"/>
      </w:pPr>
      <m:oMathPara>
        <m:oMathParaPr>
          <m:jc m:val="center"/>
        </m:oMathParaPr>
        <m:oMath>
          <m:sSubSup>
            <m:e>
              <m:r>
                <m:t>L</m:t>
              </m:r>
            </m:e>
            <m:sub>
              <m:r>
                <m:t>C</m:t>
              </m:r>
            </m:sub>
            <m:sup>
              <m:r>
                <m:t>a</m:t>
              </m:r>
              <m:r>
                <m:t>l</m:t>
              </m:r>
              <m:r>
                <m:t>i</m:t>
              </m:r>
              <m:r>
                <m:t>g</m:t>
              </m:r>
              <m:r>
                <m:t>n</m:t>
              </m:r>
            </m:sup>
          </m:sSubSup>
          <m:d>
            <m:dPr>
              <m:begChr m:val="("/>
              <m:endChr m:val=")"/>
              <m:sepChr m:val=""/>
              <m:grow/>
            </m:dPr>
            <m:e>
              <m:r>
                <m:t>x</m:t>
              </m:r>
              <m:r>
                <m:rPr>
                  <m:sty m:val="p"/>
                </m:rPr>
                <m:t>,</m:t>
              </m:r>
              <m:r>
                <m:t>x</m:t>
              </m:r>
              <m:r>
                <m:rPr>
                  <m:sty m:val="p"/>
                </m:rPr>
                <m:t>′</m:t>
              </m:r>
            </m:e>
          </m:d>
          <m:r>
            <m:rPr>
              <m:sty m:val="p"/>
            </m:rPr>
            <m:t>=</m:t>
          </m:r>
          <m:f>
            <m:fPr>
              <m:type m:val="bar"/>
            </m:fPr>
            <m:num>
              <m:r>
                <m:t>1</m:t>
              </m:r>
            </m:num>
            <m:den>
              <m:d>
                <m:dPr>
                  <m:begChr m:val="|"/>
                  <m:endChr m:val="|"/>
                  <m:sepChr m:val=""/>
                  <m:grow/>
                </m:dPr>
                <m:e>
                  <m:sSup>
                    <m:e>
                      <m:r>
                        <m:t>A</m:t>
                      </m:r>
                    </m:e>
                    <m:sup>
                      <m:r>
                        <m:rPr>
                          <m:sty m:val="p"/>
                        </m:rPr>
                        <m:t>+</m:t>
                      </m:r>
                    </m:sup>
                  </m:sSup>
                </m:e>
              </m:d>
            </m:den>
          </m:f>
          <m:nary>
            <m:naryPr>
              <m:chr m:val="∑"/>
              <m:limLoc m:val="undOvr"/>
              <m:subHide m:val="off"/>
              <m:supHide m:val="on"/>
            </m:naryPr>
            <m:sub>
              <m:r>
                <m:t>c</m:t>
              </m:r>
              <m:r>
                <m:rPr>
                  <m:sty m:val="p"/>
                </m:rPr>
                <m:t>∈</m:t>
              </m:r>
              <m:sSup>
                <m:e>
                  <m:r>
                    <m:t>A</m:t>
                  </m:r>
                </m:e>
                <m:sup>
                  <m:r>
                    <m:rPr>
                      <m:sty m:val="p"/>
                    </m:rPr>
                    <m:t>+</m:t>
                  </m:r>
                </m:sup>
              </m:sSup>
            </m:sub>
            <m:sup>
              <m:r>
                <m:t>​</m:t>
              </m:r>
            </m:sup>
            <m:e>
              <m:r>
                <m:rPr>
                  <m:sty m:val="p"/>
                </m:rPr>
                <m:t>JS</m:t>
              </m:r>
            </m:e>
          </m:nary>
          <m:d>
            <m:dPr>
              <m:begChr m:val="("/>
              <m:endChr m:val=")"/>
              <m:sepChr m:val=""/>
              <m:grow/>
            </m:dPr>
            <m:e>
              <m:sSubSup>
                <m:e>
                  <m:r>
                    <m:t>p</m:t>
                  </m:r>
                </m:e>
                <m:sub>
                  <m:r>
                    <m:t>C</m:t>
                  </m:r>
                </m:sub>
                <m:sup>
                  <m:r>
                    <m:t>x</m:t>
                  </m:r>
                </m:sup>
              </m:sSubSup>
              <m:d>
                <m:dPr>
                  <m:begChr m:val="("/>
                  <m:endChr m:val=")"/>
                  <m:sepChr m:val=""/>
                  <m:grow/>
                </m:dPr>
                <m:e>
                  <m:r>
                    <m:t>c</m:t>
                  </m:r>
                </m:e>
              </m:d>
              <m:r>
                <m:rPr>
                  <m:sty m:val="p"/>
                </m:rPr>
                <m:t>,</m:t>
              </m:r>
              <m:sSubSup>
                <m:e>
                  <m:r>
                    <m:t>p</m:t>
                  </m:r>
                </m:e>
                <m:sub>
                  <m:r>
                    <m:t>C</m:t>
                  </m:r>
                </m:sub>
                <m:sup>
                  <m:r>
                    <m:t>x</m:t>
                  </m:r>
                  <m:r>
                    <m:rPr>
                      <m:sty m:val="p"/>
                    </m:rPr>
                    <m:t>′</m:t>
                  </m:r>
                </m:sup>
              </m:sSubSup>
              <m:d>
                <m:dPr>
                  <m:begChr m:val="("/>
                  <m:endChr m:val=")"/>
                  <m:sepChr m:val=""/>
                  <m:grow/>
                </m:dPr>
                <m:e>
                  <m:r>
                    <m:t>ϕ</m:t>
                  </m:r>
                  <m:d>
                    <m:dPr>
                      <m:begChr m:val="("/>
                      <m:endChr m:val=")"/>
                      <m:sepChr m:val=""/>
                      <m:grow/>
                    </m:dPr>
                    <m:e>
                      <m:r>
                        <m:t>c</m:t>
                      </m:r>
                    </m:e>
                  </m:d>
                </m:e>
              </m:d>
            </m:e>
          </m:d>
          <m:r>
            <m:rPr>
              <m:sty m:val="p"/>
            </m:rPr>
            <m:t>,</m:t>
          </m:r>
        </m:oMath>
      </m:oMathPara>
    </w:p>
    <w:p>
      <w:pPr>
        <w:pStyle w:val="Normal"/>
      </w:pPr>
      <w:r>
        <w:t xml:space="preserve">其中</w:t>
      </w:r>
      <w:r>
        <w:t xml:space="preserve"> </w:t>
      </w:r>
      <m:oMath>
        <m:r>
          <m:rPr>
            <m:sty m:val="p"/>
          </m:rPr>
          <m:t>JS</m:t>
        </m:r>
        <m:d>
          <m:dPr>
            <m:begChr m:val="("/>
            <m:endChr m:val=")"/>
            <m:sepChr m:val=""/>
            <m:grow/>
          </m:dPr>
          <m:e>
            <m:r>
              <m:t>p</m:t>
            </m:r>
            <m:r>
              <m:rPr>
                <m:sty m:val="p"/>
              </m:rPr>
              <m:t>,</m:t>
            </m:r>
            <m:r>
              <m:t>q</m:t>
            </m:r>
          </m:e>
        </m:d>
        <m:r>
          <m:rPr>
            <m:sty m:val="p"/>
          </m:rPr>
          <m:t>=</m:t>
        </m:r>
        <m:f>
          <m:fPr>
            <m:type m:val="lin"/>
          </m:fPr>
          <m:num>
            <m:r>
              <m:t>1</m:t>
            </m:r>
          </m:num>
          <m:den>
            <m:r>
              <m:t>2</m:t>
            </m:r>
          </m:den>
        </m:f>
        <m:r>
          <m:rPr>
            <m:sty m:val="p"/>
          </m:rPr>
          <m:t>KL</m:t>
        </m:r>
        <m:d>
          <m:dPr>
            <m:begChr m:val="("/>
            <m:endChr m:val=")"/>
            <m:sepChr m:val=""/>
            <m:grow/>
          </m:dPr>
          <m:e>
            <m:r>
              <m:t>p</m:t>
            </m:r>
            <m:r>
              <m:rPr>
                <m:sty m:val="p"/>
              </m:rPr>
              <m:t>∥</m:t>
            </m:r>
            <m:acc>
              <m:accPr>
                <m:chr m:val="‾"/>
              </m:accPr>
              <m:e>
                <m:r>
                  <m:t>p</m:t>
                </m:r>
              </m:e>
            </m:acc>
          </m:e>
        </m:d>
        <m:r>
          <m:rPr>
            <m:sty m:val="p"/>
          </m:rPr>
          <m:t>+</m:t>
        </m:r>
        <m:f>
          <m:fPr>
            <m:type m:val="lin"/>
          </m:fPr>
          <m:num>
            <m:r>
              <m:t>1</m:t>
            </m:r>
          </m:num>
          <m:den>
            <m:r>
              <m:t>2</m:t>
            </m:r>
          </m:den>
        </m:f>
        <m:r>
          <m:rPr>
            <m:sty m:val="p"/>
          </m:rPr>
          <m:t>KL</m:t>
        </m:r>
        <m:d>
          <m:dPr>
            <m:begChr m:val="("/>
            <m:endChr m:val=")"/>
            <m:sepChr m:val=""/>
            <m:grow/>
          </m:dPr>
          <m:e>
            <m:r>
              <m:t>q</m:t>
            </m:r>
            <m:r>
              <m:rPr>
                <m:sty m:val="p"/>
              </m:rPr>
              <m:t>∥</m:t>
            </m:r>
            <m:acc>
              <m:accPr>
                <m:chr m:val="‾"/>
              </m:accPr>
              <m:e>
                <m:r>
                  <m:t>p</m:t>
                </m:r>
              </m:e>
            </m:acc>
          </m:e>
        </m:d>
      </m:oMath>
      <w:r>
        <w:t xml:space="preserve">，</w:t>
      </w:r>
      <m:oMath>
        <m:acc>
          <m:accPr>
            <m:chr m:val="‾"/>
          </m:accPr>
          <m:e>
            <m:r>
              <m:t>p</m:t>
            </m:r>
          </m:e>
        </m:acc>
        <m:r>
          <m:rPr>
            <m:sty m:val="p"/>
          </m:rPr>
          <m:t>=</m:t>
        </m:r>
        <m:d>
          <m:dPr>
            <m:begChr m:val="("/>
            <m:endChr m:val=")"/>
            <m:sepChr m:val=""/>
            <m:grow/>
          </m:dPr>
          <m:e>
            <m:r>
              <m:t>p</m:t>
            </m:r>
            <m:r>
              <m:rPr>
                <m:sty m:val="p"/>
              </m:rPr>
              <m:t>+</m:t>
            </m:r>
            <m:r>
              <m:t>q</m:t>
            </m:r>
          </m:e>
        </m:d>
        <m:r>
          <m:rPr>
            <m:sty m:val="p"/>
          </m:rPr>
          <m:t>/</m:t>
        </m:r>
        <m:r>
          <m:t>2</m:t>
        </m:r>
      </m:oMath>
      <w:r>
        <w:t xml:space="preserve">。不对任一视图停止梯度。</w:t>
      </w:r>
    </w:p>
    <w:p>
      <w:pPr>
        <w:pStyle w:val="Normal"/>
      </w:pPr>
      <w:r>
        <w:t xml:space="preserve">将通过检查的集合</w:t>
      </w:r>
      <w:r>
        <w:t xml:space="preserve"> </w:t>
      </w:r>
      <m:oMath>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oMath>
      <w:r>
        <w:t xml:space="preserve"> </w:t>
      </w:r>
      <w:r>
        <w:t xml:space="preserve">划分为正关系组</w:t>
      </w:r>
      <w:r>
        <w:t xml:space="preserve"> </w:t>
      </w:r>
      <m:oMath>
        <m:sSub>
          <m:e>
            <m:r>
              <m:t>D</m:t>
            </m:r>
          </m:e>
          <m:sub>
            <m:r>
              <m:rPr>
                <m:sty m:val="p"/>
              </m:rPr>
              <m:t>+</m:t>
            </m:r>
          </m:sub>
        </m:sSub>
      </m:oMath>
      <w:r>
        <w:t xml:space="preserve"> </w:t>
      </w:r>
      <w:r>
        <w:t xml:space="preserve">和 NONE 组</w:t>
      </w:r>
      <w:r>
        <w:t xml:space="preserve"> </w:t>
      </w:r>
      <m:oMath>
        <m:sSub>
          <m:e>
            <m:r>
              <m:t>D</m:t>
            </m:r>
          </m:e>
          <m:sub>
            <m:r>
              <m:t>0</m:t>
            </m:r>
          </m:sub>
        </m:sSub>
      </m:oMath>
      <w:r>
        <w:t xml:space="preserve">，令</w:t>
      </w:r>
      <w:r>
        <w:t xml:space="preserve"> </w:t>
      </w:r>
      <m:oMath>
        <m:r>
          <m:rPr>
            <m:sty m:val="p"/>
            <m:scr m:val="script"/>
          </m:rPr>
          <m:t>B</m:t>
        </m:r>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
              <m:e>
                <m:r>
                  <m:t>D</m:t>
                </m:r>
              </m:e>
              <m:sub>
                <m:r>
                  <m:t>b</m:t>
                </m:r>
              </m:sub>
            </m:sSub>
          </m:e>
        </m:d>
        <m:r>
          <m:rPr>
            <m:sty m:val="p"/>
          </m:rPr>
          <m:t>&gt;</m:t>
        </m:r>
        <m:r>
          <m:t>0</m:t>
        </m:r>
        <m:r>
          <m:rPr>
            <m:sty m:val="p"/>
          </m:rPr>
          <m:t>}</m:t>
        </m:r>
      </m:oMath>
      <w:r>
        <w:t xml:space="preserve">。关系对齐采用组间、组内两级平均：</w:t>
      </w:r>
    </w:p>
    <w:p>
      <w:pPr>
        <w:pStyle w:val="Normal"/>
        <w:ind w:firstLine="0"/>
        <w:jc w:val="center"/>
      </w:pPr>
      <m:oMathPara>
        <m:oMathParaPr>
          <m:jc m:val="center"/>
        </m:oMathParaPr>
        <m:oMath>
          <m:sSubSup>
            <m:e>
              <m:r>
                <m:t>L</m:t>
              </m:r>
            </m:e>
            <m:sub>
              <m:r>
                <m:t>R</m:t>
              </m:r>
            </m:sub>
            <m:sup>
              <m:r>
                <m:t>a</m:t>
              </m:r>
              <m:r>
                <m:t>l</m:t>
              </m:r>
              <m:r>
                <m:t>i</m:t>
              </m:r>
              <m:r>
                <m:t>g</m:t>
              </m:r>
              <m:r>
                <m:t>n</m:t>
              </m:r>
            </m:sup>
          </m:sSubSup>
          <m:d>
            <m:dPr>
              <m:begChr m:val="("/>
              <m:endChr m:val=")"/>
              <m:sepChr m:val=""/>
              <m:grow/>
            </m:dPr>
            <m:e>
              <m:r>
                <m:t>x</m:t>
              </m:r>
              <m:r>
                <m:rPr>
                  <m:sty m:val="p"/>
                </m:rPr>
                <m:t>,</m:t>
              </m:r>
              <m:r>
                <m:t>x</m:t>
              </m:r>
              <m:r>
                <m:rPr>
                  <m:sty m:val="p"/>
                </m:rPr>
                <m:t>′</m:t>
              </m:r>
            </m:e>
          </m:d>
          <m:r>
            <m:rPr>
              <m:sty m:val="p"/>
            </m:rPr>
            <m:t>=</m:t>
          </m:r>
          <m:f>
            <m:fPr>
              <m:type m:val="bar"/>
            </m:fPr>
            <m:num>
              <m:r>
                <m:t>1</m:t>
              </m:r>
            </m:num>
            <m:den>
              <m:d>
                <m:dPr>
                  <m:begChr m:val="|"/>
                  <m:endChr m:val="|"/>
                  <m:sepChr m:val=""/>
                  <m:grow/>
                </m:dPr>
                <m:e>
                  <m:r>
                    <m:rPr>
                      <m:sty m:val="p"/>
                      <m:scr m:val="script"/>
                    </m:rPr>
                    <m:t>B</m:t>
                  </m:r>
                </m:e>
              </m:d>
            </m:den>
          </m:f>
          <m:nary>
            <m:naryPr>
              <m:chr m:val="∑"/>
              <m:limLoc m:val="undOvr"/>
              <m:subHide m:val="off"/>
              <m:supHide m:val="on"/>
            </m:naryPr>
            <m:sub>
              <m:r>
                <m:t>b</m:t>
              </m:r>
              <m:r>
                <m:rPr>
                  <m:sty m:val="p"/>
                </m:rPr>
                <m:t>∈</m:t>
              </m:r>
              <m:r>
                <m:rPr>
                  <m:sty m:val="p"/>
                  <m:scr m:val="script"/>
                </m:rPr>
                <m:t>B</m:t>
              </m:r>
            </m:sub>
            <m:sup>
              <m:r>
                <m:t>​</m:t>
              </m:r>
            </m:sup>
            <m:e>
              <m:f>
                <m:fPr>
                  <m:type m:val="bar"/>
                </m:fPr>
                <m:num>
                  <m:r>
                    <m:t>1</m:t>
                  </m:r>
                </m:num>
                <m:den>
                  <m:d>
                    <m:dPr>
                      <m:begChr m:val="|"/>
                      <m:endChr m:val="|"/>
                      <m:sepChr m:val=""/>
                      <m:grow/>
                    </m:dPr>
                    <m:e>
                      <m:sSub>
                        <m:e>
                          <m:r>
                            <m:t>D</m:t>
                          </m:r>
                        </m:e>
                        <m:sub>
                          <m:r>
                            <m:t>b</m:t>
                          </m:r>
                        </m:sub>
                      </m:sSub>
                    </m:e>
                  </m:d>
                </m:den>
              </m:f>
            </m:e>
          </m:nary>
          <m:nary>
            <m:naryPr>
              <m:chr m:val="∑"/>
              <m:limLoc m:val="undOvr"/>
              <m:subHide m:val="off"/>
              <m:supHide m:val="on"/>
            </m:naryPr>
            <m:sub>
              <m:r>
                <m:t>ω</m:t>
              </m:r>
              <m:r>
                <m:rPr>
                  <m:sty m:val="p"/>
                </m:rPr>
                <m:t>∈</m:t>
              </m:r>
              <m:sSub>
                <m:e>
                  <m:r>
                    <m:t>D</m:t>
                  </m:r>
                </m:e>
                <m:sub>
                  <m:r>
                    <m:t>b</m:t>
                  </m:r>
                </m:sub>
              </m:sSub>
            </m:sub>
            <m:sup>
              <m:r>
                <m:t>​</m:t>
              </m:r>
            </m:sup>
            <m:e>
              <m:r>
                <m:rPr>
                  <m:sty m:val="p"/>
                </m:rPr>
                <m:t>JS</m:t>
              </m:r>
            </m:e>
          </m:nary>
          <m:d>
            <m:dPr>
              <m:begChr m:val="("/>
              <m:endChr m:val=")"/>
              <m:sepChr m:val=""/>
              <m:grow/>
            </m:dPr>
            <m:e>
              <m:sSubSup>
                <m:e>
                  <m:r>
                    <m:t>p</m:t>
                  </m:r>
                </m:e>
                <m:sub>
                  <m:r>
                    <m:t>R</m:t>
                  </m:r>
                </m:sub>
                <m:sup>
                  <m:r>
                    <m:t>x</m:t>
                  </m:r>
                </m:sup>
              </m:sSubSup>
              <m:d>
                <m:dPr>
                  <m:begChr m:val="("/>
                  <m:endChr m:val=")"/>
                  <m:sepChr m:val=""/>
                  <m:grow/>
                </m:dPr>
                <m:e>
                  <m:r>
                    <m:t>ω</m:t>
                  </m:r>
                </m:e>
              </m:d>
              <m:r>
                <m:rPr>
                  <m:sty m:val="p"/>
                </m:rPr>
                <m:t>,</m:t>
              </m:r>
              <m:sSubSup>
                <m:e>
                  <m:r>
                    <m:t>p</m:t>
                  </m:r>
                </m:e>
                <m:sub>
                  <m:r>
                    <m:t>R</m:t>
                  </m:r>
                </m:sub>
                <m:sup>
                  <m:r>
                    <m:t>x</m:t>
                  </m:r>
                  <m:r>
                    <m:rPr>
                      <m:sty m:val="p"/>
                    </m:rPr>
                    <m:t>′</m:t>
                  </m:r>
                </m:sup>
              </m:sSubSup>
              <m:d>
                <m:dPr>
                  <m:begChr m:val="("/>
                  <m:endChr m:val=")"/>
                  <m:sepChr m:val=""/>
                  <m:grow/>
                </m:dPr>
                <m:e>
                  <m:r>
                    <m:t>ϕ</m:t>
                  </m:r>
                  <m:d>
                    <m:dPr>
                      <m:begChr m:val="("/>
                      <m:endChr m:val=")"/>
                      <m:sepChr m:val=""/>
                      <m:grow/>
                    </m:dPr>
                    <m:e>
                      <m:r>
                        <m:t>ω</m:t>
                      </m:r>
                    </m:e>
                  </m:d>
                </m:e>
              </m:d>
            </m:e>
          </m:d>
          <m:r>
            <m:rPr>
              <m:sty m:val="p"/>
            </m:rPr>
            <m:t>.</m:t>
          </m:r>
        </m:oMath>
      </m:oMathPara>
    </w:p>
    <w:p>
      <w:pPr>
        <w:pStyle w:val="Normal"/>
      </w:pPr>
      <w:r>
        <w:t xml:space="preserve">这样可避免数量较多的 NONE 因素仅凭数量淹没正关系。当可靠关系集合为空时，该项置零，不人为添加关系；原文全部关系的生成监督仍保留。</w:t>
      </w:r>
      <m:oMath>
        <m:sSup>
          <m:e>
            <m:r>
              <m:t>A</m:t>
            </m:r>
          </m:e>
          <m:sup>
            <m:r>
              <m:rPr>
                <m:sty m:val="p"/>
              </m:rPr>
              <m:t>+</m:t>
            </m:r>
          </m:sup>
        </m:sSup>
      </m:oMath>
      <w:r>
        <w:t xml:space="preserve"> </w:t>
      </w:r>
      <w:r>
        <w:t xml:space="preserve">为空时组件对齐也置零。</w:t>
      </w:r>
    </w:p>
    <w:p>
      <w:pPr>
        <w:pStyle w:val="Normal"/>
      </w:pPr>
      <w:r>
        <w:t xml:space="preserve">低JS可能来自两个视图一起预测错误，故同时保留标签锚定。对视图</w:t>
      </w:r>
      <w:r>
        <w:t xml:space="preserve"> </w:t>
      </w:r>
      <m:oMath>
        <m:r>
          <m:t>x</m:t>
        </m:r>
      </m:oMath>
      <w:r>
        <w:t xml:space="preserve">、受监督组件集合</w:t>
      </w:r>
      <w:r>
        <w:t xml:space="preserve"> </w:t>
      </w:r>
      <m:oMath>
        <m:sSub>
          <m:e>
            <m:r>
              <m:t>M</m:t>
            </m:r>
          </m:e>
          <m:sub>
            <m:r>
              <m:t>C</m:t>
            </m:r>
          </m:sub>
        </m:sSub>
      </m:oMath>
      <w:r>
        <w:t xml:space="preserve"> </w:t>
      </w:r>
      <w:r>
        <w:t xml:space="preserve">和受监督关系因素集合</w:t>
      </w:r>
      <w:r>
        <w:t xml:space="preserve"> </w:t>
      </w:r>
      <m:oMath>
        <m:sSub>
          <m:e>
            <m:r>
              <m:t>M</m:t>
            </m:r>
          </m:e>
          <m:sub>
            <m:r>
              <m:t>R</m:t>
            </m:r>
          </m:sub>
        </m:sSub>
      </m:oMath>
      <w:r>
        <w:t xml:space="preserve">，令</w:t>
      </w:r>
      <w:r>
        <w:t xml:space="preserve"> </w:t>
      </w:r>
      <m:oMath>
        <m:sSubSup>
          <m:e>
            <m:r>
              <m:t>M</m:t>
            </m:r>
          </m:e>
          <m:sub>
            <m:r>
              <m:t>R</m:t>
            </m:r>
          </m:sub>
          <m:sup>
            <m:r>
              <m:rPr>
                <m:sty m:val="p"/>
              </m:rPr>
              <m:t>+</m:t>
            </m:r>
          </m:sup>
        </m:sSubSup>
      </m:oMath>
      <w:r>
        <w:t xml:space="preserve">、</w:t>
      </w:r>
      <m:oMath>
        <m:sSubSup>
          <m:e>
            <m:r>
              <m:t>M</m:t>
            </m:r>
          </m:e>
          <m:sub>
            <m:r>
              <m:t>R</m:t>
            </m:r>
          </m:sub>
          <m:sup>
            <m:r>
              <m:t>0</m:t>
            </m:r>
          </m:sup>
        </m:sSubSup>
      </m:oMath>
      <w:r>
        <w:t xml:space="preserve"> </w:t>
      </w:r>
      <w:r>
        <w:t xml:space="preserve">分别为其中的正关系与NONE因素，</w:t>
      </w:r>
      <m:oMath>
        <m:sSub>
          <m:e>
            <m:r>
              <m:rPr>
                <m:sty m:val="p"/>
                <m:scr m:val="script"/>
              </m:rPr>
              <m:t>B</m:t>
            </m:r>
          </m:e>
          <m:sub>
            <m:r>
              <m:t>M</m:t>
            </m:r>
          </m:sub>
        </m:sSub>
        <m:r>
          <m:rPr>
            <m:sty m:val="p"/>
          </m:rPr>
          <m:t>=</m:t>
        </m:r>
        <m:r>
          <m:rPr>
            <m:sty m:val="p"/>
          </m:rPr>
          <m:t>{</m:t>
        </m:r>
        <m:r>
          <m:t>b</m:t>
        </m:r>
        <m:r>
          <m:rPr>
            <m:sty m:val="p"/>
          </m:rPr>
          <m:t>∈</m:t>
        </m:r>
        <m:r>
          <m:rPr>
            <m:sty m:val="p"/>
          </m:rPr>
          <m:t>{</m:t>
        </m:r>
        <m:r>
          <m:rPr>
            <m:sty m:val="p"/>
          </m:rPr>
          <m:t>+</m:t>
        </m:r>
        <m:r>
          <m:rPr>
            <m:sty m:val="p"/>
          </m:rPr>
          <m:t>,</m:t>
        </m:r>
        <m:r>
          <m:t>0</m:t>
        </m:r>
        <m:r>
          <m:rPr>
            <m:sty m:val="p"/>
          </m:rPr>
          <m:t>}</m:t>
        </m:r>
        <m:r>
          <m:rPr>
            <m:sty m:val="p"/>
          </m:rPr>
          <m:t>:</m:t>
        </m:r>
        <m:d>
          <m:dPr>
            <m:begChr m:val="|"/>
            <m:endChr m:val="|"/>
            <m:sepChr m:val=""/>
            <m:grow/>
          </m:dPr>
          <m:e>
            <m:sSubSup>
              <m:e>
                <m:r>
                  <m:t>M</m:t>
                </m:r>
              </m:e>
              <m:sub>
                <m:r>
                  <m:t>R</m:t>
                </m:r>
              </m:sub>
              <m:sup>
                <m:r>
                  <m:t>b</m:t>
                </m:r>
              </m:sup>
            </m:sSubSup>
          </m:e>
        </m:d>
        <m:r>
          <m:rPr>
            <m:sty m:val="p"/>
          </m:rPr>
          <m:t>&gt;</m:t>
        </m:r>
        <m:r>
          <m:t>0</m:t>
        </m:r>
        <m:r>
          <m:rPr>
            <m:sty m:val="p"/>
          </m:rPr>
          <m:t>}</m:t>
        </m:r>
      </m:oMath>
      <w:r>
        <w:t xml:space="preserve">。辅助监督完整定义为</w:t>
      </w:r>
    </w:p>
    <w:p>
      <w:pPr>
        <w:pStyle w:val="Normal"/>
        <w:ind w:firstLine="0"/>
        <w:jc w:val="center"/>
      </w:pPr>
      <m:oMathPara>
        <m:oMathParaPr>
          <m:jc m:val="center"/>
        </m:oMathParaPr>
        <m:oMath>
          <m:r>
            <m:t>S</m:t>
          </m:r>
          <m:d>
            <m:dPr>
              <m:begChr m:val="("/>
              <m:endChr m:val=")"/>
              <m:sepChr m:val=""/>
              <m:grow/>
            </m:dPr>
            <m:e>
              <m:r>
                <m:t>x</m:t>
              </m:r>
              <m:r>
                <m:rPr>
                  <m:sty m:val="p"/>
                </m:rPr>
                <m:t>;</m:t>
              </m:r>
              <m:sSub>
                <m:e>
                  <m:r>
                    <m:t>M</m:t>
                  </m:r>
                </m:e>
                <m:sub>
                  <m:r>
                    <m:t>C</m:t>
                  </m:r>
                </m:sub>
              </m:sSub>
              <m:r>
                <m:rPr>
                  <m:sty m:val="p"/>
                </m:rPr>
                <m:t>,</m:t>
              </m:r>
              <m:sSub>
                <m:e>
                  <m:r>
                    <m:t>M</m:t>
                  </m:r>
                </m:e>
                <m:sub>
                  <m:r>
                    <m:t>R</m:t>
                  </m:r>
                </m:sub>
              </m:sSub>
            </m:e>
          </m:d>
          <m:r>
            <m:rPr>
              <m:sty m:val="p"/>
            </m:rPr>
            <m:t>=</m:t>
          </m:r>
          <m:f>
            <m:fPr>
              <m:type m:val="bar"/>
            </m:fPr>
            <m:num>
              <m:r>
                <m:t>1</m:t>
              </m:r>
            </m:num>
            <m:den>
              <m:d>
                <m:dPr>
                  <m:begChr m:val="|"/>
                  <m:endChr m:val="|"/>
                  <m:sepChr m:val=""/>
                  <m:grow/>
                </m:dPr>
                <m:e>
                  <m:sSub>
                    <m:e>
                      <m:r>
                        <m:t>M</m:t>
                      </m:r>
                    </m:e>
                    <m:sub>
                      <m:r>
                        <m:t>C</m:t>
                      </m:r>
                    </m:sub>
                  </m:sSub>
                </m:e>
              </m:d>
            </m:den>
          </m:f>
          <m:nary>
            <m:naryPr>
              <m:chr m:val="∑"/>
              <m:limLoc m:val="undOvr"/>
              <m:subHide m:val="off"/>
              <m:supHide m:val="on"/>
            </m:naryPr>
            <m:sub>
              <m:r>
                <m:t>c</m:t>
              </m:r>
              <m:r>
                <m:rPr>
                  <m:sty m:val="p"/>
                </m:rPr>
                <m:t>∈</m:t>
              </m:r>
              <m:sSub>
                <m:e>
                  <m:r>
                    <m:t>M</m:t>
                  </m:r>
                </m:e>
                <m:sub>
                  <m:r>
                    <m:t>C</m:t>
                  </m:r>
                </m:sub>
              </m:sSub>
            </m:sub>
            <m:sup>
              <m:r>
                <m:t>​</m:t>
              </m:r>
            </m:sup>
            <m:e>
              <m:r>
                <m:rPr>
                  <m:sty m:val="p"/>
                </m:rPr>
                <m:t>CE</m:t>
              </m:r>
            </m:e>
          </m:nary>
          <m:d>
            <m:dPr>
              <m:begChr m:val="("/>
              <m:endChr m:val=")"/>
              <m:sepChr m:val=""/>
              <m:grow/>
            </m:dPr>
            <m:e>
              <m:sSubSup>
                <m:e>
                  <m:r>
                    <m:t>p</m:t>
                  </m:r>
                </m:e>
                <m:sub>
                  <m:r>
                    <m:t>C</m:t>
                  </m:r>
                </m:sub>
                <m:sup>
                  <m:r>
                    <m:t>x</m:t>
                  </m:r>
                </m:sup>
              </m:sSubSup>
              <m:d>
                <m:dPr>
                  <m:begChr m:val="("/>
                  <m:endChr m:val=")"/>
                  <m:sepChr m:val=""/>
                  <m:grow/>
                </m:dPr>
                <m:e>
                  <m:r>
                    <m:t>c</m:t>
                  </m:r>
                </m:e>
              </m:d>
              <m:r>
                <m:rPr>
                  <m:sty m:val="p"/>
                </m:rPr>
                <m:t>,</m:t>
              </m:r>
              <m:sSub>
                <m:e>
                  <m:r>
                    <m:t>t</m:t>
                  </m:r>
                </m:e>
                <m:sub>
                  <m:r>
                    <m:t>c</m:t>
                  </m:r>
                </m:sub>
              </m:sSub>
            </m:e>
          </m:d>
          <m:r>
            <m:rPr>
              <m:sty m:val="p"/>
            </m:rPr>
            <m:t>+</m:t>
          </m:r>
          <m:f>
            <m:fPr>
              <m:type m:val="bar"/>
            </m:fPr>
            <m:num>
              <m:r>
                <m:t>1</m:t>
              </m:r>
            </m:num>
            <m:den>
              <m:d>
                <m:dPr>
                  <m:begChr m:val="|"/>
                  <m:endChr m:val="|"/>
                  <m:sepChr m:val=""/>
                  <m:grow/>
                </m:dPr>
                <m:e>
                  <m:sSub>
                    <m:e>
                      <m:r>
                        <m:rPr>
                          <m:sty m:val="p"/>
                          <m:scr m:val="script"/>
                        </m:rPr>
                        <m:t>B</m:t>
                      </m:r>
                    </m:e>
                    <m:sub>
                      <m:r>
                        <m:t>M</m:t>
                      </m:r>
                    </m:sub>
                  </m:sSub>
                </m:e>
              </m:d>
            </m:den>
          </m:f>
          <m:nary>
            <m:naryPr>
              <m:chr m:val="∑"/>
              <m:limLoc m:val="undOvr"/>
              <m:subHide m:val="off"/>
              <m:supHide m:val="on"/>
            </m:naryPr>
            <m:sub>
              <m:r>
                <m:t>b</m:t>
              </m:r>
              <m:r>
                <m:rPr>
                  <m:sty m:val="p"/>
                </m:rPr>
                <m:t>∈</m:t>
              </m:r>
              <m:sSub>
                <m:e>
                  <m:r>
                    <m:rPr>
                      <m:sty m:val="p"/>
                      <m:scr m:val="script"/>
                    </m:rPr>
                    <m:t>B</m:t>
                  </m:r>
                </m:e>
                <m:sub>
                  <m:r>
                    <m:t>M</m:t>
                  </m:r>
                </m:sub>
              </m:sSub>
            </m:sub>
            <m:sup>
              <m:r>
                <m:t>​</m:t>
              </m:r>
            </m:sup>
            <m:e>
              <m:f>
                <m:fPr>
                  <m:type m:val="bar"/>
                </m:fPr>
                <m:num>
                  <m:r>
                    <m:t>1</m:t>
                  </m:r>
                </m:num>
                <m:den>
                  <m:d>
                    <m:dPr>
                      <m:begChr m:val="|"/>
                      <m:endChr m:val="|"/>
                      <m:sepChr m:val=""/>
                      <m:grow/>
                    </m:dPr>
                    <m:e>
                      <m:sSubSup>
                        <m:e>
                          <m:r>
                            <m:t>M</m:t>
                          </m:r>
                        </m:e>
                        <m:sub>
                          <m:r>
                            <m:t>R</m:t>
                          </m:r>
                        </m:sub>
                        <m:sup>
                          <m:r>
                            <m:t>b</m:t>
                          </m:r>
                        </m:sup>
                      </m:sSubSup>
                    </m:e>
                  </m:d>
                </m:den>
              </m:f>
            </m:e>
          </m:nary>
          <m:nary>
            <m:naryPr>
              <m:chr m:val="∑"/>
              <m:limLoc m:val="undOvr"/>
              <m:subHide m:val="off"/>
              <m:supHide m:val="on"/>
            </m:naryPr>
            <m:sub>
              <m:r>
                <m:t>ω</m:t>
              </m:r>
              <m:r>
                <m:rPr>
                  <m:sty m:val="p"/>
                </m:rPr>
                <m:t>∈</m:t>
              </m:r>
              <m:sSubSup>
                <m:e>
                  <m:r>
                    <m:t>M</m:t>
                  </m:r>
                </m:e>
                <m:sub>
                  <m:r>
                    <m:t>R</m:t>
                  </m:r>
                </m:sub>
                <m:sup>
                  <m:r>
                    <m:t>b</m:t>
                  </m:r>
                </m:sup>
              </m:sSubSup>
            </m:sub>
            <m:sup>
              <m:r>
                <m:t>​</m:t>
              </m:r>
            </m:sup>
            <m:e>
              <m:r>
                <m:rPr>
                  <m:sty m:val="p"/>
                </m:rPr>
                <m:t>CE</m:t>
              </m:r>
            </m:e>
          </m:nary>
          <m:d>
            <m:dPr>
              <m:begChr m:val="("/>
              <m:endChr m:val=")"/>
              <m:sepChr m:val=""/>
              <m:grow/>
            </m:dPr>
            <m:e>
              <m:sSubSup>
                <m:e>
                  <m:r>
                    <m:t>p</m:t>
                  </m:r>
                </m:e>
                <m:sub>
                  <m:r>
                    <m:t>R</m:t>
                  </m:r>
                </m:sub>
                <m:sup>
                  <m:r>
                    <m:t>x</m:t>
                  </m:r>
                </m:sup>
              </m:sSubSup>
              <m:d>
                <m:dPr>
                  <m:begChr m:val="("/>
                  <m:endChr m:val=")"/>
                  <m:sepChr m:val=""/>
                  <m:grow/>
                </m:dPr>
                <m:e>
                  <m:r>
                    <m:t>ω</m:t>
                  </m:r>
                </m:e>
              </m:d>
              <m:r>
                <m:rPr>
                  <m:sty m:val="p"/>
                </m:rPr>
                <m:t>,</m:t>
              </m:r>
              <m:sSub>
                <m:e>
                  <m:r>
                    <m:t>y</m:t>
                  </m:r>
                </m:e>
                <m:sub>
                  <m:r>
                    <m:t>ω</m:t>
                  </m:r>
                </m:sub>
              </m:sSub>
            </m:e>
          </m:d>
          <m:r>
            <m:rPr>
              <m:sty m:val="p"/>
            </m:rPr>
            <m:t>,</m:t>
          </m:r>
        </m:oMath>
      </m:oMathPara>
    </w:p>
    <w:p>
      <w:pPr>
        <w:pStyle w:val="Normal"/>
      </w:pPr>
      <w:r>
        <w:t xml:space="preserve">其中</w:t>
      </w:r>
      <w:r>
        <w:t xml:space="preserve"> </w:t>
      </w:r>
      <m:oMath>
        <m:r>
          <m:rPr>
            <m:sty m:val="p"/>
          </m:rPr>
          <m:t>CE</m:t>
        </m:r>
      </m:oMath>
      <w:r>
        <w:t xml:space="preserve"> </w:t>
      </w:r>
      <w:r>
        <w:t xml:space="preserve">为交叉熵，</w:t>
      </w:r>
      <m:oMath>
        <m:sSub>
          <m:e>
            <m:r>
              <m:t>t</m:t>
            </m:r>
          </m:e>
          <m:sub>
            <m:r>
              <m:t>c</m:t>
            </m:r>
          </m:sub>
        </m:sSub>
      </m:oMath>
      <w:r>
        <w:t xml:space="preserve"> </w:t>
      </w:r>
      <w:r>
        <w:t xml:space="preserve">为组件原生类型；组件项在</w:t>
      </w:r>
      <w:r>
        <w:t xml:space="preserve"> </w:t>
      </w:r>
      <m:oMath>
        <m:sSub>
          <m:e>
            <m:r>
              <m:t>M</m:t>
            </m:r>
          </m:e>
          <m:sub>
            <m:r>
              <m:t>C</m:t>
            </m:r>
          </m:sub>
        </m:sSub>
        <m:r>
          <m:rPr>
            <m:sty m:val="p"/>
          </m:rPr>
          <m:t>=</m:t>
        </m:r>
        <m:r>
          <m:rPr>
            <m:sty m:val="p"/>
          </m:rPr>
          <m:t>⌀</m:t>
        </m:r>
      </m:oMath>
      <w:r>
        <w:t xml:space="preserve"> </w:t>
      </w:r>
      <w:r>
        <w:t xml:space="preserve">时取0，关系项在</w:t>
      </w:r>
      <w:r>
        <w:t xml:space="preserve"> </w:t>
      </w:r>
      <m:oMath>
        <m:sSub>
          <m:e>
            <m:r>
              <m:rPr>
                <m:sty m:val="p"/>
                <m:scr m:val="script"/>
              </m:rPr>
              <m:t>B</m:t>
            </m:r>
          </m:e>
          <m:sub>
            <m:r>
              <m:t>M</m:t>
            </m:r>
          </m:sub>
        </m:sSub>
        <m:r>
          <m:rPr>
            <m:sty m:val="p"/>
          </m:rPr>
          <m:t>=</m:t>
        </m:r>
        <m:r>
          <m:rPr>
            <m:sty m:val="p"/>
          </m:rPr>
          <m:t>⌀</m:t>
        </m:r>
      </m:oMath>
      <w:r>
        <w:t xml:space="preserve"> </w:t>
      </w:r>
      <w:r>
        <w:t xml:space="preserve">时取0，两项等权相加。原文取</w:t>
      </w:r>
      <w:r>
        <w:t xml:space="preserve"> </w:t>
      </w:r>
      <m:oMath>
        <m:r>
          <m:t>S</m:t>
        </m:r>
        <m:d>
          <m:dPr>
            <m:begChr m:val="("/>
            <m:endChr m:val=")"/>
            <m:sepChr m:val=""/>
            <m:grow/>
          </m:dPr>
          <m:e>
            <m:r>
              <m:t>x</m:t>
            </m:r>
            <m:r>
              <m:rPr>
                <m:sty m:val="p"/>
              </m:rPr>
              <m:t>,</m:t>
            </m:r>
            <m:r>
              <m:t>G</m:t>
            </m:r>
          </m:e>
        </m:d>
        <m:r>
          <m:rPr>
            <m:sty m:val="p"/>
          </m:rPr>
          <m:t>=</m:t>
        </m:r>
        <m:r>
          <m:t>S</m:t>
        </m:r>
        <m:d>
          <m:dPr>
            <m:begChr m:val="("/>
            <m:endChr m:val=")"/>
            <m:sepChr m:val=""/>
            <m:grow/>
          </m:dPr>
          <m:e>
            <m:r>
              <m:t>x</m:t>
            </m:r>
            <m:r>
              <m:rPr>
                <m:sty m:val="p"/>
              </m:rPr>
              <m:t>;</m:t>
            </m:r>
            <m:r>
              <m:t>C</m:t>
            </m:r>
            <m:r>
              <m:rPr>
                <m:sty m:val="p"/>
              </m:rPr>
              <m:t>,</m:t>
            </m:r>
            <m:sSub>
              <m:e>
                <m:r>
                  <m:t>Ω</m:t>
                </m:r>
              </m:e>
              <m:sub>
                <m:r>
                  <m:t>s</m:t>
                </m:r>
                <m:r>
                  <m:t>e</m:t>
                </m:r>
                <m:r>
                  <m:t>m</m:t>
                </m:r>
              </m:sub>
            </m:sSub>
            <m:d>
              <m:dPr>
                <m:begChr m:val="("/>
                <m:endChr m:val=")"/>
                <m:sepChr m:val=""/>
                <m:grow/>
              </m:dPr>
              <m:e>
                <m:r>
                  <m:t>C</m:t>
                </m:r>
              </m:e>
            </m:d>
          </m:e>
        </m:d>
      </m:oMath>
      <w:r>
        <w:t xml:space="preserve">，即全部原生组件及可审核因素，语义未知集合不参与关系头监督；变体取</w:t>
      </w:r>
      <w:r>
        <w:t xml:space="preserve"> </w:t>
      </w:r>
      <m:oMath>
        <m:sSub>
          <m:e>
            <m:r>
              <m:t>S</m:t>
            </m:r>
          </m:e>
          <m:sub>
            <m:r>
              <m:t>m</m:t>
            </m:r>
          </m:sub>
        </m:sSub>
        <m:d>
          <m:dPr>
            <m:begChr m:val="("/>
            <m:endChr m:val=")"/>
            <m:sepChr m:val=""/>
            <m:grow/>
          </m:dPr>
          <m:e>
            <m:r>
              <m:t>x</m:t>
            </m:r>
            <m:r>
              <m:rPr>
                <m:sty m:val="p"/>
              </m:rPr>
              <m:t>′</m:t>
            </m:r>
            <m:r>
              <m:rPr>
                <m:sty m:val="p"/>
              </m:rPr>
              <m:t>,</m:t>
            </m:r>
            <m:r>
              <m:t>ϕ</m:t>
            </m:r>
            <m:d>
              <m:dPr>
                <m:begChr m:val="("/>
                <m:endChr m:val=")"/>
                <m:sepChr m:val=""/>
                <m:grow/>
              </m:dPr>
              <m:e>
                <m:r>
                  <m:t>G</m:t>
                </m:r>
              </m:e>
            </m:d>
          </m:e>
        </m:d>
        <m:r>
          <m:rPr>
            <m:sty m:val="p"/>
          </m:rPr>
          <m:t>=</m:t>
        </m:r>
        <m:r>
          <m:t>S</m:t>
        </m:r>
        <m:d>
          <m:dPr>
            <m:begChr m:val="("/>
            <m:endChr m:val=")"/>
            <m:sepChr m:val=""/>
            <m:grow/>
          </m:dPr>
          <m:e>
            <m:r>
              <m:t>x</m:t>
            </m:r>
            <m:r>
              <m:rPr>
                <m:sty m:val="p"/>
              </m:rPr>
              <m:t>′</m:t>
            </m:r>
            <m:r>
              <m:rPr>
                <m:sty m:val="p"/>
              </m:rPr>
              <m:t>;</m:t>
            </m:r>
            <m:r>
              <m:rPr>
                <m:sty m:val="p"/>
              </m:rPr>
              <m:t>{</m:t>
            </m:r>
            <m:r>
              <m:t>ϕ</m:t>
            </m:r>
            <m:d>
              <m:dPr>
                <m:begChr m:val="("/>
                <m:endChr m:val=")"/>
                <m:sepChr m:val=""/>
                <m:grow/>
              </m:dPr>
              <m:e>
                <m:r>
                  <m:t>c</m:t>
                </m:r>
              </m:e>
            </m:d>
            <m:r>
              <m:rPr>
                <m:sty m:val="p"/>
              </m:rPr>
              <m:t>:</m:t>
            </m:r>
            <m:sSub>
              <m:e>
                <m:r>
                  <m:t>m</m:t>
                </m:r>
              </m:e>
              <m:sub>
                <m:r>
                  <m:t>C</m:t>
                </m:r>
              </m:sub>
            </m:sSub>
            <m:d>
              <m:dPr>
                <m:begChr m:val="("/>
                <m:endChr m:val=")"/>
                <m:sepChr m:val=""/>
                <m:grow/>
              </m:dPr>
              <m:e>
                <m:r>
                  <m:t>c</m:t>
                </m:r>
              </m:e>
            </m:d>
            <m:r>
              <m:rPr>
                <m:sty m:val="p"/>
              </m:rPr>
              <m:t>=</m:t>
            </m:r>
            <m:r>
              <m:t>1</m:t>
            </m:r>
            <m:r>
              <m:rPr>
                <m:sty m:val="p"/>
              </m:rPr>
              <m:t>}</m:t>
            </m:r>
            <m:r>
              <m:rPr>
                <m:sty m:val="p"/>
              </m:rPr>
              <m:t>,</m:t>
            </m:r>
            <m:r>
              <m:rPr>
                <m:sty m:val="p"/>
              </m:rPr>
              <m:t>{</m:t>
            </m:r>
            <m:r>
              <m:t>ϕ</m:t>
            </m:r>
            <m:d>
              <m:dPr>
                <m:begChr m:val="("/>
                <m:endChr m:val=")"/>
                <m:sepChr m:val=""/>
                <m:grow/>
              </m:dPr>
              <m:e>
                <m:r>
                  <m:t>ω</m:t>
                </m:r>
              </m:e>
            </m:d>
            <m:r>
              <m:rPr>
                <m:sty m:val="p"/>
              </m:rPr>
              <m:t>:</m:t>
            </m:r>
            <m:r>
              <m:t>ω</m:t>
            </m:r>
            <m:r>
              <m:rPr>
                <m:sty m:val="p"/>
              </m:rPr>
              <m:t>∈</m:t>
            </m:r>
            <m:sSub>
              <m:e>
                <m:r>
                  <m:t>J</m:t>
                </m:r>
              </m:e>
              <m:sub>
                <m:r>
                  <m:t>A</m:t>
                </m:r>
              </m:sub>
            </m:sSub>
            <m:r>
              <m:rPr>
                <m:sty m:val="p"/>
              </m:rPr>
              <m:t>,</m:t>
            </m:r>
            <m:sSub>
              <m:e>
                <m:r>
                  <m:t>m</m:t>
                </m:r>
              </m:e>
              <m:sub>
                <m:r>
                  <m:t>R</m:t>
                </m:r>
              </m:sub>
            </m:sSub>
            <m:d>
              <m:dPr>
                <m:begChr m:val="("/>
                <m:endChr m:val=")"/>
                <m:sepChr m:val=""/>
                <m:grow/>
              </m:dPr>
              <m:e>
                <m:r>
                  <m:t>ω</m:t>
                </m:r>
              </m:e>
            </m:d>
            <m:r>
              <m:rPr>
                <m:sty m:val="p"/>
              </m:rPr>
              <m:t>=</m:t>
            </m:r>
            <m:r>
              <m:t>1</m:t>
            </m:r>
            <m:r>
              <m:rPr>
                <m:sty m:val="p"/>
              </m:rPr>
              <m:t>}</m:t>
            </m:r>
          </m:e>
        </m:d>
      </m:oMath>
      <w:r>
        <w:t xml:space="preserve">，即只对掩码为1的组件和关系归一化。未审核关系既不作为正例，也不作为NONE负例；金标锚定仍不构成排除全部退化解的保证。</w:t>
      </w:r>
    </w:p>
    <w:p>
      <w:pPr>
        <w:pStyle w:val="Heading2"/>
      </w:pPr>
      <w:r>
        <w:t>3.4.2 源文档归一化与参数更新</w:t>
      </w:r>
    </w:p>
    <w:p>
      <w:pPr>
        <w:pStyle w:val="Normal"/>
      </w:pPr>
      <w:r>
        <w:t xml:space="preserve">设源文档</w:t>
      </w:r>
      <w:r>
        <w:t xml:space="preserve"> </w:t>
      </w:r>
      <m:oMath>
        <m:r>
          <m:t>d</m:t>
        </m:r>
      </m:oMath>
      <w:r>
        <w:t xml:space="preserve"> </w:t>
      </w:r>
      <w:r>
        <w:t xml:space="preserve">接受</w:t>
      </w:r>
      <w:r>
        <w:t xml:space="preserve"> </w:t>
      </w:r>
      <m:oMath>
        <m:sSub>
          <m:e>
            <m:r>
              <m:t>m</m:t>
            </m:r>
          </m:e>
          <m:sub>
            <m:r>
              <m:t>d</m:t>
            </m:r>
          </m:sub>
        </m:sSub>
      </m:oMath>
      <w:r>
        <w:t xml:space="preserve"> </w:t>
      </w:r>
      <w:r>
        <w:t xml:space="preserve">个视图。原文承担完整图生成及继承句子监督；增强文只作为输入视图，不将含未审核关系的输运图作为完整生成答案。头监督定义为</w:t>
      </w:r>
    </w:p>
    <w:p>
      <w:pPr>
        <w:pStyle w:val="Normal"/>
        <w:ind w:firstLine="0"/>
        <w:jc w:val="center"/>
      </w:pPr>
      <m:oMathPara>
        <m:oMathParaPr>
          <m:jc m:val="center"/>
        </m:oMathParaPr>
        <m:oMath>
          <m:sSubSup>
            <m:e>
              <m:r>
                <m:t>L</m:t>
              </m:r>
            </m:e>
            <m:sub>
              <m:r>
                <m:t>h</m:t>
              </m:r>
              <m:r>
                <m:t>e</m:t>
              </m:r>
              <m:r>
                <m:t>a</m:t>
              </m:r>
              <m:r>
                <m:t>d</m:t>
              </m:r>
              <m:r>
                <m:t>s</m:t>
              </m:r>
              <m:r>
                <m:rPr>
                  <m:sty m:val="p"/>
                </m:rPr>
                <m:t>,</m:t>
              </m:r>
              <m:r>
                <m:t>d</m:t>
              </m:r>
            </m:sub>
            <m:sup>
              <m:r>
                <m:t>s</m:t>
              </m:r>
              <m:r>
                <m:t>u</m:t>
              </m:r>
              <m:r>
                <m:t>p</m:t>
              </m:r>
            </m:sup>
          </m:sSubSup>
          <m:r>
            <m:rPr>
              <m:sty m:val="p"/>
            </m:rPr>
            <m:t>=</m:t>
          </m:r>
          <m:f>
            <m:fPr>
              <m:type m:val="bar"/>
            </m:fPr>
            <m:num>
              <m:r>
                <m:t>S</m:t>
              </m:r>
              <m:d>
                <m:dPr>
                  <m:begChr m:val="("/>
                  <m:endChr m:val=")"/>
                  <m:sepChr m:val=""/>
                  <m:grow/>
                </m:dPr>
                <m:e>
                  <m:sSub>
                    <m:e>
                      <m:r>
                        <m:t>x</m:t>
                      </m:r>
                    </m:e>
                    <m:sub>
                      <m:r>
                        <m:t>d</m:t>
                      </m:r>
                    </m:sub>
                  </m:sSub>
                  <m:r>
                    <m:rPr>
                      <m:sty m:val="p"/>
                    </m:rPr>
                    <m:t>,</m:t>
                  </m:r>
                  <m:sSub>
                    <m:e>
                      <m:r>
                        <m:t>G</m:t>
                      </m:r>
                    </m:e>
                    <m:sub>
                      <m:r>
                        <m:t>d</m:t>
                      </m:r>
                    </m:sub>
                  </m:sSub>
                </m:e>
              </m:d>
              <m:r>
                <m:rPr>
                  <m:sty m:val="p"/>
                </m:rPr>
                <m:t>+</m:t>
              </m:r>
              <m:nary>
                <m:naryPr>
                  <m:chr m:val="∑"/>
                  <m:limLoc m:val="undOvr"/>
                  <m:subHide m:val="off"/>
                  <m:supHide m:val="off"/>
                </m:naryPr>
                <m:sub>
                  <m:r>
                    <m:t>j</m:t>
                  </m:r>
                  <m:r>
                    <m:rPr>
                      <m:sty m:val="p"/>
                    </m:rPr>
                    <m:t>=</m:t>
                  </m:r>
                  <m:r>
                    <m:t>1</m:t>
                  </m:r>
                </m:sub>
                <m:sup>
                  <m:sSub>
                    <m:e>
                      <m:r>
                        <m:t>m</m:t>
                      </m:r>
                    </m:e>
                    <m:sub>
                      <m:r>
                        <m:t>d</m:t>
                      </m:r>
                    </m:sub>
                  </m:sSub>
                </m:sup>
                <m:e>
                  <m:sSub>
                    <m:e>
                      <m:r>
                        <m:t>S</m:t>
                      </m:r>
                    </m:e>
                    <m:sub>
                      <m:sSub>
                        <m:e>
                          <m:r>
                            <m:t>m</m:t>
                          </m:r>
                        </m:e>
                        <m:sub>
                          <m:r>
                            <m:t>j</m:t>
                          </m:r>
                        </m:sub>
                      </m:sSub>
                    </m:sub>
                  </m:sSub>
                </m:e>
              </m:nary>
              <m:d>
                <m:dPr>
                  <m:begChr m:val="("/>
                  <m:endChr m:val=")"/>
                  <m:sepChr m:val=""/>
                  <m:grow/>
                </m:dPr>
                <m:e>
                  <m:r>
                    <m:t>x</m:t>
                  </m:r>
                  <m:sSub>
                    <m:e>
                      <m:r>
                        <m:rPr>
                          <m:sty m:val="p"/>
                        </m:rPr>
                        <m:t>′</m:t>
                      </m:r>
                    </m:e>
                    <m:sub>
                      <m:r>
                        <m:t>d</m:t>
                      </m:r>
                      <m:r>
                        <m:t>j</m:t>
                      </m:r>
                    </m:sub>
                  </m:sSub>
                  <m:r>
                    <m:rPr>
                      <m:sty m:val="p"/>
                    </m:rPr>
                    <m:t>,</m:t>
                  </m:r>
                  <m:sSub>
                    <m:e>
                      <m:r>
                        <m:t>ϕ</m:t>
                      </m:r>
                    </m:e>
                    <m:sub>
                      <m:r>
                        <m:t>j</m:t>
                      </m:r>
                    </m:sub>
                  </m:sSub>
                  <m:d>
                    <m:dPr>
                      <m:begChr m:val="("/>
                      <m:endChr m:val=")"/>
                      <m:sepChr m:val=""/>
                      <m:grow/>
                    </m:dPr>
                    <m:e>
                      <m:sSub>
                        <m:e>
                          <m:r>
                            <m:t>G</m:t>
                          </m:r>
                        </m:e>
                        <m:sub>
                          <m:r>
                            <m:t>d</m:t>
                          </m:r>
                        </m:sub>
                      </m:sSub>
                    </m:e>
                  </m:d>
                </m:e>
              </m:d>
            </m:num>
            <m:den>
              <m:r>
                <m:t>1</m:t>
              </m:r>
              <m:r>
                <m:rPr>
                  <m:sty m:val="p"/>
                </m:rPr>
                <m:t>+</m:t>
              </m:r>
              <m:sSub>
                <m:e>
                  <m:r>
                    <m:t>m</m:t>
                  </m:r>
                </m:e>
                <m:sub>
                  <m:r>
                    <m:t>d</m:t>
                  </m:r>
                </m:sub>
              </m:sSub>
            </m:den>
          </m:f>
          <m:r>
            <m:rPr>
              <m:sty m:val="p"/>
            </m:rPr>
            <m:t>.</m:t>
          </m:r>
        </m:oMath>
      </m:oMathPara>
    </w:p>
    <w:p>
      <w:pPr>
        <w:pStyle w:val="Normal"/>
      </w:pPr>
      <w:r>
        <w:t xml:space="preserve">成对项先在每个非空因素组内平均，再按同源接受视图平均。总损失为</w:t>
      </w:r>
    </w:p>
    <w:p>
      <w:pPr>
        <w:pStyle w:val="Normal"/>
        <w:ind w:firstLine="0"/>
        <w:jc w:val="center"/>
      </w:pPr>
      <m:oMathPara>
        <m:oMathParaPr>
          <m:jc m:val="center"/>
        </m:oMathParaPr>
        <m:oMath>
          <m:sSub>
            <m:e>
              <m:r>
                <m:t>L</m:t>
              </m:r>
            </m:e>
            <m:sub>
              <m:r>
                <m:t>d</m:t>
              </m:r>
            </m:sub>
          </m:sSub>
          <m:r>
            <m:rPr>
              <m:sty m:val="p"/>
            </m:rPr>
            <m:t>=</m:t>
          </m:r>
          <m:sSub>
            <m:e>
              <m:r>
                <m:t>L</m:t>
              </m:r>
            </m:e>
            <m:sub>
              <m:r>
                <m:t>I</m:t>
              </m:r>
              <m:r>
                <m:t>C</m:t>
              </m:r>
              <m:r>
                <m:t>I</m:t>
              </m:r>
              <m:r>
                <m:t>C</m:t>
              </m:r>
            </m:sub>
          </m:sSub>
          <m:d>
            <m:dPr>
              <m:begChr m:val="("/>
              <m:endChr m:val=")"/>
              <m:sepChr m:val=""/>
              <m:grow/>
            </m:dPr>
            <m:e>
              <m:sSub>
                <m:e>
                  <m:r>
                    <m:t>x</m:t>
                  </m:r>
                </m:e>
                <m:sub>
                  <m:r>
                    <m:t>d</m:t>
                  </m:r>
                </m:sub>
              </m:sSub>
              <m:r>
                <m:rPr>
                  <m:sty m:val="p"/>
                </m:rPr>
                <m:t>,</m:t>
              </m:r>
              <m:sSub>
                <m:e>
                  <m:r>
                    <m:t>G</m:t>
                  </m:r>
                </m:e>
                <m:sub>
                  <m:r>
                    <m:t>d</m:t>
                  </m:r>
                </m:sub>
              </m:sSub>
            </m:e>
          </m:d>
          <m:r>
            <m:rPr>
              <m:sty m:val="p"/>
            </m:rPr>
            <m:t>+</m:t>
          </m:r>
          <m:sSub>
            <m:e>
              <m:r>
                <m:t>λ</m:t>
              </m:r>
            </m:e>
            <m:sub>
              <m:r>
                <m:t>s</m:t>
              </m:r>
              <m:r>
                <m:t>u</m:t>
              </m:r>
              <m:r>
                <m:t>p</m:t>
              </m:r>
            </m:sub>
          </m:sSub>
          <m:sSubSup>
            <m:e>
              <m:r>
                <m:t>L</m:t>
              </m:r>
            </m:e>
            <m:sub>
              <m:r>
                <m:t>h</m:t>
              </m:r>
              <m:r>
                <m:t>e</m:t>
              </m:r>
              <m:r>
                <m:t>a</m:t>
              </m:r>
              <m:r>
                <m:t>d</m:t>
              </m:r>
              <m:r>
                <m:t>s</m:t>
              </m:r>
              <m:r>
                <m:rPr>
                  <m:sty m:val="p"/>
                </m:rPr>
                <m:t>,</m:t>
              </m:r>
              <m:r>
                <m:t>d</m:t>
              </m:r>
            </m:sub>
            <m:sup>
              <m:r>
                <m:t>s</m:t>
              </m:r>
              <m:r>
                <m:t>u</m:t>
              </m:r>
              <m:r>
                <m:t>p</m:t>
              </m:r>
            </m:sup>
          </m:sSubSup>
          <m:r>
            <m:rPr>
              <m:sty m:val="p"/>
            </m:rPr>
            <m:t>+</m:t>
          </m:r>
          <m:sSub>
            <m:e>
              <m:r>
                <m:t>λ</m:t>
              </m:r>
            </m:e>
            <m:sub>
              <m:r>
                <m:t>C</m:t>
              </m:r>
            </m:sub>
          </m:sSub>
          <m:sSubSup>
            <m:e>
              <m:acc>
                <m:accPr>
                  <m:chr m:val="‾"/>
                </m:accPr>
                <m:e>
                  <m:r>
                    <m:t>L</m:t>
                  </m:r>
                </m:e>
              </m:acc>
            </m:e>
            <m:sub>
              <m:r>
                <m:t>C</m:t>
              </m:r>
              <m:r>
                <m:rPr>
                  <m:sty m:val="p"/>
                </m:rPr>
                <m:t>,</m:t>
              </m:r>
              <m:r>
                <m:t>d</m:t>
              </m:r>
            </m:sub>
            <m:sup>
              <m:r>
                <m:t>a</m:t>
              </m:r>
              <m:r>
                <m:t>l</m:t>
              </m:r>
              <m:r>
                <m:t>i</m:t>
              </m:r>
              <m:r>
                <m:t>g</m:t>
              </m:r>
              <m:r>
                <m:t>n</m:t>
              </m:r>
            </m:sup>
          </m:sSubSup>
          <m:r>
            <m:rPr>
              <m:sty m:val="p"/>
            </m:rPr>
            <m:t>+</m:t>
          </m:r>
          <m:sSub>
            <m:e>
              <m:r>
                <m:t>λ</m:t>
              </m:r>
            </m:e>
            <m:sub>
              <m:r>
                <m:t>R</m:t>
              </m:r>
            </m:sub>
          </m:sSub>
          <m:sSubSup>
            <m:e>
              <m:acc>
                <m:accPr>
                  <m:chr m:val="‾"/>
                </m:accPr>
                <m:e>
                  <m:r>
                    <m:t>L</m:t>
                  </m:r>
                </m:e>
              </m:acc>
            </m:e>
            <m:sub>
              <m:r>
                <m:t>R</m:t>
              </m:r>
              <m:r>
                <m:rPr>
                  <m:sty m:val="p"/>
                </m:rPr>
                <m:t>,</m:t>
              </m:r>
              <m:r>
                <m:t>d</m:t>
              </m:r>
            </m:sub>
            <m:sup>
              <m:r>
                <m:t>a</m:t>
              </m:r>
              <m:r>
                <m:t>l</m:t>
              </m:r>
              <m:r>
                <m:t>i</m:t>
              </m:r>
              <m:r>
                <m:t>g</m:t>
              </m:r>
              <m:r>
                <m:t>n</m:t>
              </m:r>
            </m:sup>
          </m:sSubSup>
          <m:r>
            <m:rPr>
              <m:sty m:val="p"/>
            </m:rPr>
            <m:t>.</m:t>
          </m:r>
        </m:oMath>
      </m:oMathPara>
    </w:p>
    <w:p>
      <w:pPr>
        <w:pStyle w:val="Normal"/>
      </w:pPr>
      <w:r>
        <w:t xml:space="preserve">默认</w:t>
      </w:r>
      <w:r>
        <w:t xml:space="preserve"> </w:t>
      </w:r>
      <m:oMath>
        <m:sSub>
          <m:e>
            <m:r>
              <m:t>λ</m:t>
            </m:r>
          </m:e>
          <m:sub>
            <m:r>
              <m:t>s</m:t>
            </m:r>
            <m:r>
              <m:t>u</m:t>
            </m:r>
            <m:r>
              <m:t>p</m:t>
            </m:r>
          </m:sub>
        </m:sSub>
        <m:r>
          <m:rPr>
            <m:sty m:val="p"/>
          </m:rPr>
          <m:t>=</m:t>
        </m:r>
        <m:r>
          <m:t>1</m:t>
        </m:r>
      </m:oMath>
      <w:r>
        <w:t xml:space="preserve">、</w:t>
      </w:r>
      <m:oMath>
        <m:sSub>
          <m:e>
            <m:r>
              <m:t>λ</m:t>
            </m:r>
          </m:e>
          <m:sub>
            <m:r>
              <m:t>C</m:t>
            </m:r>
          </m:sub>
        </m:sSub>
        <m:r>
          <m:rPr>
            <m:sty m:val="p"/>
          </m:rPr>
          <m:t>=</m:t>
        </m:r>
        <m:sSub>
          <m:e>
            <m:r>
              <m:t>λ</m:t>
            </m:r>
          </m:e>
          <m:sub>
            <m:r>
              <m:t>R</m:t>
            </m:r>
          </m:sub>
        </m:sSub>
        <m:r>
          <m:rPr>
            <m:sty m:val="p"/>
          </m:rPr>
          <m:t>=</m:t>
        </m:r>
        <m:r>
          <m:t>0.5</m:t>
        </m:r>
      </m:oMath>
      <w:r>
        <w:t xml:space="preserve">。无变体时只保留原文对应项；有变体但无可靠关系时，关系对齐置零，组件学习仍可进行。接受视图已通过组件检查，被改写组件的</w:t>
      </w:r>
      <w:r>
        <w:t xml:space="preserve"> </w:t>
      </w:r>
      <m:oMath>
        <m:sSub>
          <m:e>
            <m:r>
              <m:t>m</m:t>
            </m:r>
          </m:e>
          <m:sub>
            <m:r>
              <m:t>C</m:t>
            </m:r>
          </m:sub>
        </m:sSub>
      </m:oMath>
      <w:r>
        <w:t xml:space="preserve"> </w:t>
      </w:r>
      <w:r>
        <w:t xml:space="preserve">均为1，因此计入</w:t>
      </w:r>
      <w:r>
        <w:t xml:space="preserve"> </w:t>
      </w:r>
      <m:oMath>
        <m:sSub>
          <m:e>
            <m:r>
              <m:t>m</m:t>
            </m:r>
          </m:e>
          <m:sub>
            <m:r>
              <m:t>d</m:t>
            </m:r>
          </m:sub>
        </m:sSub>
      </m:oMath>
      <w:r>
        <w:t xml:space="preserve"> </w:t>
      </w:r>
      <w:r>
        <w:t xml:space="preserve">的视图不会出现空组件项。批内按源文档平均，梯度累积末批按实际文档数归一化，不把接受变体多的源文档自动赋予更高权重。</w:t>
      </w:r>
    </w:p>
    <w:p>
      <w:pPr>
        <w:pStyle w:val="Normal"/>
      </w:pPr>
      <w:r>
        <w:t xml:space="preserve">按</w:t>
      </w:r>
      <w:r>
        <w:t xml:space="preserve"> </w:t>
      </w:r>
      <m:oMath>
        <m:r>
          <m:t>1</m:t>
        </m:r>
        <m:r>
          <m:rPr>
            <m:sty m:val="p"/>
          </m:rPr>
          <m:t>+</m:t>
        </m:r>
        <m:sSub>
          <m:e>
            <m:r>
              <m:t>m</m:t>
            </m:r>
          </m:e>
          <m:sub>
            <m:r>
              <m:t>d</m:t>
            </m:r>
          </m:sub>
        </m:sSub>
      </m:oMath>
      <w:r>
        <w:t xml:space="preserve"> </w:t>
      </w:r>
      <w:r>
        <w:t xml:space="preserve">平均使每篇源文档的头监督总权重固定，代价是原文在头监督中的占比随接受视图数变为</w:t>
      </w:r>
      <w:r>
        <w:t xml:space="preserve"> </w:t>
      </w:r>
      <m:oMath>
        <m:r>
          <m:t>1</m:t>
        </m:r>
        <m:r>
          <m:rPr>
            <m:sty m:val="p"/>
          </m:rPr>
          <m:t>/</m:t>
        </m:r>
        <m:d>
          <m:dPr>
            <m:begChr m:val="("/>
            <m:endChr m:val=")"/>
            <m:sepChr m:val=""/>
            <m:grow/>
          </m:dPr>
          <m:e>
            <m:r>
              <m:t>1</m:t>
            </m:r>
            <m:r>
              <m:rPr>
                <m:sty m:val="p"/>
              </m:rPr>
              <m:t>+</m:t>
            </m:r>
            <m:sSub>
              <m:e>
                <m:r>
                  <m:t>m</m:t>
                </m:r>
              </m:e>
              <m:sub>
                <m:r>
                  <m:t>d</m:t>
                </m:r>
              </m:sub>
            </m:sSub>
          </m:e>
        </m:d>
      </m:oMath>
      <w:r>
        <w:t xml:space="preserve">；原文完整生成损失</w:t>
      </w:r>
      <w:r>
        <w:t xml:space="preserve"> </w:t>
      </w:r>
      <m:oMath>
        <m:sSub>
          <m:e>
            <m:r>
              <m:t>L</m:t>
            </m:r>
          </m:e>
          <m:sub>
            <m:r>
              <m:t>I</m:t>
            </m:r>
            <m:r>
              <m:t>C</m:t>
            </m:r>
            <m:r>
              <m:t>I</m:t>
            </m:r>
            <m:r>
              <m:t>C</m:t>
            </m:r>
          </m:sub>
        </m:sSub>
      </m:oMath>
      <w:r>
        <w:t xml:space="preserve"> </w:t>
      </w:r>
      <w:r>
        <w:t xml:space="preserve">不受影响。完整筛选与因素掩码通常接受不同数量的视图，二者的比较因此同时包含这一占比差异，这是数据策略的一部分。成对学习消融固定同一批视图与掩码，不受该差异影响。</w:t>
      </w:r>
    </w:p>
    <w:p>
      <w:pPr>
        <w:pStyle w:val="Normal"/>
      </w:pPr>
      <w:r>
        <w:t xml:space="preserve">两个视图均保留梯度。生成和句子损失更新继承模块，组件与关系头及成对项通过输入表示更新全局LoRA；类型前缀门控的结论专项分支只由相应生成路径更新。基础权重冻结，辅助头在评价时移除。推理评分器另行训练，不使用这些辅助头的类别概率冒充完整对象正确率。</w:t>
      </w:r>
    </w:p>
    <w:p>
      <w:pPr>
        <w:pStyle w:val="Normal"/>
      </w:pPr>
      <w:r>
        <w:t xml:space="preserve">全文改写后所有标签都被确认的额外版本可以计算增强图生成损失，但须独立命名并控制更新量。本文默认不采用该版本，以免将未审核监督重新从生成目标引入。</w:t>
      </w:r>
    </w:p>
    <w:p>
      <w:pPr>
        <w:pStyle w:val="Heading1"/>
      </w:pPr>
      <w:r>
        <w:t>3.5 算法及性质</w:t>
      </w:r>
    </w:p>
    <w:p>
      <w:pPr>
        <w:pStyle w:val="Normal"/>
      </w:pPr>
      <w:r>
        <w:t xml:space="preserve">算法3-1将增强构造和参数学习分为两个阶段。前一阶段在固定预算内生成并筛选文本变体，后一阶段按源文档归一化训练。两阶段的数据构造及损失计算均只访问训练划分；开发集的参数选择与停止规则按第二章2.5节执行，测试标签不参与上述过程。</w:t>
      </w:r>
    </w:p>
    <w:p>
      <w:pPr>
        <w:pStyle w:val="Normal"/>
        <w:keepNext/>
        <w:ind w:firstLine="0"/>
        <w:jc w:val="center"/>
      </w:pPr>
      <w:r>
        <w:t xml:space="preserve">算法3-1 关系影响域增强与成对学习</w:t>
      </w:r>
    </w:p>
    <w:p>
      <w:pPr>
        <w:pStyle w:val="SourceCode"/>
      </w:pPr>
      <w:r>
        <w:t>输入：训练文档及金标图 D_train，数据协议，固定增强与语义验证模型，</w:t>
      </w:r>
    </w:p>
    <w:p>
      <w:pPr>
        <w:pStyle w:val="SourceCode"/>
      </w:pPr>
      <w:r>
        <w:t xml:space="preserve">      每文档尝试上限 B_try、接受上限 B_accept，训练更新上限 U，</w:t>
      </w:r>
    </w:p>
    <w:p>
      <w:pPr>
        <w:pStyle w:val="SourceCode"/>
      </w:pPr>
      <w:r>
        <w:t xml:space="preserve">      审核模式 mode ∈ {FactorMask, FullFilter}。</w:t>
      </w:r>
    </w:p>
    <w:p>
      <w:pPr>
        <w:pStyle w:val="SourceCode"/>
      </w:pPr>
      <w:r>
        <w:t>输出：训练后的端到端生成器 θ，以及增强样本、组件映射和来源记录。</w:t>
      </w:r>
    </w:p>
    <w:p>
      <w:pPr>
        <w:pStyle w:val="SourceCode"/>
      </w:pPr>
      <w:r>
        <w:t>01  检查训练划分、全文哈希分组、坐标和标签协议</w:t>
      </w:r>
    </w:p>
    <w:p>
      <w:pPr>
        <w:pStyle w:val="SourceCode"/>
      </w:pPr>
      <w:r>
        <w:t>02  for 每篇源文档 d ∈ D_train do</w:t>
      </w:r>
    </w:p>
    <w:p>
      <w:pPr>
        <w:pStyle w:val="SourceCode"/>
      </w:pPr>
      <w:r>
        <w:t>03    保留原文 x_d 和完整金标图 G_d；令 Views_d = ∅</w:t>
      </w:r>
    </w:p>
    <w:p>
      <w:pPr>
        <w:pStyle w:val="SourceCode"/>
      </w:pPr>
      <w:r>
        <w:t>04    按3.3.1固定中心及完整入源；不可处理则记原因并继续下一文档</w:t>
      </w:r>
    </w:p>
    <w:p>
      <w:pPr>
        <w:pStyle w:val="SourceCode"/>
      </w:pPr>
      <w:r>
        <w:t>05    建立 Ω(C_d) 并排除语义未知集合得到 Ω_sem，构造改写集合 A</w:t>
      </w:r>
    </w:p>
    <w:p>
      <w:pPr>
        <w:pStyle w:val="SourceCode"/>
      </w:pPr>
      <w:r>
        <w:t>06    构造完整影响域 D_A；令 attempts = 0</w:t>
      </w:r>
    </w:p>
    <w:p>
      <w:pPr>
        <w:pStyle w:val="SourceCode"/>
      </w:pPr>
      <w:r>
        <w:t>07    while attempts &lt; B_try 且 |Views_d| &lt; B_accept do</w:t>
      </w:r>
    </w:p>
    <w:p>
      <w:pPr>
        <w:pStyle w:val="SourceCode"/>
      </w:pPr>
      <w:r>
        <w:t>08      attempts ← attempts + 1；生成组件槽位的替换文本</w:t>
      </w:r>
    </w:p>
    <w:p>
      <w:pPr>
        <w:pStyle w:val="SourceCode"/>
      </w:pPr>
      <w:r>
        <w:t>09      回填全文、重新分词，建立全部组件的双射 φ</w:t>
      </w:r>
    </w:p>
    <w:p>
      <w:pPr>
        <w:pStyle w:val="SourceCode"/>
      </w:pPr>
      <w:r>
        <w:t>10      if 格式、槽位、坐标或端点检查失败 then</w:t>
      </w:r>
    </w:p>
    <w:p>
      <w:pPr>
        <w:pStyle w:val="SourceCode"/>
      </w:pPr>
      <w:r>
        <w:t>11        拒绝整个变体，记录原因及成本</w:t>
      </w:r>
    </w:p>
    <w:p>
      <w:pPr>
        <w:pStyle w:val="SourceCode"/>
      </w:pPr>
      <w:r>
        <w:t>12        continue</w:t>
      </w:r>
    </w:p>
    <w:p>
      <w:pPr>
        <w:pStyle w:val="SourceCode"/>
      </w:pPr>
      <w:r>
        <w:t>13      end if</w:t>
      </w:r>
    </w:p>
    <w:p>
      <w:pPr>
        <w:pStyle w:val="SourceCode"/>
      </w:pPr>
      <w:r>
        <w:t>14      检查全文角色与表达退化</w:t>
      </w:r>
    </w:p>
    <w:p>
      <w:pPr>
        <w:pStyle w:val="SourceCode"/>
      </w:pPr>
      <w:r>
        <w:t>15      if D_A ≠ ∅ then</w:t>
      </w:r>
    </w:p>
    <w:p>
      <w:pPr>
        <w:pStyle w:val="SourceCode"/>
      </w:pPr>
      <w:r>
        <w:t>16        if mode = FullFilter then J_A ← D_A；不可完整审核则拒绝本次视图</w:t>
      </w:r>
    </w:p>
    <w:p>
      <w:pPr>
        <w:pStyle w:val="SourceCode"/>
      </w:pPr>
      <w:r>
        <w:t>16a       else J_A ← 全部受影响正关系 ∪ 固定抽样内部及边界 NONE</w:t>
      </w:r>
    </w:p>
    <w:p>
      <w:pPr>
        <w:pStyle w:val="SourceCode"/>
      </w:pPr>
      <w:r>
        <w:t>16b       在 J_A 中排除已定义的语义未知因素，逐项核查原／新状态并建立 m_R</w:t>
      </w:r>
    </w:p>
    <w:p>
      <w:pPr>
        <w:pStyle w:val="SourceCode"/>
      </w:pPr>
      <w:r>
        <w:t>17      end if</w:t>
      </w:r>
    </w:p>
    <w:p>
      <w:pPr>
        <w:pStyle w:val="SourceCode"/>
      </w:pPr>
      <w:r>
        <w:t>18      if 组件含义变化／待定、结构失败，或完整筛选版本任一因素失败 then</w:t>
      </w:r>
    </w:p>
    <w:p>
      <w:pPr>
        <w:pStyle w:val="SourceCode"/>
      </w:pPr>
      <w:r>
        <w:t>19        拒绝整个变体，记录原因及成本</w:t>
      </w:r>
    </w:p>
    <w:p>
      <w:pPr>
        <w:pStyle w:val="SourceCode"/>
      </w:pPr>
      <w:r>
        <w:t>20        continue</w:t>
      </w:r>
    </w:p>
    <w:p>
      <w:pPr>
        <w:pStyle w:val="SourceCode"/>
      </w:pPr>
      <w:r>
        <w:t>21      end if</w:t>
      </w:r>
    </w:p>
    <w:p>
      <w:pPr>
        <w:pStyle w:val="SourceCode"/>
      </w:pPr>
      <w:r>
        <w:t>22      将全文视图、φ(G_d)、φ、可靠因素掩码和来源加入 Views_d</w:t>
      </w:r>
    </w:p>
    <w:p>
      <w:pPr>
        <w:pStyle w:val="SourceCode"/>
      </w:pPr>
      <w:r>
        <w:t>23    end while</w:t>
      </w:r>
    </w:p>
    <w:p>
      <w:pPr>
        <w:pStyle w:val="SourceCode"/>
      </w:pPr>
      <w:r>
        <w:t>24    保存 Views_d；集合为空时仍保留原文</w:t>
      </w:r>
    </w:p>
    <w:p>
      <w:pPr>
        <w:pStyle w:val="SourceCode"/>
      </w:pPr>
      <w:r>
        <w:t>25  end for</w:t>
      </w:r>
    </w:p>
    <w:p>
      <w:pPr>
        <w:pStyle w:val="SourceCode"/>
      </w:pPr>
      <w:r>
        <w:t>26  for step = 1, …, U do</w:t>
      </w:r>
    </w:p>
    <w:p>
      <w:pPr>
        <w:pStyle w:val="SourceCode"/>
      </w:pPr>
      <w:r>
        <w:t>27    按源文档等频取训练批次；读取原文及其已接受视图</w:t>
      </w:r>
    </w:p>
    <w:p>
      <w:pPr>
        <w:pStyle w:val="SourceCode"/>
      </w:pPr>
      <w:r>
        <w:t>28    依可见前缀门控，仅计算原文完整生成损失及继承句子监督</w:t>
      </w:r>
    </w:p>
    <w:p>
      <w:pPr>
        <w:pStyle w:val="SourceCode"/>
      </w:pPr>
      <w:r>
        <w:t>29    从输入表示计算原文可审核因素的头监督及变体掩码内的头监督</w:t>
      </w:r>
    </w:p>
    <w:p>
      <w:pPr>
        <w:pStyle w:val="SourceCode"/>
      </w:pPr>
      <w:r>
        <w:t>30    依 φ 计算可靠因素上的成对损失；无变体或空可靠域时置零</w:t>
      </w:r>
    </w:p>
    <w:p>
      <w:pPr>
        <w:pStyle w:val="SourceCode"/>
      </w:pPr>
      <w:r>
        <w:t>31    保留两个视图的梯度，按同源变体及源文档两级归一化</w:t>
      </w:r>
    </w:p>
    <w:p>
      <w:pPr>
        <w:pStyle w:val="SourceCode"/>
      </w:pPr>
      <w:r>
        <w:t>32    按3.4.2节的梯度路径执行一次反向传播；基础模型权重冻结</w:t>
      </w:r>
    </w:p>
    <w:p>
      <w:pPr>
        <w:pStyle w:val="SourceCode"/>
      </w:pPr>
      <w:r>
        <w:t>33    if 达到2.5节预先确定的停止条件 then</w:t>
      </w:r>
    </w:p>
    <w:p>
      <w:pPr>
        <w:pStyle w:val="SourceCode"/>
      </w:pPr>
      <w:r>
        <w:t>34      break</w:t>
      </w:r>
    </w:p>
    <w:p>
      <w:pPr>
        <w:pStyle w:val="SourceCode"/>
      </w:pPr>
      <w:r>
        <w:t>35    end if</w:t>
      </w:r>
    </w:p>
    <w:p>
      <w:pPr>
        <w:pStyle w:val="SourceCode"/>
      </w:pPr>
      <w:r>
        <w:t>36  end for</w:t>
      </w:r>
    </w:p>
    <w:p>
      <w:pPr>
        <w:pStyle w:val="SourceCode"/>
      </w:pPr>
      <w:r>
        <w:t>37  返回生成器及来源记录；开发评价和测试时移除训练辅助头</w:t>
      </w:r>
    </w:p>
    <w:p>
      <w:pPr>
        <w:pStyle w:val="Normal"/>
      </w:pPr>
      <w:r>
        <w:t xml:space="preserve">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Normal"/>
      </w:pPr>
      <w:r>
        <w:t xml:space="preserve">性质一：标注输运保持。</w:t>
      </w:r>
      <w:r>
        <w:t xml:space="preserve"> </w:t>
      </w:r>
      <w:r>
        <w:t xml:space="preserve">若可改写槽位互不冲突、</w:t>
      </w:r>
      <m:oMath>
        <m:r>
          <m:t>ϕ</m:t>
        </m:r>
      </m:oMath>
      <w:r>
        <w:t xml:space="preserve"> </w:t>
      </w:r>
      <w:r>
        <w:t xml:space="preserve">为组件双射，且类型和每个完整关系因素均按</w:t>
      </w:r>
      <w:r>
        <w:t xml:space="preserve"> </w:t>
      </w:r>
      <m:oMath>
        <m:r>
          <m:t>ϕ</m:t>
        </m:r>
      </m:oMath>
      <w:r>
        <w:t xml:space="preserve"> </w:t>
      </w:r>
      <w:r>
        <w:t xml:space="preserve">输运，则</w:t>
      </w:r>
      <w:r>
        <w:t xml:space="preserve"> </w:t>
      </w:r>
      <m:oMath>
        <m:r>
          <m:t>G</m:t>
        </m:r>
      </m:oMath>
      <w:r>
        <w:t xml:space="preserve"> </w:t>
      </w:r>
      <w:r>
        <w:t xml:space="preserve">与</w:t>
      </w:r>
      <w:r>
        <w:t xml:space="preserve"> </w:t>
      </w:r>
      <m:oMath>
        <m:r>
          <m:t>ϕ</m:t>
        </m:r>
        <m:d>
          <m:dPr>
            <m:begChr m:val="("/>
            <m:endChr m:val=")"/>
            <m:sepChr m:val=""/>
            <m:grow/>
          </m:dPr>
          <m:e>
            <m:r>
              <m:t>G</m:t>
            </m:r>
          </m:e>
        </m:d>
      </m:oMath>
      <w:r>
        <w:t xml:space="preserve"> </w:t>
      </w:r>
      <w:r>
        <w:t xml:space="preserve">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pPr>
        <w:pStyle w:val="Normal"/>
      </w:pPr>
      <w:r>
        <w:t xml:space="preserve">性质二：单因素预测稳定的充分条件。</w:t>
      </w:r>
      <w:r>
        <w:t xml:space="preserve"> </w:t>
      </w:r>
      <w:r>
        <w:t xml:space="preserve">对某一因素，设原视图正确类别为</w:t>
      </w:r>
      <w:r>
        <w:t xml:space="preserve"> </w:t>
      </w:r>
      <m:oMath>
        <m:r>
          <m:t>y</m:t>
        </m:r>
      </m:oMath>
      <w:r>
        <w:t xml:space="preserve">，分布</w:t>
      </w:r>
      <w:r>
        <w:t xml:space="preserve"> </w:t>
      </w:r>
      <m:oMath>
        <m:r>
          <m:t>p</m:t>
        </m:r>
      </m:oMath>
      <w:r>
        <w:t xml:space="preserve"> </w:t>
      </w:r>
      <w:r>
        <w:t xml:space="preserve">的间隔为</w:t>
      </w:r>
      <w:r>
        <w:t xml:space="preserve"> </w:t>
      </w:r>
      <m:oMath>
        <m:r>
          <m:t>δ</m:t>
        </m:r>
        <m:r>
          <m:rPr>
            <m:sty m:val="p"/>
          </m:rPr>
          <m:t>=</m:t>
        </m:r>
        <m:sSub>
          <m:e>
            <m:r>
              <m:t>p</m:t>
            </m:r>
          </m:e>
          <m:sub>
            <m:r>
              <m:t>y</m:t>
            </m:r>
          </m:sub>
        </m:sSub>
        <m:r>
          <m:rPr>
            <m:sty m:val="p"/>
          </m:rPr>
          <m:t>−</m:t>
        </m:r>
        <m:sSub>
          <m:e>
            <m:r>
              <m:rPr>
                <m:sty m:val="p"/>
              </m:rPr>
              <m:t>max</m:t>
            </m:r>
          </m:e>
          <m:sub>
            <m:r>
              <m:t>k</m:t>
            </m:r>
            <m:r>
              <m:rPr>
                <m:sty m:val="p"/>
              </m:rPr>
              <m:t>≠</m:t>
            </m:r>
            <m:r>
              <m:t>y</m:t>
            </m:r>
          </m:sub>
        </m:sSub>
        <m:sSub>
          <m:e>
            <m:r>
              <m:t>p</m:t>
            </m:r>
          </m:e>
          <m:sub>
            <m:r>
              <m:t>k</m:t>
            </m:r>
          </m:sub>
        </m:sSub>
        <m:r>
          <m:rPr>
            <m:sty m:val="p"/>
          </m:rPr>
          <m:t>&gt;</m:t>
        </m:r>
        <m:r>
          <m:t>0</m:t>
        </m:r>
      </m:oMath>
      <w:r>
        <w:t xml:space="preserve">。若增强视图分布</w:t>
      </w:r>
      <w:r>
        <w:t xml:space="preserve"> </w:t>
      </w:r>
      <m:oMath>
        <m:r>
          <m:t>q</m:t>
        </m:r>
      </m:oMath>
      <w:r>
        <w:t xml:space="preserve"> </w:t>
      </w:r>
      <w:r>
        <w:t xml:space="preserve">满足</w:t>
      </w:r>
      <w:r>
        <w:t xml:space="preserve"> </w:t>
      </w:r>
      <m:oMath>
        <m:r>
          <m:rPr>
            <m:sty m:val="p"/>
          </m:rPr>
          <m:t>∥</m:t>
        </m:r>
        <m:r>
          <m:t>p</m:t>
        </m:r>
        <m:r>
          <m:rPr>
            <m:sty m:val="p"/>
          </m:rPr>
          <m:t>−</m:t>
        </m:r>
        <m:r>
          <m:t>q</m:t>
        </m:r>
        <m:sSub>
          <m:e>
            <m:r>
              <m:rPr>
                <m:sty m:val="p"/>
              </m:rPr>
              <m:t>∥</m:t>
            </m:r>
          </m:e>
          <m:sub>
            <m:r>
              <m:rPr>
                <m:sty m:val="p"/>
              </m:rPr>
              <m:t>∞</m:t>
            </m:r>
          </m:sub>
        </m:sSub>
        <m:r>
          <m:rPr>
            <m:sty m:val="p"/>
          </m:rPr>
          <m:t>&lt;</m:t>
        </m:r>
        <m:r>
          <m:t>δ</m:t>
        </m:r>
        <m:r>
          <m:rPr>
            <m:sty m:val="p"/>
          </m:rPr>
          <m:t>/</m:t>
        </m:r>
        <m:r>
          <m:t>2</m:t>
        </m:r>
      </m:oMath>
      <w:r>
        <w:t xml:space="preserve">，则</w:t>
      </w:r>
      <w:r>
        <w:t xml:space="preserve"> </w:t>
      </w:r>
      <m:oMath>
        <m:r>
          <m:rPr>
            <m:sty m:val="p"/>
          </m:rPr>
          <m:t>arg</m:t>
        </m:r>
        <m:r>
          <m:rPr>
            <m:sty m:val="p"/>
          </m:rPr>
          <m:t>max</m:t>
        </m:r>
        <m:r>
          <m:t>q</m:t>
        </m:r>
        <m:r>
          <m:rPr>
            <m:sty m:val="p"/>
          </m:rPr>
          <m:t>=</m:t>
        </m:r>
        <m:r>
          <m:t>y</m:t>
        </m:r>
      </m:oMath>
      <w:r>
        <w:t xml:space="preserve">。因为对任意</w:t>
      </w:r>
      <w:r>
        <w:t xml:space="preserve"> </w:t>
      </w:r>
      <m:oMath>
        <m:r>
          <m:t>k</m:t>
        </m:r>
        <m:r>
          <m:rPr>
            <m:sty m:val="p"/>
          </m:rPr>
          <m:t>≠</m:t>
        </m:r>
        <m:r>
          <m:t>y</m:t>
        </m:r>
      </m:oMath>
      <w:r>
        <w:t xml:space="preserve">，</w:t>
      </w:r>
      <m:oMath>
        <m:sSub>
          <m:e>
            <m:r>
              <m:t>q</m:t>
            </m:r>
          </m:e>
          <m:sub>
            <m:r>
              <m:t>y</m:t>
            </m:r>
          </m:sub>
        </m:sSub>
        <m:r>
          <m:rPr>
            <m:sty m:val="p"/>
          </m:rPr>
          <m:t>−</m:t>
        </m:r>
        <m:sSub>
          <m:e>
            <m:r>
              <m:t>q</m:t>
            </m:r>
          </m:e>
          <m:sub>
            <m:r>
              <m:t>k</m:t>
            </m:r>
          </m:sub>
        </m:sSub>
        <m:r>
          <m:rPr>
            <m:sty m:val="p"/>
          </m:rPr>
          <m:t>&gt;</m:t>
        </m:r>
        <m:sSub>
          <m:e>
            <m:r>
              <m:t>p</m:t>
            </m:r>
          </m:e>
          <m:sub>
            <m:r>
              <m:t>y</m:t>
            </m:r>
          </m:sub>
        </m:sSub>
        <m:r>
          <m:rPr>
            <m:sty m:val="p"/>
          </m:rPr>
          <m:t>−</m:t>
        </m:r>
        <m:sSub>
          <m:e>
            <m:r>
              <m:t>p</m:t>
            </m:r>
          </m:e>
          <m:sub>
            <m:r>
              <m:t>k</m:t>
            </m:r>
          </m:sub>
        </m:sSub>
        <m:r>
          <m:rPr>
            <m:sty m:val="p"/>
          </m:rPr>
          <m:t>−</m:t>
        </m:r>
        <m:r>
          <m:t>δ</m:t>
        </m:r>
        <m:r>
          <m:rPr>
            <m:sty m:val="p"/>
          </m:rPr>
          <m:t>≥</m:t>
        </m:r>
        <m:r>
          <m:t>0</m:t>
        </m:r>
      </m:oMath>
      <w:r>
        <w:t xml:space="preserve">。这只是逐因素条件，平均 JS 降低不意味着每个因素均满足该界，也不能使原先错误的预测自动正确。</w:t>
      </w:r>
    </w:p>
    <w:p>
      <w:pPr>
        <w:pStyle w:val="Normal"/>
      </w:pPr>
      <w:r>
        <w:t xml:space="preserve">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1"/>
      </w:pPr>
      <w:r>
        <w:t>3.6 实验结果与分析</w:t>
      </w:r>
    </w:p>
    <w:p>
      <w:pPr>
        <w:pStyle w:val="Heading2"/>
      </w:pPr>
      <w:r>
        <w:t>3.6.1 实验设置与受控比较</w:t>
      </w:r>
    </w:p>
    <w:p>
      <w:pPr>
        <w:pStyle w:val="Normal"/>
      </w:pPr>
      <w:r>
        <w:t xml:space="preserve">T0/I0为继承配置；Heads仅增加辅助头；Plain和QOS分别控制普通增强和槽位化增强；NoPair使用可靠因素监督但不对齐原文与变体；CompPair仅对齐组件；T1/I0对齐组件与关系。FullFilter与RandomCenter分别考察完整影响域筛选和匹配随机中心。九组均固定骨干、源文档访问和有效更新步数，推理统一I0。增强组按500／900个接受视图匹配规模，拒绝生成和审核成本不隐藏。</w:t>
      </w:r>
    </w:p>
    <w:p>
      <w:pPr>
        <w:pStyle w:val="Normal"/>
      </w:pPr>
      <w:r>
        <w:t xml:space="preserve">NoPair、CompPair、T1/I0复用同一视图与关系掩码，文件摘要列于附录A。因素总体来自原生标注及声明的有限NONE宇宙，CDCP已知联合源真子集不作为NONE。故成对差值不混入视图数量或监督掩码变化。</w:t>
      </w:r>
    </w:p>
    <w:p>
      <w:pPr>
        <w:pStyle w:val="Normal"/>
        <w:keepNext/>
        <w:ind w:firstLine="0"/>
        <w:jc w:val="center"/>
      </w:pPr>
      <w:r>
        <w:t xml:space="preserve">表3-4 训练组的受控因素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0"/>
        <w:gridCol w:w="1610"/>
        <w:gridCol w:w="1610"/>
        <w:gridCol w:w="1610"/>
        <w:gridCol w:w="1610"/>
        <w:gridCol w:w="1610"/>
      </w:tblGrid>
      <w:tr>
        <w:trPr>
          <w:cantSplit/>
          <w:tblHeader/>
        </w:trPr>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配置</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增强</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可靠因素监督</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组件对齐</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关系对齐</w:t>
            </w:r>
          </w:p>
        </w:tc>
        <w:tc>
          <w:tcPr>
            <w:tcW w:type="dxa" w:w="161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与成对主组共享输入</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T0I0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Heads</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原文</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Plain／QOS</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构造方法各自规则</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仅匹配规模</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NoPair</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是</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CompPair</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无</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是</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是</w:t>
            </w:r>
          </w:p>
        </w:tc>
      </w:tr>
      <w:tr>
        <w:trPr>
          <w:cantSplit/>
        </w:trPr>
        <w:tc>
          <w:tcPr>
            <w:tcW w:type="dxa" w:w="1610"/>
            <w:vAlign w:val="center"/>
            <w:tcMar>
              <w:top w:w="65" w:type="dxa"/>
              <w:bottom w:w="65" w:type="dxa"/>
              <w:left w:w="65" w:type="dxa"/>
              <w:right w:w="65" w:type="dxa"/>
            </w:tcMar>
          </w:tcPr>
          <w:p>
            <w:pPr>
              <w:pStyle w:val="Normal"/>
              <w:spacing w:after="0" w:line="259" w:lineRule="auto"/>
              <w:ind w:firstLine="0"/>
              <w:jc w:val="left"/>
            </w:pPr>
            <w:r>
              <w:rPr>
                <w:b w:val="0"/>
                <w:sz w:val="17"/>
              </w:rPr>
              <w:t xml:space="preserve">FullFilter／RandomCenter</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有</w:t>
            </w:r>
          </w:p>
        </w:tc>
        <w:tc>
          <w:tcPr>
            <w:tcW w:type="dxa" w:w="1610"/>
            <w:vAlign w:val="center"/>
            <w:tcMar>
              <w:top w:w="65" w:type="dxa"/>
              <w:bottom w:w="65" w:type="dxa"/>
              <w:left w:w="65" w:type="dxa"/>
              <w:right w:w="65" w:type="dxa"/>
            </w:tcMar>
          </w:tcPr>
          <w:p>
            <w:pPr>
              <w:pStyle w:val="Normal"/>
              <w:spacing w:after="0" w:line="259" w:lineRule="auto"/>
              <w:ind w:firstLine="0"/>
              <w:jc w:val="center"/>
            </w:pPr>
            <w:r>
              <w:rPr>
                <w:b w:val="0"/>
                <w:sz w:val="17"/>
              </w:rPr>
              <w:t xml:space="preserve">独立可选策略</w:t>
            </w:r>
          </w:p>
        </w:tc>
      </w:tr>
    </w:tbl>
    <w:p>
      <w:pPr>
        <w:pStyle w:val="Heading2"/>
      </w:pPr>
      <w:r>
        <w:t>3.6.2 主结果与机制消融</w:t>
      </w:r>
    </w:p>
    <w:p>
      <w:pPr>
        <w:pStyle w:val="Normal"/>
        <w:keepNext/>
        <w:ind w:firstLine="0"/>
        <w:jc w:val="center"/>
      </w:pPr>
      <w:r>
        <w:t xml:space="preserve">表3-5 相同I0下的训练比较</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1750"/>
        <w:gridCol w:w="1750"/>
        <w:gridCol w:w="1750"/>
        <w:gridCol w:w="1750"/>
      </w:tblGrid>
      <w:tr>
        <w:trPr>
          <w:cantSplit/>
          <w:tblHeader/>
        </w:trPr>
        <w:tc>
          <w:tcPr>
            <w:tcW w:type="dxa" w:w="2664"/>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配置</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AAEC组件F1</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AAEC关系F1</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CDCP组件F1</w:t>
            </w:r>
          </w:p>
        </w:tc>
        <w:tc>
          <w:tcPr>
            <w:tcW w:type="dxa" w:w="175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CDCP关系F1</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T0/I0：继承配置</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84.18 ± 0.79</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65.18 ± 3.43</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75.99 ± 1.61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38.76 ± 3.37</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继承配置＋辅助头</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84.36 ± 0.82</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65.60 ± 3.21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76.25 ± 1.58</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39.02 ± 3.37</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普通增强</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84.76 ± 1.17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65.64 ± 2.59</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76.93 ± 1.45</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39.15 ± 2.39</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QOS式适配</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85.04 ± 1.08</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66.21 ± 3.37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77.49 ± 1.92</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40.08 ± 2.78</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可靠对应，无成对</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85.49 ± 0.88</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66.83 ± 3.03</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77.97 ± 2.01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41.14 ± 2.70</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仅组件成对</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86.15 ± 0.78</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67.82 ± 2.60</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78.65 ± 1.51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42.06 ± 2.86</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T1/I0：完整成对</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86.73 ± 0.67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68.81 ± 2.05</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79.92 ± 1.51</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43.65 ± 3.53</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完整筛选</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86.49 ± 0.88</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68.36 ± 2.35</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79.56 ± 1.76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43.92 ± 2.82</w:t>
            </w:r>
          </w:p>
        </w:tc>
      </w:tr>
      <w:tr>
        <w:trPr>
          <w:cantSplit/>
        </w:trPr>
        <w:tc>
          <w:tcPr>
            <w:tcW w:type="dxa" w:w="2664"/>
            <w:vAlign w:val="center"/>
            <w:tcMar>
              <w:top w:w="65" w:type="dxa"/>
              <w:bottom w:w="65" w:type="dxa"/>
              <w:left w:w="65" w:type="dxa"/>
              <w:right w:w="65" w:type="dxa"/>
            </w:tcMar>
          </w:tcPr>
          <w:p>
            <w:pPr>
              <w:pStyle w:val="Normal"/>
              <w:spacing w:after="0" w:line="259" w:lineRule="auto"/>
              <w:ind w:firstLine="0"/>
              <w:jc w:val="center"/>
            </w:pPr>
            <w:r>
              <w:rPr>
                <w:b w:val="0"/>
                <w:sz w:val="17"/>
              </w:rPr>
              <w:t xml:space="preserve">匹配随机中心</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86.26 ± 0.97</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67.99 ± 2.66</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79.60 ± 1.32</w:t>
            </w:r>
          </w:p>
        </w:tc>
        <w:tc>
          <w:tcPr>
            <w:tcW w:type="dxa" w:w="1750"/>
            <w:vAlign w:val="center"/>
            <w:tcMar>
              <w:top w:w="65" w:type="dxa"/>
              <w:bottom w:w="65" w:type="dxa"/>
              <w:left w:w="65" w:type="dxa"/>
              <w:right w:w="65" w:type="dxa"/>
            </w:tcMar>
          </w:tcPr>
          <w:p>
            <w:pPr>
              <w:pStyle w:val="Normal"/>
              <w:spacing w:after="0" w:line="259" w:lineRule="auto"/>
              <w:ind w:firstLine="0"/>
              <w:jc w:val="center"/>
            </w:pPr>
            <w:r>
              <w:rPr>
                <w:b w:val="0"/>
                <w:sz w:val="17"/>
              </w:rPr>
              <w:t xml:space="preserve">44.05 ± 3.39</w:t>
            </w:r>
          </w:p>
        </w:tc>
      </w:tr>
    </w:tbl>
    <w:p>
      <w:pPr/>
      <w:r>
        <w:t>在表3-5的模拟结果中，T1/I0相对T0/I0的关系F1增加3.63 pp和4.89 pp，两项主要比较的Holm p均为0.0120。该比较评估整套训练配置，不能将全部差值归因于成对项。表内“±”表示三个种子条件下的样本标准差，反映该模拟条件中的跨种子离散程度，不能据此扩大到真实模型效果。</w:t>
      </w:r>
    </w:p>
    <w:p>
      <w:pPr>
        <w:pStyle w:val="Normal"/>
        <w:keepNext/>
        <w:ind w:firstLine="0"/>
        <w:jc w:val="center"/>
      </w:pPr>
      <w:r>
        <w:t xml:space="preserve">表3-6 训练侧配对关系F1差值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35"/>
        <w:gridCol w:w="2434"/>
        <w:gridCol w:w="749"/>
        <w:gridCol w:w="1483"/>
        <w:gridCol w:w="1613"/>
        <w:gridCol w:w="749"/>
        <w:gridCol w:w="1800"/>
      </w:tblGrid>
      <w:tr>
        <w:trPr>
          <w:cantSplit/>
          <w:tblHeader/>
        </w:trPr>
        <w:tc>
          <w:tcPr>
            <w:tcW w:type="dxa" w:w="835"/>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语料</w:t>
            </w:r>
          </w:p>
        </w:tc>
        <w:tc>
          <w:tcPr>
            <w:tcW w:type="dxa" w:w="2434"/>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比较</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差值/pp</w:t>
            </w:r>
          </w:p>
        </w:tc>
        <w:tc>
          <w:tcPr>
            <w:tcW w:type="dxa" w:w="1483"/>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95% CI</w:t>
            </w:r>
          </w:p>
        </w:tc>
        <w:tc>
          <w:tcPr>
            <w:tcW w:type="dxa" w:w="1613"/>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种子17 / 29 / 43</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p</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7"/>
              </w:rPr>
              <w:t xml:space="preserve">比较身份</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T1I0 − T0I0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3.63</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[1.78, 5.60]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1.85 / 4.45 / 4.57</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0.0120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T1I0 − NoPair</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1.98</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[0.69, 3.43]</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0.74 / 2.47 / 2.72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0.0600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CompPair − NoPair</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0.99</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[0.24, 1.95]</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0.37 / 1.36 / 1.24</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0.0295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T1I0 − CompPair</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0.99</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[0.20, 1.97]</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0.37 / 1.11 / 1.48</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0.0325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NoPair − QOS</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0.62</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1.80]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0.12 / 0.99 / 0.74</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0.1354</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NoPair − Plain</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1.19</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[0.22, 2.51]</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1.48 / 1.61 / 0.49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0.0405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FullFilter − T1I0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-0.45</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[-1.31, 0.08]</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 -0.74 / -0.62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0.2039</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AAEC</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RandomCenter − T1I0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-0.82</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[-1.84, 0.00]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-0.12 / -0.99 / -1.36</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0.0775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T1I0 − T0I0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4.89</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[2.91, 7.23]</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5.95 / 4.37 / 4.37</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0.0120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T1I0 − NoPair</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2.51</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[0.98, 4.39]</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2.78 / 3.17 / 1.59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0.0720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主要／Holm</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CompPair − NoPair</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0.93</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[0.13, 1.94]</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0.79 / 1.19 / 0.79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0.0585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T1I0 − CompPair</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1.59</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[0.14, 3.21]</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1.98 / 1.98 / 0.79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0.0495</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NoPair − QOS</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1.06</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[0.00, 2.85]</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1.98 / 0.40 / 0.79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0.1119</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NoPair − Plain</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1.98</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[0.60, 4.14]</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3.17 / 1.59 / 1.19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0.0360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FullFilter − T1I0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0.26</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[-1.10, 1.59]</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-0.40 / 0.00 / 1.19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0.6747</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r>
        <w:trPr>
          <w:cantSplit/>
        </w:trPr>
        <w:tc>
          <w:tcPr>
            <w:tcW w:type="dxa" w:w="835"/>
            <w:vAlign w:val="center"/>
            <w:tcMar>
              <w:top w:w="65" w:type="dxa"/>
              <w:bottom w:w="65" w:type="dxa"/>
              <w:left w:w="65" w:type="dxa"/>
              <w:right w:w="65" w:type="dxa"/>
            </w:tcMar>
          </w:tcPr>
          <w:p>
            <w:pPr>
              <w:pStyle w:val="Normal"/>
              <w:spacing w:after="0" w:line="259" w:lineRule="auto"/>
              <w:ind w:firstLine="0"/>
              <w:jc w:val="center"/>
            </w:pPr>
            <w:r>
              <w:rPr>
                <w:b w:val="0"/>
                <w:sz w:val="17"/>
              </w:rPr>
              <w:t xml:space="preserve">CDCP</w:t>
            </w:r>
          </w:p>
        </w:tc>
        <w:tc>
          <w:tcPr>
            <w:tcW w:type="dxa" w:w="2434"/>
            <w:vAlign w:val="center"/>
            <w:tcMar>
              <w:top w:w="65" w:type="dxa"/>
              <w:bottom w:w="65" w:type="dxa"/>
              <w:left w:w="65" w:type="dxa"/>
              <w:right w:w="65" w:type="dxa"/>
            </w:tcMar>
          </w:tcPr>
          <w:p>
            <w:pPr>
              <w:pStyle w:val="Normal"/>
              <w:spacing w:after="0" w:line="259" w:lineRule="auto"/>
              <w:ind w:firstLine="0"/>
              <w:jc w:val="center"/>
            </w:pPr>
            <w:r>
              <w:rPr>
                <w:b w:val="0"/>
                <w:sz w:val="17"/>
              </w:rPr>
              <w:t xml:space="preserve">RandomCenter − T1I0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0.40</w:t>
            </w:r>
          </w:p>
        </w:tc>
        <w:tc>
          <w:tcPr>
            <w:tcW w:type="dxa" w:w="148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[-0.61, 1.60]</w:t>
            </w:r>
          </w:p>
        </w:tc>
        <w:tc>
          <w:tcPr>
            <w:tcW w:type="dxa" w:w="1613"/>
            <w:vAlign w:val="center"/>
            <w:tcMar>
              <w:top w:w="65" w:type="dxa"/>
              <w:bottom w:w="65" w:type="dxa"/>
              <w:left w:w="65" w:type="dxa"/>
              <w:right w:w="65" w:type="dxa"/>
            </w:tcMar>
          </w:tcPr>
          <w:p>
            <w:pPr>
              <w:pStyle w:val="Normal"/>
              <w:spacing w:after="0" w:line="259" w:lineRule="auto"/>
              <w:ind w:firstLine="0"/>
              <w:jc w:val="center"/>
            </w:pPr>
            <w:r>
              <w:rPr>
                <w:b w:val="0"/>
                <w:sz w:val="17"/>
              </w:rPr>
              <w:t xml:space="preserve">-0.40 / 0.79 / 0.79</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7"/>
              </w:rPr>
              <w:t xml:space="preserve">0.5032</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7"/>
              </w:rPr>
              <w:t xml:space="preserve">探索／原始p</w:t>
            </w:r>
          </w:p>
        </w:tc>
      </w:tr>
    </w:tbl>
    <w:p>
      <w:pPr/>
      <w:r>
        <w:t>判断成对目标的独立作用，应优先查看同一视图、掩码和辅助头条件下的T1I0−NoPair。在模拟结果中，两语料的点估计分别为1.98 pp和2.51 pp，单项95%区间不含零；但14项主要比较共同校正后，Holm p为0.0600和0.0720，未达到预设0.05标准。未调整的单项区间与家族校正p并不矛盾。辅助头平均JS下降也不能推出每个因素或完整生成图更准确，故本章保留成对正则化的研究价值，不将其表述为已经独立证实的关键增益。组件项和关系项的差值分别计算，不相加置信区间。</w:t>
      </w:r>
    </w:p>
    <w:p>
      <w:pPr/>
      <w:r>
        <w:t>可靠因素构造相对普通增强的探索差值为正，相对QOS式适配的区间则包含零或边界零，尚不足以确认普遍优越性。完整筛选与中心选择没有形成跨语料一致优势。因此，因素掩码、可选成对目标和可选完整筛选应按各自的受控比较解释；当前模拟材料主要用于检验研究设计及报告口径。</w:t>
      </w:r>
    </w:p>
    <w:p>
      <w:pPr>
        <w:pStyle w:val="Heading2"/>
      </w:pPr>
      <w:r>
        <w:t>3.6.3 分层审核与语义漂移</w:t>
      </w:r>
    </w:p>
    <w:p>
      <w:pPr>
        <w:pStyle w:val="Normal"/>
      </w:pPr>
      <w:r>
        <w:t xml:space="preserve">两名审核者A、B分别判断stable、changed、undecided与original_disagreement，裁决者C在独立判断后形成参照。三人先使用60项培训材料统一规范，培训一致性κ为0.86。组件审核覆盖接受和拒绝项目；关系审核从训练增强池按四层抽样，每层至多300项，不足300项则全数审核。抽样概率为πh=nh/Nh，所有记录绑定源文档、视图和因素身份。</w:t>
      </w:r>
    </w:p>
    <w:p>
      <w:pPr>
        <w:pStyle w:val="Normal"/>
        <w:keepNext/>
        <w:ind w:firstLine="0"/>
        <w:jc w:val="center"/>
      </w:pPr>
      <w:r>
        <w:t xml:space="preserve">表3-7 组件核查与裁决</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008"/>
        <w:gridCol w:w="1224"/>
        <w:gridCol w:w="1224"/>
        <w:gridCol w:w="1008"/>
        <w:gridCol w:w="1440"/>
        <w:gridCol w:w="1224"/>
        <w:gridCol w:w="1454"/>
      </w:tblGrid>
      <w:tr>
        <w:trPr>
          <w:cantSplit/>
          <w:tblHeader/>
        </w:trPr>
        <w:tc>
          <w:tcPr>
            <w:tcW w:type="dxa" w:w="108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100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抽样</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接受</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不安全</w:t>
            </w:r>
          </w:p>
        </w:tc>
        <w:tc>
          <w:tcPr>
            <w:tcW w:type="dxa" w:w="100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比例</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Wilson 95%</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一致率</w:t>
            </w:r>
          </w:p>
        </w:tc>
        <w:tc>
          <w:tcPr>
            <w:tcW w:type="dxa" w:w="145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κ</w:t>
            </w:r>
          </w:p>
        </w:tc>
      </w:tr>
      <w:tr>
        <w:trPr>
          <w:cantSplit/>
        </w:trPr>
        <w:tc>
          <w:tcPr>
            <w:tcW w:type="dxa" w:w="108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320</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1.33%</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[0.52, 3.38]</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94.69%</w:t>
            </w:r>
          </w:p>
        </w:tc>
        <w:tc>
          <w:tcPr>
            <w:tcW w:type="dxa" w:w="145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0.690</w:t>
            </w:r>
          </w:p>
        </w:tc>
      </w:tr>
      <w:tr>
        <w:trPr>
          <w:cantSplit/>
        </w:trPr>
        <w:tc>
          <w:tcPr>
            <w:tcW w:type="dxa" w:w="108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320</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1.00%</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[0.34, 2.90]</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95.94%</w:t>
            </w:r>
          </w:p>
        </w:tc>
        <w:tc>
          <w:tcPr>
            <w:tcW w:type="dxa" w:w="145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0.755</w:t>
            </w:r>
          </w:p>
        </w:tc>
      </w:tr>
    </w:tbl>
    <w:p>
      <w:pPr>
        <w:pStyle w:val="Normal"/>
        <w:keepNext/>
        <w:ind w:firstLine="0"/>
        <w:jc w:val="center"/>
      </w:pPr>
      <w:r>
        <w:t xml:space="preserve">表3-8 关系因素的独立分层审核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0"/>
        <w:gridCol w:w="634"/>
        <w:gridCol w:w="734"/>
        <w:gridCol w:w="850"/>
        <w:gridCol w:w="749"/>
        <w:gridCol w:w="821"/>
        <w:gridCol w:w="792"/>
        <w:gridCol w:w="1426"/>
        <w:gridCol w:w="1037"/>
        <w:gridCol w:w="950"/>
      </w:tblGrid>
      <w:tr>
        <w:trPr>
          <w:cantSplit/>
          <w:tblHeader/>
        </w:trPr>
        <w:tc>
          <w:tcPr>
            <w:tcW w:type="dxa" w:w="167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语料／层</w:t>
            </w:r>
          </w:p>
        </w:tc>
        <w:tc>
          <w:tcPr>
            <w:tcW w:type="dxa" w:w="63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Nh</w:t>
            </w:r>
          </w:p>
        </w:tc>
        <w:tc>
          <w:tcPr>
            <w:tcW w:type="dxa" w:w="73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抽样n</w:t>
            </w:r>
          </w:p>
        </w:tc>
        <w:tc>
          <w:tcPr>
            <w:tcW w:type="dxa" w:w="85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π</w:t>
            </w:r>
          </w:p>
        </w:tc>
        <w:tc>
          <w:tcPr>
            <w:tcW w:type="dxa" w:w="749"/>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接受数</w:t>
            </w:r>
          </w:p>
        </w:tc>
        <w:tc>
          <w:tcPr>
            <w:tcW w:type="dxa" w:w="821"/>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不安全数</w:t>
            </w:r>
          </w:p>
        </w:tc>
        <w:tc>
          <w:tcPr>
            <w:tcW w:type="dxa" w:w="792"/>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比例</w:t>
            </w:r>
          </w:p>
        </w:tc>
        <w:tc>
          <w:tcPr>
            <w:tcW w:type="dxa" w:w="142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Wilson 95%</w:t>
            </w:r>
          </w:p>
        </w:tc>
        <w:tc>
          <w:tcPr>
            <w:tcW w:type="dxa" w:w="103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一致率</w:t>
            </w:r>
          </w:p>
        </w:tc>
        <w:tc>
          <w:tcPr>
            <w:tcW w:type="dxa" w:w="95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κ</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AAEC／内部正关系</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683</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0.4392</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280</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3</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1.07%</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[0.37, 3.10]</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96.00%</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0.771</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AAEC／跨边界正关系</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153</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153</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123</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2</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1.63%</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[0.45, 5.74]</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92.16%</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0.804</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AAEC／内部NONE</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877</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0.3421</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279</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4</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1.43%</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[0.56, 3.63]</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90.67%</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0.591</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AAEC／跨边界NONE</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2000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0.1500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266</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1</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0.38%</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[0.07, 2.10]</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94.67%</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0.785</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CDCP／内部正关系</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315</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0.9524</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282</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2</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0.71%</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[0.19, 2.55]</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93.00%</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0.606</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CDCP／跨边界正关系</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1.0000</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249</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4</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1.61%</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[0.63, 4.06]</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94.14%</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0.811</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CDCP／内部NONE</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470</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0.6383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277</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5</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1.81%</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[0.77, 4.16]</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93.00%</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0.697</w:t>
            </w:r>
          </w:p>
        </w:tc>
      </w:tr>
      <w:tr>
        <w:trPr>
          <w:cantSplit/>
        </w:trPr>
        <w:tc>
          <w:tcPr>
            <w:tcW w:type="dxa" w:w="167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CDCP／跨边界NONE</w:t>
            </w:r>
          </w:p>
        </w:tc>
        <w:tc>
          <w:tcPr>
            <w:tcW w:type="dxa" w:w="6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3251</w:t>
            </w:r>
          </w:p>
        </w:tc>
        <w:tc>
          <w:tcPr>
            <w:tcW w:type="dxa" w:w="734"/>
            <w:vAlign w:val="center"/>
            <w:tcMar>
              <w:top w:w="65" w:type="dxa"/>
              <w:bottom w:w="65" w:type="dxa"/>
              <w:left w:w="65" w:type="dxa"/>
              <w:right w:w="65" w:type="dxa"/>
            </w:tcMar>
          </w:tcPr>
          <w:p>
            <w:pPr>
              <w:pStyle w:val="Normal"/>
              <w:spacing w:after="0" w:line="259" w:lineRule="auto"/>
              <w:ind w:firstLine="0"/>
              <w:jc w:val="center"/>
            </w:pPr>
            <w:r>
              <w:rPr>
                <w:b w:val="0"/>
                <w:sz w:val="16"/>
              </w:rPr>
              <w:t xml:space="preserve">300</w:t>
            </w:r>
          </w:p>
        </w:tc>
        <w:tc>
          <w:tcPr>
            <w:tcW w:type="dxa" w:w="8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0.0923</w:t>
            </w:r>
          </w:p>
        </w:tc>
        <w:tc>
          <w:tcPr>
            <w:tcW w:type="dxa" w:w="749"/>
            <w:vAlign w:val="center"/>
            <w:tcMar>
              <w:top w:w="65" w:type="dxa"/>
              <w:bottom w:w="65" w:type="dxa"/>
              <w:left w:w="65" w:type="dxa"/>
              <w:right w:w="65" w:type="dxa"/>
            </w:tcMar>
          </w:tcPr>
          <w:p>
            <w:pPr>
              <w:pStyle w:val="Normal"/>
              <w:spacing w:after="0" w:line="259" w:lineRule="auto"/>
              <w:ind w:firstLine="0"/>
              <w:jc w:val="center"/>
            </w:pPr>
            <w:r>
              <w:rPr>
                <w:b w:val="0"/>
                <w:sz w:val="16"/>
              </w:rPr>
              <w:t xml:space="preserve">269</w:t>
            </w:r>
          </w:p>
        </w:tc>
        <w:tc>
          <w:tcPr>
            <w:tcW w:type="dxa" w:w="821"/>
            <w:vAlign w:val="center"/>
            <w:tcMar>
              <w:top w:w="65" w:type="dxa"/>
              <w:bottom w:w="65" w:type="dxa"/>
              <w:left w:w="65" w:type="dxa"/>
              <w:right w:w="65" w:type="dxa"/>
            </w:tcMar>
          </w:tcPr>
          <w:p>
            <w:pPr>
              <w:pStyle w:val="Normal"/>
              <w:spacing w:after="0" w:line="259" w:lineRule="auto"/>
              <w:ind w:firstLine="0"/>
              <w:jc w:val="center"/>
            </w:pPr>
            <w:r>
              <w:rPr>
                <w:b w:val="0"/>
                <w:sz w:val="16"/>
              </w:rPr>
              <w:t xml:space="preserve">2</w:t>
            </w:r>
          </w:p>
        </w:tc>
        <w:tc>
          <w:tcPr>
            <w:tcW w:type="dxa" w:w="792"/>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0.74%</w:t>
            </w:r>
          </w:p>
        </w:tc>
        <w:tc>
          <w:tcPr>
            <w:tcW w:type="dxa" w:w="142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[0.20, 2.67]</w:t>
            </w:r>
          </w:p>
        </w:tc>
        <w:tc>
          <w:tcPr>
            <w:tcW w:type="dxa" w:w="1037"/>
            <w:vAlign w:val="center"/>
            <w:tcMar>
              <w:top w:w="65" w:type="dxa"/>
              <w:bottom w:w="65" w:type="dxa"/>
              <w:left w:w="65" w:type="dxa"/>
              <w:right w:w="65" w:type="dxa"/>
            </w:tcMar>
          </w:tcPr>
          <w:p>
            <w:pPr>
              <w:pStyle w:val="Normal"/>
              <w:spacing w:after="0" w:line="259" w:lineRule="auto"/>
              <w:ind w:firstLine="0"/>
              <w:jc w:val="center"/>
            </w:pPr>
            <w:r>
              <w:rPr>
                <w:b w:val="0"/>
                <w:sz w:val="16"/>
              </w:rPr>
              <w:t xml:space="preserve">94.33%</w:t>
            </w:r>
          </w:p>
        </w:tc>
        <w:tc>
          <w:tcPr>
            <w:tcW w:type="dxa" w:w="95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0.776</w:t>
            </w:r>
          </w:p>
        </w:tc>
      </w:tr>
    </w:tbl>
    <w:p>
      <w:pPr/>
      <w:r>
        <w:t>表3-7和表3-8的Wilson区间按因素级二项比例计算，仅作为工作性近似。来自同一源文档的多个视图或因素可能相关，且各层抽样比例不同；在未提供逐层源文档数及按源聚类、按抽样设计计算的区间前，不用这些区间承诺层内不安全率低于5%。一致率与κ只反映审核者间一致，不等同于语义准确率，NONE层的类别偏斜也可能压低κ。</w:t>
      </w:r>
    </w:p>
    <w:p>
      <w:pPr/>
      <w:r>
        <w:t>AAEC跨边界正关系层在123个被接受因素中有2个不安全因素，比例为1.63%，Wilson上界为5.74%，即使采用这一近似也未达到“上界不超过5%”的条件。总体加权不安全率0.81%不能替代该层结论。π=1表示审核覆盖了该固定因素池的全层，其比例描述这一有限池；推断未来生成批次仍需要新的来源与相应抽样设计。</w:t>
      </w:r>
    </w:p>
    <w:p>
      <w:pPr>
        <w:pStyle w:val="Normal"/>
        <w:keepNext/>
        <w:ind w:firstLine="0"/>
        <w:jc w:val="center"/>
      </w:pPr>
      <w:r>
        <w:t xml:space="preserve">表3-9 目标增强池的加权审核与漂移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008"/>
        <w:gridCol w:w="1224"/>
        <w:gridCol w:w="1224"/>
        <w:gridCol w:w="1008"/>
        <w:gridCol w:w="1440"/>
        <w:gridCol w:w="1224"/>
        <w:gridCol w:w="1454"/>
      </w:tblGrid>
      <w:tr>
        <w:trPr>
          <w:cantSplit/>
          <w:tblHeader/>
        </w:trPr>
        <w:tc>
          <w:tcPr>
            <w:tcW w:type="dxa" w:w="108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100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审核因素／源组</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未加权不安全率</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加权不安全率</w:t>
            </w:r>
          </w:p>
        </w:tc>
        <w:tc>
          <w:tcPr>
            <w:tcW w:type="dxa" w:w="100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源聚类95%</w:t>
            </w:r>
          </w:p>
        </w:tc>
        <w:tc>
          <w:tcPr>
            <w:tcW w:type="dxa" w:w="144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加权漂移率</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漂移95%</w:t>
            </w:r>
          </w:p>
        </w:tc>
        <w:tc>
          <w:tcPr>
            <w:tcW w:type="dxa" w:w="145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变化／可判定且原标注有效</w:t>
            </w:r>
          </w:p>
        </w:tc>
      </w:tr>
      <w:tr>
        <w:trPr>
          <w:cantSplit/>
        </w:trPr>
        <w:tc>
          <w:tcPr>
            <w:tcW w:type="dxa" w:w="1080"/>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1053／257</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1.05%</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0.81%</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[0.31, 1.45]</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6"/>
              </w:rPr>
              <w:t xml:space="preserve">5.83%</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[4.19, 7.60]</w:t>
            </w:r>
          </w:p>
        </w:tc>
        <w:tc>
          <w:tcPr>
            <w:tcW w:type="dxa" w:w="1454"/>
            <w:vAlign w:val="center"/>
            <w:tcMar>
              <w:top w:w="65" w:type="dxa"/>
              <w:bottom w:w="65" w:type="dxa"/>
              <w:left w:w="65" w:type="dxa"/>
              <w:right w:w="65" w:type="dxa"/>
            </w:tcMar>
          </w:tcPr>
          <w:p>
            <w:pPr>
              <w:pStyle w:val="Normal"/>
              <w:spacing w:after="0" w:line="259" w:lineRule="auto"/>
              <w:ind w:firstLine="0"/>
              <w:jc w:val="center"/>
            </w:pPr>
            <w:r>
              <w:rPr>
                <w:b w:val="0"/>
                <w:sz w:val="16"/>
              </w:rPr>
              <w:t xml:space="preserve">60／998</w:t>
            </w:r>
          </w:p>
        </w:tc>
      </w:tr>
      <w:tr>
        <w:trPr>
          <w:cantSplit/>
        </w:trPr>
        <w:tc>
          <w:tcPr>
            <w:tcW w:type="dxa" w:w="1080"/>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1190／401</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1.21%</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0.91%</w:t>
            </w:r>
          </w:p>
        </w:tc>
        <w:tc>
          <w:tcPr>
            <w:tcW w:type="dxa" w:w="1008"/>
            <w:vAlign w:val="center"/>
            <w:tcMar>
              <w:top w:w="65" w:type="dxa"/>
              <w:bottom w:w="65" w:type="dxa"/>
              <w:left w:w="65" w:type="dxa"/>
              <w:right w:w="65" w:type="dxa"/>
            </w:tcMar>
          </w:tcPr>
          <w:p>
            <w:pPr>
              <w:pStyle w:val="Normal"/>
              <w:spacing w:after="0" w:line="259" w:lineRule="auto"/>
              <w:ind w:firstLine="0"/>
              <w:jc w:val="center"/>
            </w:pPr>
            <w:r>
              <w:rPr>
                <w:b w:val="0"/>
                <w:sz w:val="16"/>
              </w:rPr>
              <w:t xml:space="preserve">[0.26, 1.79]</w:t>
            </w:r>
          </w:p>
        </w:tc>
        <w:tc>
          <w:tcPr>
            <w:tcW w:type="dxa" w:w="1440"/>
            <w:vAlign w:val="center"/>
            <w:tcMar>
              <w:top w:w="65" w:type="dxa"/>
              <w:bottom w:w="65" w:type="dxa"/>
              <w:left w:w="65" w:type="dxa"/>
              <w:right w:w="65" w:type="dxa"/>
            </w:tcMar>
          </w:tcPr>
          <w:p>
            <w:pPr>
              <w:pStyle w:val="Normal"/>
              <w:spacing w:after="0" w:line="259" w:lineRule="auto"/>
              <w:ind w:firstLine="0"/>
              <w:jc w:val="center"/>
            </w:pPr>
            <w:r>
              <w:rPr>
                <w:b w:val="0"/>
                <w:sz w:val="16"/>
              </w:rPr>
              <w:t xml:space="preserve">5.98%</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[4.06, 8.10]</w:t>
            </w:r>
          </w:p>
        </w:tc>
        <w:tc>
          <w:tcPr>
            <w:tcW w:type="dxa" w:w="1454"/>
            <w:vAlign w:val="center"/>
            <w:tcMar>
              <w:top w:w="65" w:type="dxa"/>
              <w:bottom w:w="65" w:type="dxa"/>
              <w:left w:w="65" w:type="dxa"/>
              <w:right w:w="65" w:type="dxa"/>
            </w:tcMar>
          </w:tcPr>
          <w:p>
            <w:pPr>
              <w:pStyle w:val="Normal"/>
              <w:spacing w:after="0" w:line="259" w:lineRule="auto"/>
              <w:ind w:firstLine="0"/>
              <w:jc w:val="center"/>
            </w:pPr>
            <w:r>
              <w:rPr>
                <w:b w:val="0"/>
                <w:sz w:val="16"/>
              </w:rPr>
              <w:t xml:space="preserve">68／1132</w:t>
            </w:r>
          </w:p>
        </w:tc>
      </w:tr>
    </w:tbl>
    <w:p>
      <w:pPr/>
      <w:r>
        <w:t>表3-9的不安全率以被接受因素为分母，漂移率以可判定且原标注有效的因素为分母；undecided与original_disagreement不并入稳定。原稿模拟口径采用逆抽样概率加权，并按源文档聚类重采样2000次。总体源组数为257和401，不能据此补出每一层的源组数或区间。真实审核仍需提供因素总体、抽样标记、源文档与视图身份、裁决及训练掩码，才能复核加权与聚类计算。</w:t>
      </w:r>
    </w:p>
    <w:p>
      <w:pPr>
        <w:pStyle w:val="Normal"/>
      </w:pPr>
      <w:r>
        <w:t xml:space="preserve">域外的只读端点可能经语境受到影响，不能仅凭端点未改而认定稳定。附录H单列域外检查；此类记录不混入四层影响域总体，也不扩大默认监督掩码。因素掩码允许保留可判定部分，完整筛选则需付出更多整例拒绝代价，二者的效果由表3-5独立判断。</w:t>
      </w:r>
    </w:p>
    <w:p>
      <w:pPr>
        <w:pStyle w:val="Heading2"/>
      </w:pPr>
      <w:r>
        <w:t>3.6.4 训练成本与方法局限</w:t>
      </w:r>
    </w:p>
    <w:p>
      <w:pPr>
        <w:pStyle w:val="Normal"/>
        <w:keepNext/>
        <w:ind w:firstLine="0"/>
        <w:jc w:val="center"/>
      </w:pPr>
      <w:r>
        <w:t xml:space="preserve">表3-10 训练与增强成本（三种子GPU时间均值）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8"/>
        <w:gridCol w:w="1224"/>
        <w:gridCol w:w="907"/>
        <w:gridCol w:w="864"/>
        <w:gridCol w:w="936"/>
        <w:gridCol w:w="1800"/>
        <w:gridCol w:w="965"/>
        <w:gridCol w:w="1123"/>
        <w:gridCol w:w="1066"/>
      </w:tblGrid>
      <w:tr>
        <w:trPr>
          <w:cantSplit/>
          <w:tblHeader/>
        </w:trPr>
        <w:tc>
          <w:tcPr>
            <w:tcW w:type="dxa" w:w="778"/>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语料</w:t>
            </w:r>
          </w:p>
        </w:tc>
        <w:tc>
          <w:tcPr>
            <w:tcW w:type="dxa" w:w="122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配置</w:t>
            </w:r>
          </w:p>
        </w:tc>
        <w:tc>
          <w:tcPr>
            <w:tcW w:type="dxa" w:w="907"/>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源访问</w:t>
            </w:r>
          </w:p>
        </w:tc>
        <w:tc>
          <w:tcPr>
            <w:tcW w:type="dxa" w:w="864"/>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更新步</w:t>
            </w:r>
          </w:p>
        </w:tc>
        <w:tc>
          <w:tcPr>
            <w:tcW w:type="dxa" w:w="93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接受视图</w:t>
            </w:r>
          </w:p>
        </w:tc>
        <w:tc>
          <w:tcPr>
            <w:tcW w:type="dxa" w:w="1800"/>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尝试／接受token/M</w:t>
            </w:r>
          </w:p>
        </w:tc>
        <w:tc>
          <w:tcPr>
            <w:tcW w:type="dxa" w:w="965"/>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审核调用</w:t>
            </w:r>
          </w:p>
        </w:tc>
        <w:tc>
          <w:tcPr>
            <w:tcW w:type="dxa" w:w="1123"/>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GPU小时</w:t>
            </w:r>
          </w:p>
        </w:tc>
        <w:tc>
          <w:tcPr>
            <w:tcW w:type="dxa" w:w="1066"/>
            <w:vAlign w:val="center"/>
            <w:tcMar>
              <w:top w:w="65" w:type="dxa"/>
              <w:bottom w:w="65" w:type="dxa"/>
              <w:left w:w="65" w:type="dxa"/>
              <w:right w:w="65" w:type="dxa"/>
            </w:tcMar>
            <w:shd w:fill="E7E6E6"/>
          </w:tcPr>
          <w:p>
            <w:pPr>
              <w:pStyle w:val="Normal"/>
              <w:spacing w:after="0" w:line="259" w:lineRule="auto"/>
              <w:ind w:firstLine="0"/>
              <w:jc w:val="center"/>
            </w:pPr>
            <w:r>
              <w:rPr>
                <w:b/>
                <w:sz w:val="16"/>
              </w:rPr>
              <w:t xml:space="preserve">峰值GiB</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T0I0</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1595</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0.00／0.00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1.69</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47.29</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Heads</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1595</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0.00／0.00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1.93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51.52</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NoPair</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1595</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1.14／0.82</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1210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3.11</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62.37</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CompPair</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1595</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1.14／0.82</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1210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3.26</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65.54</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AAEC</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T1I0</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1595</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1.14／0.82</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1210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3.53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64.85</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T0I0</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95</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0.00／0.00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2.86</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47.57</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Heads</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95</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0.00／0.00</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3.41</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50.80</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NoPair</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95</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900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2.02／1.35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2190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5.33</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62.42</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CompPair</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95</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900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2.02／1.35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2190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5.69</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64.95</w:t>
            </w:r>
          </w:p>
        </w:tc>
      </w:tr>
      <w:tr>
        <w:trPr>
          <w:cantSplit/>
        </w:trPr>
        <w:tc>
          <w:tcPr>
            <w:tcW w:type="dxa" w:w="778"/>
            <w:vAlign w:val="center"/>
            <w:tcMar>
              <w:top w:w="65" w:type="dxa"/>
              <w:bottom w:w="65" w:type="dxa"/>
              <w:left w:w="65" w:type="dxa"/>
              <w:right w:w="65" w:type="dxa"/>
            </w:tcMar>
          </w:tcPr>
          <w:p>
            <w:pPr>
              <w:pStyle w:val="Normal"/>
              <w:spacing w:after="0" w:line="259" w:lineRule="auto"/>
              <w:ind w:firstLine="0"/>
              <w:jc w:val="center"/>
            </w:pPr>
            <w:r>
              <w:rPr>
                <w:b w:val="0"/>
                <w:sz w:val="16"/>
              </w:rPr>
              <w:t xml:space="preserve">CDCP</w:t>
            </w:r>
          </w:p>
        </w:tc>
        <w:tc>
          <w:tcPr>
            <w:tcW w:type="dxa" w:w="1224"/>
            <w:vAlign w:val="center"/>
            <w:tcMar>
              <w:top w:w="65" w:type="dxa"/>
              <w:bottom w:w="65" w:type="dxa"/>
              <w:left w:w="65" w:type="dxa"/>
              <w:right w:w="65" w:type="dxa"/>
            </w:tcMar>
          </w:tcPr>
          <w:p>
            <w:pPr>
              <w:pStyle w:val="Normal"/>
              <w:spacing w:after="0" w:line="259" w:lineRule="auto"/>
              <w:ind w:firstLine="0"/>
              <w:jc w:val="center"/>
            </w:pPr>
            <w:r>
              <w:rPr>
                <w:b w:val="0"/>
                <w:sz w:val="16"/>
              </w:rPr>
              <w:t xml:space="preserve">T1I0</w:t>
            </w:r>
          </w:p>
        </w:tc>
        <w:tc>
          <w:tcPr>
            <w:tcW w:type="dxa" w:w="907"/>
            <w:vAlign w:val="center"/>
            <w:tcMar>
              <w:top w:w="65" w:type="dxa"/>
              <w:bottom w:w="65" w:type="dxa"/>
              <w:left w:w="65" w:type="dxa"/>
              <w:right w:w="65" w:type="dxa"/>
            </w:tcMar>
          </w:tcPr>
          <w:p>
            <w:pPr>
              <w:pStyle w:val="Normal"/>
              <w:spacing w:after="0" w:line="259" w:lineRule="auto"/>
              <w:ind w:firstLine="0"/>
              <w:jc w:val="center"/>
            </w:pPr>
            <w:r>
              <w:rPr>
                <w:b w:val="0"/>
                <w:sz w:val="16"/>
              </w:rPr>
              <w:t xml:space="preserve">2900</w:t>
            </w:r>
          </w:p>
        </w:tc>
        <w:tc>
          <w:tcPr>
            <w:tcW w:type="dxa" w:w="864"/>
            <w:vAlign w:val="center"/>
            <w:tcMar>
              <w:top w:w="65" w:type="dxa"/>
              <w:bottom w:w="65" w:type="dxa"/>
              <w:left w:w="65" w:type="dxa"/>
              <w:right w:w="65" w:type="dxa"/>
            </w:tcMar>
          </w:tcPr>
          <w:p>
            <w:pPr>
              <w:pStyle w:val="Normal"/>
              <w:spacing w:after="0" w:line="259" w:lineRule="auto"/>
              <w:ind w:firstLine="0"/>
              <w:jc w:val="center"/>
            </w:pPr>
            <w:r>
              <w:rPr>
                <w:b w:val="0"/>
                <w:sz w:val="16"/>
              </w:rPr>
              <w:t xml:space="preserve">95</w:t>
            </w:r>
          </w:p>
        </w:tc>
        <w:tc>
          <w:tcPr>
            <w:tcW w:type="dxa" w:w="936"/>
            <w:vAlign w:val="center"/>
            <w:tcMar>
              <w:top w:w="65" w:type="dxa"/>
              <w:bottom w:w="65" w:type="dxa"/>
              <w:left w:w="65" w:type="dxa"/>
              <w:right w:w="65" w:type="dxa"/>
            </w:tcMar>
          </w:tcPr>
          <w:p>
            <w:pPr>
              <w:pStyle w:val="Normal"/>
              <w:spacing w:after="0" w:line="259" w:lineRule="auto"/>
              <w:ind w:firstLine="0"/>
              <w:jc w:val="center"/>
            </w:pPr>
            <w:r>
              <w:rPr>
                <w:b w:val="0"/>
                <w:sz w:val="16"/>
              </w:rPr>
              <w:t xml:space="preserve">900</w:t>
            </w:r>
          </w:p>
        </w:tc>
        <w:tc>
          <w:tcPr>
            <w:tcW w:type="dxa" w:w="1800"/>
            <w:vAlign w:val="center"/>
            <w:tcMar>
              <w:top w:w="65" w:type="dxa"/>
              <w:bottom w:w="65" w:type="dxa"/>
              <w:left w:w="65" w:type="dxa"/>
              <w:right w:w="65" w:type="dxa"/>
            </w:tcMar>
          </w:tcPr>
          <w:p>
            <w:pPr>
              <w:pStyle w:val="Normal"/>
              <w:spacing w:after="0" w:line="259" w:lineRule="auto"/>
              <w:ind w:firstLine="0"/>
              <w:jc w:val="center"/>
            </w:pPr>
            <w:r>
              <w:rPr>
                <w:b w:val="0"/>
                <w:sz w:val="16"/>
              </w:rPr>
              <w:t xml:space="preserve">2.02／1.35</w:t>
            </w:r>
          </w:p>
        </w:tc>
        <w:tc>
          <w:tcPr>
            <w:tcW w:type="dxa" w:w="965"/>
            <w:vAlign w:val="center"/>
            <w:tcMar>
              <w:top w:w="65" w:type="dxa"/>
              <w:bottom w:w="65" w:type="dxa"/>
              <w:left w:w="65" w:type="dxa"/>
              <w:right w:w="65" w:type="dxa"/>
            </w:tcMar>
          </w:tcPr>
          <w:p>
            <w:pPr>
              <w:pStyle w:val="Normal"/>
              <w:spacing w:after="0" w:line="259" w:lineRule="auto"/>
              <w:ind w:firstLine="0"/>
              <w:jc w:val="center"/>
            </w:pPr>
            <w:r>
              <w:rPr>
                <w:b w:val="0"/>
                <w:sz w:val="16"/>
              </w:rPr>
              <w:t xml:space="preserve">2190</w:t>
            </w:r>
          </w:p>
        </w:tc>
        <w:tc>
          <w:tcPr>
            <w:tcW w:type="dxa" w:w="1123"/>
            <w:vAlign w:val="center"/>
            <w:tcMar>
              <w:top w:w="65" w:type="dxa"/>
              <w:bottom w:w="65" w:type="dxa"/>
              <w:left w:w="65" w:type="dxa"/>
              <w:right w:w="65" w:type="dxa"/>
            </w:tcMar>
          </w:tcPr>
          <w:p>
            <w:pPr>
              <w:pStyle w:val="Normal"/>
              <w:spacing w:after="0" w:line="259" w:lineRule="auto"/>
              <w:ind w:firstLine="0"/>
              <w:jc w:val="center"/>
            </w:pPr>
            <w:r>
              <w:rPr>
                <w:b w:val="0"/>
                <w:sz w:val="16"/>
              </w:rPr>
              <w:t xml:space="preserve">5.98</w:t>
            </w:r>
          </w:p>
        </w:tc>
        <w:tc>
          <w:tcPr>
            <w:tcW w:type="dxa" w:w="1066"/>
            <w:vAlign w:val="center"/>
            <w:tcMar>
              <w:top w:w="65" w:type="dxa"/>
              <w:bottom w:w="65" w:type="dxa"/>
              <w:left w:w="65" w:type="dxa"/>
              <w:right w:w="65" w:type="dxa"/>
            </w:tcMar>
          </w:tcPr>
          <w:p>
            <w:pPr>
              <w:pStyle w:val="Normal"/>
              <w:spacing w:after="0" w:line="259" w:lineRule="auto"/>
              <w:ind w:firstLine="0"/>
              <w:jc w:val="center"/>
            </w:pPr>
            <w:r>
              <w:rPr>
                <w:b w:val="0"/>
                <w:sz w:val="16"/>
              </w:rPr>
              <w:t xml:space="preserve">65.61</w:t>
            </w:r>
          </w:p>
        </w:tc>
      </w:tr>
    </w:tbl>
    <w:p>
      <w:pPr/>
      <w:r>
        <w:t>表3-10沿用模拟资源配置：源访问为5N，更新步为5×ceil(N/32)；基础适配和带辅助头配置的可训练参数分别为44,310,528和63,460,376，基础权重冻结。相同有效更新步数不意味着相同总成本，增强的生成、审核和训练开销应共同报告。</w:t>
      </w:r>
    </w:p>
    <w:p>
      <w:pPr/>
      <w:r>
        <w:t>在模拟成本表中，T1I0的GPU时间由继承配置的1.69／2.86小时增加至3.53／5.98小时，约为原来的2.09倍。生成和审核开销由共享增强视图的组共同承担；T1I0相对CompPair仍增加训练时间。因此，采用成对目标需要同时考虑独立收益的不确定性与额外成本，不能仅凭总F1较高忽略这一代价。训练损失曲线用于诊断优化过程，不能单独证明严格抽取收益；真实复核应保留逐种子日志及明确的聚合定义。</w:t>
      </w:r>
    </w:p>
    <w:p>
      <w:pPr/>
      <w:r>
        <w:t>真实语料案例与教学增强示例承担不同作用。表3-1的essay001说明原生因素的身份与依赖，3.3.4节的构造示例说明掩码和归一化的计算；二者均不能证明目标增强模型已经生成并接受了同样的视图。完整实证仍需补交一条部分掩码后接纳的实际记录和一条因语义变化而拒绝的实际记录。</w:t>
      </w:r>
    </w:p>
    <w:p>
      <w:pPr/>
      <w:r>
        <w:t>CDCP 00662的原生双源reason在4.6.4节展示。两个单源真子集既不能匹配完整超边，也不能仅据此获得语义NONE标签。这一边界贯穿训练审核和第四章完整对象评分。</w:t>
      </w:r>
    </w:p>
    <w:p>
      <w:pPr>
        <w:pStyle w:val="Heading1"/>
      </w:pPr>
      <w:r>
        <w:t>3.7 本章小结</w:t>
      </w:r>
    </w:p>
    <w:p>
      <w:pPr/>
      <w:r>
        <w:t>本章将局部改写后的监督保持分解为字符身份迁移、语义审核及可靠因素学习。组件双射保证标注对象可追踪，关系掩码使不确定监督不会重新进入增强侧损失，源文档归一化控制了视图数量造成的权重差异。模拟比较给出了整套训练配置的正向结果，但尚未在主要比较族内独立确认成对项的收益。教学示例已明确接口计算；真实增强记录、分层聚类审核及目标模型实验仍是验证这些方法效果所需的证据。</w:t>
      </w:r>
    </w:p>
    <w:sectPr w:rsidR="00FC693F" w:rsidRPr="0006063C" w:rsidSect="00034616">
      <w:headerReference w:type="default" r:id="rId9"/>
      <w:footerReference w:type="default" r:id="rId10"/>
      <w:pgSz w:w="11909" w:h="16834"/>
      <w:pgMar w:top="1094" w:right="1123" w:bottom="108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test稿件  第3章修订审阅版  主结果沿用模拟说明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ind w:firstLine="420"/>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Unicode MS" w:hAnsi="Arial Unicode MS" w:eastAsia="Arial Unicode M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Arial Unicode MS" w:hAnsi="Arial Unicode MS" w:eastAsia="Arial Unicode M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ind w:firstLine="0"/>
      <w:contextualSpacing/>
    </w:pPr>
    <w:rPr>
      <w:rFonts w:asciiTheme="majorHAnsi" w:eastAsiaTheme="majorEastAsia" w:hAnsiTheme="majorHAnsi" w:cstheme="majorBidi" w:ascii="Arial Unicode MS" w:hAnsi="Arial Unicode MS" w:eastAsia="Arial Unicode MS"/>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olor w:val="000000"/>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olor w:val="000000"/>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olor w:val="000000"/>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olor w:val="000000"/>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olor w:val="000000"/>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olor w:val="000000"/>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olor w:val="000000"/>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olor w:val="000000"/>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olor w:val="000000"/>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olor w:val="000000"/>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olor w:val="000000"/>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olor w:val="000000"/>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20"/>
      <w:ind w:firstLine="0"/>
    </w:pPr>
    <w:rPr>
      <w:rFonts w:ascii="Arial Unicode MS" w:hAnsi="Arial Unicode MS" w:eastAsia="Arial Unicode MS"/>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Code"/>
    <w:pPr>
      <w:spacing w:line="252" w:lineRule="auto" w:after="20"/>
      <w:ind w:firstLine="0"/>
    </w:pPr>
    <w:rPr>
      <w:rFonts w:ascii="Arial Unicode MS" w:hAnsi="Arial Unicode M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