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model_architecture_1.svg" ContentType="image/svg+xml"/>
  <Override PartName="/word/media/model_architecture_2.svg" ContentType="image/svg+xml"/>
  <Override PartName="/word/media/model_architecture_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面向关系感知学习与依赖闭合修正的端到端论辩挖掘方法研究"/>
    <w:p>
      <w:pPr>
        <w:pStyle w:val="Heading1"/>
      </w:pPr>
      <w:r>
        <w:rPr>
          <w:rFonts w:ascii="Arial Unicode MS" w:hAnsi="Arial Unicode MS" w:eastAsia="Arial Unicode MS"/>
        </w:rPr>
        <w:t xml:space="preserve">面向关系感知学习与依赖闭合修正的端到端论辩挖掘方法研究</w:t>
      </w:r>
    </w:p>
    <w:p>
      <w:pPr>
        <w:pStyle w:val="FirstParagraph"/>
        <w:spacing w:after="80"/>
      </w:pPr>
      <w:r>
        <w:t xml:space="preserve">2026年10月</w:t>
      </w:r>
    </w:p>
    <w:p>
      <w:pPr>
        <w:pStyle w:val="BlockText"/>
        <w:spacing w:after="80"/>
      </w:pPr>
      <w:r>
        <w:t xml:space="preserve">评审功能测试用完整模拟稿：主实验、训练、审核、具名外部对照和运行记录为合成测试内容；案例原文与原生标注来自上传语料，CPU案例预测及规则处理为实际程序输出。以下按完整论文格式呈现，统一适用本说明。</w:t>
      </w:r>
    </w:p>
    <w:p>
      <w:pPr>
        <w:pStyle w:val="FirstParagraph"/>
        <w:spacing w:after="80"/>
      </w:pPr>
      <w:r>
        <w:t xml:space="preserve">English Title: End-to-End Argument Mining via Relation-Aware Learning and Dependency-Closed Repair</w:t>
      </w:r>
    </w:p>
    <w:bookmarkStart w:id="20" w:name="摘要"/>
    <w:p>
      <w:pPr>
        <w:pStyle w:val="Heading2"/>
      </w:pPr>
      <w:r>
        <w:rPr>
          <w:rFonts w:ascii="Arial Unicode MS" w:hAnsi="Arial Unicode MS" w:eastAsia="Arial Unicode MS"/>
        </w:rPr>
        <w:t xml:space="preserve">摘要</w:t>
      </w:r>
    </w:p>
    <w:p>
      <w:pPr>
        <w:pStyle w:val="FirstParagraph"/>
        <w:spacing w:after="80"/>
      </w:pPr>
      <w:r>
        <w:t xml:space="preserve">端到端论辩挖掘需要同时定位组件、判别论辩角色并抽取有向关系。组件与关系的依赖使局部改写和预测修改产生连锁变化：前者可能破坏原有监督，后者可能使关系端点失效。本文在多候选重排序与有界修正的基础上，研究训练与推理两个阶段的依赖维护。</w:t>
      </w:r>
    </w:p>
    <w:p>
      <w:pPr>
        <w:pStyle w:val="BodyText"/>
        <w:spacing w:after="80"/>
      </w:pPr>
      <w:r>
        <w:t xml:space="preserve">训练侧通过关系影响域定位内部、跨边界及NONE因素，利用无损标注输运和逐因素掩码构造可靠对应；原文保留完整图生成监督，变体在可靠组件与关系上提供辅助监督和分布对齐。推理侧将组件变化与全部受影响关系组织为依赖闭合事务，以冻结的完整对象评分、分项接受门和编辑预算共同决定修改，支持局部与全局两条求解路径。CDCP的联合源关系始终以完整超边计数。</w:t>
      </w:r>
    </w:p>
    <w:p>
      <w:pPr>
        <w:pStyle w:val="BodyText"/>
        <w:spacing w:after="80"/>
      </w:pPr>
      <w:r>
        <w:t xml:space="preserve">在AAEC和CDCP官方测试集上，完整配置的严格关系F1分别为73.29和52.02，相对继承配置提高8.10和13.26个百分点。固定推理时，新训练分别增加3.63和4.89个百分点；固定T1检查点时，新推理分别增加4.48和8.37个百分点，四项比较均通过14项比较族的Holm校正。完整成对相对无成对的点估计在两语料为正，但校正后证据不足；共同决策与集合动作的独立优势也未获确认。保留CDCP弱评分时返回初始图的失败分析，说明收益依赖候选覆盖和决策区域评分。四份语料的原文案例进一步呈现误边减少、正确关系误删及多源对象身份的实际边界。</w:t>
      </w:r>
    </w:p>
    <w:p>
      <w:pPr>
        <w:pStyle w:val="BodyText"/>
        <w:spacing w:after="80"/>
      </w:pPr>
      <w:r>
        <w:t xml:space="preserve">关键词：端到端论辩挖掘；可靠对应；成对学习；依赖闭合；图修正；结构化预测</w:t>
      </w:r>
    </w:p>
    <w:bookmarkEnd w:id="20"/>
    <w:bookmarkStart w:id="21" w:name="abstract"/>
    <w:p>
      <w:pPr>
        <w:pStyle w:val="Heading2"/>
        <w:pageBreakBefore/>
      </w:pPr>
      <w:r>
        <w:rPr>
          <w:rFonts w:ascii="Arial Unicode MS" w:hAnsi="Arial Unicode MS" w:eastAsia="Arial Unicode MS"/>
        </w:rPr>
        <w:t xml:space="preserve">Abstract</w:t>
      </w:r>
    </w:p>
    <w:p>
      <w:pPr>
        <w:pStyle w:val="FirstParagraph"/>
        <w:spacing w:after="80"/>
      </w:pPr>
      <w:r>
        <w:t xml:space="preserve">End-to-end argument mining identifies text spans, argumentative roles, and directed relations. Component–relation dependencies create cascading effects during both local paraphrasing and prediction repair. This thesis investigates dependency maintenance in training and inference, building on multi-candidate reranking and bounded repair.</w:t>
      </w:r>
    </w:p>
    <w:p>
      <w:pPr>
        <w:pStyle w:val="BodyText"/>
        <w:spacing w:after="80"/>
      </w:pPr>
      <w:r>
        <w:t xml:space="preserve">For training, relation influence domains identify internal, cross-boundary, and NONE factors. Lossless annotation transport and factor masks define reliable correspondences for auxiliary supervision and paired distribution alignment, while original documents retain full-graph generation targets. For inference, dependency-closed transactions jointly reconsider component changes and all affected relations under frozen full-object scores, separate utility gates, and edit budgets. Local and global optimization share the same object identity and constraints. CDCP collective-source relations are evaluated as complete native hyperedges.</w:t>
      </w:r>
    </w:p>
    <w:p>
      <w:pPr>
        <w:pStyle w:val="BodyText"/>
        <w:spacing w:after="80"/>
      </w:pPr>
      <w:r>
        <w:t xml:space="preserve">On the official AAEC and CDCP test splits, the complete configuration reaches strict relation F1 scores of 73.29 and 52.02, improving over the inherited configuration by 8.10 and 13.26 points. The aggregate training and inference improvements remain significant after Holm correction over fourteen primary comparisons. Paired-learning estimates are positive on both corpora, but their separate contribution does not pass the family-level correction; joint acceptance and set actions likewise lack confirmed independent advantages. A weak-scoring CDCP condition retains abstention as a failure analysis. Traceable cases from four uploaded corpora illustrate both false-edge removal and true-edge loss, emphasizing that higher fixed utility does not guarantee higher extraction F1.</w:t>
      </w:r>
    </w:p>
    <w:p>
      <w:pPr>
        <w:pStyle w:val="BodyText"/>
        <w:spacing w:after="80"/>
      </w:pPr>
      <w:r>
        <w:t xml:space="preserve">Keywords: End-to-End Argument Mining; Reliable Correspondence; Paired Learning; Dependency Closure; Graph Repair; Structured Prediction</w:t>
      </w:r>
    </w:p>
    <w:bookmarkEnd w:id="21"/>
    <w:bookmarkStart w:id="39" w:name="第一章-绪论"/>
    <w:p>
      <w:pPr>
        <w:pStyle w:val="Heading1"/>
        <w:pageBreakBefore/>
        <w:spacing w:after="240"/>
      </w:pPr>
      <w:r>
        <w:rPr>
          <w:rFonts w:ascii="Arial Unicode MS" w:hAnsi="Arial Unicode MS" w:eastAsia="Arial Unicode MS"/>
          <w:b/>
          <w:color w:val="000000"/>
          <w:sz w:val="32"/>
        </w:rPr>
        <w:t>第一章 绪论</w:t>
      </w:r>
    </w:p>
    <w:p>
      <w:pPr>
        <w:pStyle w:val="Heading2"/>
        <w:keepNext/>
        <w:spacing w:before="240" w:after="140"/>
      </w:pPr>
      <w:r>
        <w:rPr>
          <w:rFonts w:ascii="Arial Unicode MS" w:hAnsi="Arial Unicode MS" w:eastAsia="Arial Unicode MS"/>
          <w:sz w:val="26"/>
        </w:rPr>
        <w:t>1.1 研究背景与意义</w:t>
      </w:r>
    </w:p>
    <w:p>
      <w:pPr>
        <w:pStyle w:val="BodyText"/>
        <w:spacing w:line="288" w:lineRule="auto" w:after="80"/>
        <w:ind w:firstLine="440"/>
      </w:pPr>
      <w:commentRangeStart w:id="7"/>
      <w:r>
        <w:rPr>
          <w:sz w:val="22"/>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[1]。</w:t>
      </w:r>
      <w:commentRangeEnd w:id="7"/>
      <w:r>
        <w:rPr>
          <w:rStyle w:val="CommentReference"/>
        </w:rPr>
        <w:commentReference w:id="7"/>
      </w:r>
    </w:p>
    <w:p>
      <w:pPr>
        <w:pStyle w:val="BodyText"/>
        <w:spacing w:line="288" w:lineRule="auto" w:after="80"/>
        <w:ind w:firstLine="440"/>
      </w:pPr>
      <w:r>
        <w:rPr>
          <w:sz w:val="22"/>
        </w:rPr>
        <w:t>论辩挖掘（Argument Mining，AM）旨在从自然语言文本中识别论辩组件及其相互关系，将非结构化的论述转化为可分析的结构[1]。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BodyText"/>
        <w:spacing w:line="288" w:lineRule="auto" w:after="80"/>
        <w:ind w:firstLine="440"/>
      </w:pPr>
      <w:commentRangeStart w:id="8"/>
      <w:r>
        <w:rPr>
          <w:sz w:val="22"/>
        </w:rPr>
        <w:t>以论辩标注作文语料AAEC中的essay001为例，作者提出合作有助于儿童学习人际交往技能，并从团队合作中的相处经验、沟通与妥协以及生活技能等方面说明理由。图1-1展示了其中一组支持关系：T3表示被支持的观点，T4、T5和T6分别表示支撑该观点的理由。论辩挖掘需要从原文中识别这些片段，区分观点与理由的角色，并恢复理由指向观点的连接。该例说明，文本中的论辩结构由组件及其关系共同构成，二者需要结合上下文进行判断。</w:t>
      </w:r>
      <w:commentRangeEnd w:id="8"/>
      <w:r>
        <w:rPr>
          <w:rStyle w:val="CommentReference"/>
        </w:rPr>
        <w:commentReference w:id="8"/>
      </w:r>
    </w:p>
    <w:p>
      <w:pPr>
        <w:keepNext/>
        <w:spacing w:after="40"/>
        <w:ind w:firstLine="0"/>
        <w:jc w:val="center"/>
      </w:pPr>
      <w:r>
        <w:rPr>
          <w:rFonts w:ascii="Arial Unicode MS" w:hAnsi="Arial Unicode MS" w:eastAsia="Arial Unicode MS"/>
          <w:color w:val="000000"/>
        </w:rPr>
        <w:drawing>
          <wp:inline>
            <wp:extent cx="6300000" cy="2460112"/>
            <wp:docPr id="1" name="Picture 1"/>
            <wp:cNvGraphicFramePr>
              <a:graphicFrameLocks noChangeAspect="1"/>
            </wp:cNvGraphicFramePr>
            <a:graphic>
              <a:graphicData uri="http://schemas.openxmlformats.org/drawingml/2006/picture">
                <pic:pic>
                  <pic:nvPicPr>
                    <pic:cNvPr id="0" name="rId22.png"/>
                    <pic:cNvPicPr/>
                  </pic:nvPicPr>
                  <pic:blipFill>
                    <a:blip r:embed="rId22"/>
                    <a:stretch>
                      <a:fillRect/>
                    </a:stretch>
                  </pic:blipFill>
                  <pic:spPr>
                    <a:xfrm>
                      <a:off x="0" y="0"/>
                      <a:ext cx="6300000" cy="2460112"/>
                    </a:xfrm>
                    <a:prstGeom prst="rect"/>
                  </pic:spPr>
                </pic:pic>
              </a:graphicData>
            </a:graphic>
          </wp:inline>
        </w:drawing>
      </w:r>
    </w:p>
    <w:p>
      <w:pPr>
        <w:pStyle w:val="Caption"/>
        <w:keepNext w:val="0"/>
        <w:spacing w:before="100" w:after="120"/>
        <w:ind w:firstLine="0"/>
        <w:jc w:val="center"/>
      </w:pPr>
      <w:r>
        <w:rPr>
          <w:rFonts w:ascii="Arial Unicode MS" w:hAnsi="Arial Unicode MS" w:eastAsia="Arial Unicode MS"/>
          <w:sz w:val="20"/>
        </w:rPr>
        <w:t>图1-1 AAEC作文中的观点与理由及其支持关系（essay001局部结构，中文为阅读提示）</w:t>
      </w:r>
    </w:p>
    <w:p>
      <w:pPr>
        <w:pStyle w:val="BodyText"/>
        <w:spacing w:line="288" w:lineRule="auto" w:after="80"/>
        <w:ind w:firstLine="440"/>
      </w:pPr>
      <w:r>
        <w:rPr>
          <w:sz w:val="22"/>
        </w:rPr>
        <w:t>围绕上述任务，已有研究从组件识别与关系分类出发，逐步探索对论辩结构进行联合建模的方法[2][4]。随着预训练语言模型的发展，生成式方法进一步将组件边界、组件类型和关系组织为统一输出，使从原始文本直接生成论辩结构成为一种可行的技术路线[7]。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BodyText"/>
        <w:spacing w:line="288" w:lineRule="auto" w:after="80"/>
        <w:ind w:firstLine="440"/>
      </w:pPr>
      <w:r>
        <w:rPr>
          <w:sz w:val="22"/>
        </w:rPr>
        <w:t>在训练数据方面，论辩结构标注需要同时确定文本片段、论辩角色及其连接，数据构建成本较高[1][2]。利用语言模型改写已有文本，可以增加表达形式，为扩充训练样本提供途径[15]；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[35]，但对于组件与关系相互依赖的任务，还需要进一步判断哪些监督信息能够可靠保留。</w:t>
      </w:r>
    </w:p>
    <w:p>
      <w:pPr>
        <w:pStyle w:val="BodyText"/>
        <w:spacing w:line="288" w:lineRule="auto" w:after="80"/>
        <w:ind w:firstLine="440"/>
      </w:pPr>
      <w:r>
        <w:rPr>
          <w:sz w:val="22"/>
        </w:rPr>
        <w:t>在预测结果方面，组件识别与关系判断之间的依赖增加了错误处理的难度。组件的边界或类型错误可能同时影响多条关系；相应地，修改一个组件后，与其相连的关系也需要重新判断。例如，图1-1中的T3与三个理由相连，若只调整T3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BodyText"/>
        <w:spacing w:line="288" w:lineRule="auto" w:after="80"/>
        <w:ind w:firstLine="440"/>
      </w:pPr>
      <w:commentRangeStart w:id="9"/>
      <w:r>
        <w:rPr>
          <w:sz w:val="22"/>
        </w:rPr>
        <w:t>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这些问题能够为论辩挖掘的训练与预测方法提供更具体的设计依据，也可为其他包含对象依赖的结构化抽取任务提供研究思路。</w:t>
      </w:r>
      <w:commentRangeEnd w:id="9"/>
      <w:r>
        <w:rPr>
          <w:rStyle w:val="CommentReference"/>
        </w:rPr>
        <w:commentReference w:id="9"/>
      </w:r>
    </w:p>
    <w:p>
      <w:pPr>
        <w:pStyle w:val="BodyText"/>
        <w:spacing w:line="288" w:lineRule="auto" w:after="80"/>
        <w:ind w:firstLine="440"/>
      </w:pPr>
      <w:r>
        <w:rPr>
          <w:sz w:val="22"/>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1.3节介绍。</w:t>
      </w:r>
    </w:p>
    <w:p>
      <w:pPr>
        <w:pStyle w:val="Heading2"/>
        <w:keepNext/>
        <w:spacing w:before="240" w:after="140"/>
      </w:pPr>
      <w:r>
        <w:rPr>
          <w:rFonts w:ascii="Arial Unicode MS" w:hAnsi="Arial Unicode MS" w:eastAsia="Arial Unicode MS"/>
          <w:color w:val="000000"/>
          <w:sz w:val="26"/>
        </w:rPr>
        <w:t>1.2 国内外研究现状</w:t>
      </w:r>
    </w:p>
    <w:p>
      <w:pPr>
        <w:pStyle w:val="BodyText"/>
        <w:spacing w:line="288" w:lineRule="auto" w:after="80"/>
      </w:pPr>
      <w:r>
        <w:rPr>
          <w:sz w:val="22"/>
        </w:rPr>
        <w:t>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位置。</w:t>
      </w:r>
    </w:p>
    <w:p>
      <w:pPr>
        <w:pStyle w:val="Heading3"/>
        <w:keepNext/>
        <w:spacing w:before="240" w:after="140"/>
      </w:pPr>
      <w:r>
        <w:rPr>
          <w:rFonts w:ascii="Arial Unicode MS" w:hAnsi="Arial Unicode MS" w:eastAsia="Arial Unicode MS"/>
          <w:color w:val="000000"/>
          <w:sz w:val="23"/>
        </w:rPr>
        <w:t>1.2.1 端到端论辩挖掘与生成建模</w:t>
      </w:r>
    </w:p>
    <w:p>
      <w:pPr>
        <w:pStyle w:val="BodyText"/>
        <w:spacing w:line="288" w:lineRule="auto" w:after="80"/>
      </w:pPr>
      <w:r>
        <w:rPr>
          <w:rFonts w:ascii="Arial Unicode MS" w:hAnsi="Arial Unicode MS" w:eastAsia="Arial Unicode MS"/>
          <w:color w:val="000000"/>
          <w:sz w:val="22"/>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spacing w:line="288" w:lineRule="auto" w:after="80"/>
      </w:pPr>
      <w:r>
        <w:rPr>
          <w:rFonts w:ascii="Arial Unicode MS" w:hAnsi="Arial Unicode MS" w:eastAsia="Arial Unicode MS"/>
          <w:color w:val="000000"/>
          <w:sz w:val="22"/>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spacing w:line="288" w:lineRule="auto" w:after="80"/>
      </w:pPr>
      <w:r>
        <w:rPr>
          <w:rFonts w:ascii="Arial Unicode MS" w:hAnsi="Arial Unicode MS" w:eastAsia="Arial Unicode MS"/>
          <w:color w:val="000000"/>
          <w:sz w:val="22"/>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spacing w:line="288" w:lineRule="auto" w:after="80"/>
      </w:pPr>
      <w:r>
        <w:rPr>
          <w:rFonts w:ascii="Arial Unicode MS" w:hAnsi="Arial Unicode MS" w:eastAsia="Arial Unicode MS"/>
          <w:color w:val="000000"/>
          <w:sz w:val="22"/>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spacing w:line="288" w:lineRule="auto" w:after="80"/>
      </w:pPr>
      <w:r>
        <w:rPr>
          <w:rFonts w:ascii="Arial Unicode MS" w:hAnsi="Arial Unicode MS" w:eastAsia="Arial Unicode MS"/>
          <w:color w:val="000000"/>
          <w:sz w:val="22"/>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keepNext/>
        <w:spacing w:before="240" w:after="140"/>
      </w:pPr>
      <w:r>
        <w:rPr>
          <w:rFonts w:ascii="Arial Unicode MS" w:hAnsi="Arial Unicode MS" w:eastAsia="Arial Unicode MS"/>
          <w:color w:val="000000"/>
          <w:sz w:val="23"/>
        </w:rPr>
        <w:t>1.2.2 关系保持数据增强</w:t>
      </w:r>
    </w:p>
    <w:p>
      <w:pPr>
        <w:pStyle w:val="BodyText"/>
        <w:spacing w:line="288" w:lineRule="auto" w:after="80"/>
      </w:pPr>
      <w:r>
        <w:rPr>
          <w:rFonts w:ascii="Arial Unicode MS" w:hAnsi="Arial Unicode MS" w:eastAsia="Arial Unicode MS"/>
          <w:color w:val="000000"/>
          <w:sz w:val="22"/>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spacing w:line="288" w:lineRule="auto" w:after="80"/>
      </w:pPr>
      <w:commentRangeStart w:id="1"/>
      <w:r>
        <w:rPr>
          <w:rFonts w:ascii="Arial Unicode MS" w:hAnsi="Arial Unicode MS" w:eastAsia="Arial Unicode MS"/>
          <w:color w:val="000000"/>
          <w:sz w:val="22"/>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这一做法为局部改写提供了基础，也提出了一个需要继续检验的问题：哪些标签确实在改写后保持，哪些只能视为未知。</w:t>
      </w:r>
      <w:commentRangeEnd w:id="1"/>
      <w:r>
        <w:rPr>
          <w:rStyle w:val="CommentReference"/>
        </w:rPr>
        <w:commentReference w:id="1"/>
      </w:r>
    </w:p>
    <w:p>
      <w:pPr>
        <w:pStyle w:val="BodyText"/>
        <w:spacing w:line="288" w:lineRule="auto" w:after="80"/>
      </w:pPr>
      <w:r>
        <w:rPr>
          <w:rFonts w:ascii="Arial Unicode MS" w:hAnsi="Arial Unicode MS" w:eastAsia="Arial Unicode MS"/>
          <w:color w:val="000000"/>
          <w:sz w:val="22"/>
        </w:rPr>
        <w:t>QOS与同文提出的多样性导向合成DOS分别提供质量和多样性的参照[35]。本文的QOS式适配继承槽位化改写思想，不等同于原论文两种方案或完整系统的复现。2026年10月公开的对抗强化学习合成研究交替优化生成器与判别器，生成新的文本—结构标注对[49]。因此，结构质量与多样性的联合考虑已有直接近邻。本文研究的是保留原图监督的局部改写，其数据构造与学习目标分别在训练规模和下游抽取器受控的条件下比较。</w:t>
      </w:r>
    </w:p>
    <w:p>
      <w:pPr>
        <w:pStyle w:val="BodyText"/>
        <w:spacing w:line="288" w:lineRule="auto" w:after="80"/>
      </w:pPr>
      <w:r>
        <w:rPr>
          <w:rFonts w:ascii="Arial Unicode MS" w:hAnsi="Arial Unicode MS" w:eastAsia="Arial Unicode MS"/>
          <w:color w:val="000000"/>
          <w:sz w:val="22"/>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spacing w:line="288" w:lineRule="auto" w:after="80"/>
      </w:pPr>
      <w:r>
        <w:rPr>
          <w:rFonts w:ascii="Arial Unicode MS" w:hAnsi="Arial Unicode MS" w:eastAsia="Arial Unicode MS"/>
          <w:color w:val="000000"/>
          <w:sz w:val="22"/>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关系保持作为生成与审核目标，其可靠程度由因素审核和下游任务评价共同判断。</w:t>
      </w:r>
    </w:p>
    <w:p>
      <w:pPr>
        <w:pStyle w:val="Heading3"/>
        <w:keepNext/>
        <w:spacing w:before="240" w:after="140"/>
      </w:pPr>
      <w:r>
        <w:rPr>
          <w:rFonts w:ascii="Arial Unicode MS" w:hAnsi="Arial Unicode MS" w:eastAsia="Arial Unicode MS"/>
          <w:color w:val="000000"/>
          <w:sz w:val="23"/>
        </w:rPr>
        <w:t>1.2.3 结构化预测与论辩图修正</w:t>
      </w:r>
    </w:p>
    <w:p>
      <w:pPr>
        <w:pStyle w:val="BodyText"/>
        <w:spacing w:line="288" w:lineRule="auto" w:after="80"/>
      </w:pPr>
      <w:r>
        <w:rPr>
          <w:rFonts w:ascii="Arial Unicode MS" w:hAnsi="Arial Unicode MS" w:eastAsia="Arial Unicode MS"/>
          <w:color w:val="000000"/>
          <w:sz w:val="22"/>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spacing w:line="288" w:lineRule="auto" w:after="80"/>
      </w:pPr>
      <w:r>
        <w:rPr>
          <w:rFonts w:ascii="Arial Unicode MS" w:hAnsi="Arial Unicode MS" w:eastAsia="Arial Unicode MS"/>
          <w:color w:val="000000"/>
          <w:sz w:val="22"/>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spacing w:line="288" w:lineRule="auto" w:after="80"/>
      </w:pPr>
      <w:r>
        <w:rPr>
          <w:rFonts w:ascii="Arial Unicode MS" w:hAnsi="Arial Unicode MS" w:eastAsia="Arial Unicode MS"/>
          <w:color w:val="000000"/>
          <w:sz w:val="22"/>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spacing w:line="288" w:lineRule="auto" w:after="80"/>
      </w:pPr>
      <w:r>
        <w:rPr>
          <w:rFonts w:ascii="Arial Unicode MS" w:hAnsi="Arial Unicode MS" w:eastAsia="Arial Unicode MS"/>
          <w:color w:val="000000"/>
          <w:sz w:val="22"/>
        </w:rPr>
        <w:t>本文的直接基础是ICIC 2026提出的多候选重排序与有界修正方法MCR-BR[34]。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BodyText"/>
        <w:spacing w:line="288" w:lineRule="auto" w:after="80"/>
      </w:pPr>
      <w:r>
        <w:rPr>
          <w:rFonts w:ascii="Arial Unicode MS" w:hAnsi="Arial Unicode MS" w:eastAsia="Arial Unicode MS"/>
          <w:color w:val="000000"/>
          <w:sz w:val="22"/>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BodyText"/>
        <w:spacing w:line="288" w:lineRule="auto" w:after="80"/>
      </w:pPr>
      <w:r>
        <w:rPr>
          <w:rFonts w:ascii="Arial Unicode MS" w:hAnsi="Arial Unicode MS" w:eastAsia="Arial Unicode MS"/>
          <w:color w:val="000000"/>
          <w:sz w:val="22"/>
        </w:rPr>
        <w:t>综合上述研究，方法比较还需考虑语料任务表示和训练来源的差异。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spacing w:line="288" w:lineRule="auto" w:after="80"/>
      </w:pPr>
      <w:r>
        <w:rPr>
          <w:rFonts w:ascii="Arial Unicode MS" w:hAnsi="Arial Unicode MS" w:eastAsia="Arial Unicode MS"/>
          <w:color w:val="000000"/>
          <w:sz w:val="22"/>
        </w:rPr>
        <w:t>表1-1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Caption"/>
        <w:keepNext/>
        <w:spacing w:before="100" w:after="120"/>
        <w:ind w:firstLine="0"/>
        <w:jc w:val="center"/>
      </w:pPr>
      <w:r>
        <w:rPr>
          <w:rFonts w:ascii="Arial Unicode MS" w:hAnsi="Arial Unicode MS" w:eastAsia="Arial Unicode MS"/>
          <w:color w:val="000000"/>
          <w:sz w:val="20"/>
        </w:rPr>
        <w:t>表1-1 近邻方法与本文研究位置</w:t>
      </w:r>
    </w:p>
    <w:tbl>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796"/>
        <w:gridCol w:w="2482"/>
        <w:gridCol w:w="2694"/>
        <w:gridCol w:w="3119"/>
      </w:tblGrid>
      <w:tr>
        <w:trPr>
          <w:cantSplit/>
          <w:tblHeader/>
        </w:trPr>
        <w:tc>
          <w:tcPr>
            <w:tcW w:type="dxa" w:w="1796"/>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研究</w:t>
            </w:r>
          </w:p>
        </w:tc>
        <w:tc>
          <w:tcPr>
            <w:tcW w:type="dxa" w:w="2482"/>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任务或输入条件</w:t>
            </w:r>
          </w:p>
        </w:tc>
        <w:tc>
          <w:tcPr>
            <w:tcW w:type="dxa" w:w="2694"/>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相关机制</w:t>
            </w:r>
          </w:p>
        </w:tc>
        <w:tc>
          <w:tcPr>
            <w:tcW w:type="dxa" w:w="3119"/>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本文比较重点</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QOS[35]</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论辩标注文本的槽位化增强</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改写后恢复跨度并继承类型及关系</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内部与跨边界关系、NONE检查及资源匹配</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ConsistRE与CovEReD[38][37]</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关系抽取及文档级关系预测</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关系条件生成或反事实一致性</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论辩角色依赖与组件关系成对学习</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AASP[9]</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自回归论辩结构生成</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受约束动作构建结构</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生成过程约束与生成后事务决策的区别</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Re-Cent[43]</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联合实体关系抽取</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关系引导跨度对抽取与修正</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组件集合修改的依赖域与整体接受条件</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MCR-BR[34]</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从原文生成多个完整论辩图</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整图重排序及有界组件关系修改</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集合替换、完整关系重建与风险成本归因</w:t>
            </w:r>
          </w:p>
        </w:tc>
      </w:tr>
    </w:tbl>
    <w:p>
      <w:pPr>
        <w:pStyle w:val="BodyText"/>
        <w:spacing w:line="288" w:lineRule="auto" w:after="80" w:before="120"/>
      </w:pPr>
      <w:commentRangeStart w:id="2"/>
      <w:r>
        <w:rPr>
          <w:rFonts w:ascii="Arial Unicode MS" w:hAnsi="Arial Unicode MS" w:eastAsia="Arial Unicode MS"/>
          <w:color w:val="000000"/>
          <w:sz w:val="22"/>
        </w:rPr>
        <w:t xml:space="preserve">相对槽位化增强，本文增加的审核单位是可对应的组件与关系因素。关系审核覆盖改写集合内部、跨集合边界的合法端点组合，并包含无关系状态NONE；标签变化、原标签分歧或未审核的因素不参与相应的增强侧辅助监督与对齐，原文仍承担完整图生成监督。固定增强视图、有效因素掩码和辅助头后，成对项只改变对应因素的学习约束，不改变样本内容。表3-6分别比较可靠对应构造与QOS式适配、完整成对与NoPair，以区分数据构造和学习目标的作用。</w:t>
      </w:r>
      <w:commentRangeEnd w:id="2"/>
      <w:r>
        <w:rPr>
          <w:rStyle w:val="CommentReference"/>
        </w:rPr>
        <w:commentReference w:id="2"/>
      </w:r>
    </w:p>
    <w:p>
      <w:pPr>
        <w:pStyle w:val="BodyText"/>
        <w:spacing w:line="288" w:lineRule="auto" w:after="80"/>
      </w:pPr>
      <w:r>
        <w:rPr>
          <w:rFonts w:ascii="Arial Unicode MS" w:hAnsi="Arial Unicode MS" w:eastAsia="Arial Unicode MS"/>
          <w:color w:val="000000"/>
          <w:sz w:val="22"/>
        </w:rPr>
        <w:t xml:space="preserve">相对已有的组件关系联合预测与MCR-BR，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4-6以I1对RelationOnly考察组件修改范围，以Single对Sequential考察共同接受方式；集合动作及局部、全局求解的作用另由对应比较判断。</w:t>
      </w:r>
    </w:p>
    <w:p>
      <w:pPr>
        <w:pStyle w:val="BodyText"/>
        <w:spacing w:line="288" w:lineRule="auto" w:after="80"/>
      </w:pPr>
      <w:r>
        <w:rPr>
          <w:rFonts w:ascii="Arial Unicode MS" w:hAnsi="Arial Unicode MS" w:eastAsia="Arial Unicode MS"/>
          <w:color w:val="000000"/>
          <w:sz w:val="22"/>
        </w:rPr>
        <w:t>外部对照进一步覆盖结构解析、文本生成、结构感知生成、动作生成与大模型系统，选择依据及转换规则见附录G。系统层面的主要复现候选为Kawarada等的文本生成方法与UniASA；GMAM、DENIM作为结构生成补充，QOS／DOS作为数据构造近邻。各方法按输入、表示及代码入口的可核对程度选择，并统一接入AAEC stance、CDCP完整源集合及预测坐标的共同评价规则。其他语言和任务范围见附录A.3。</w:t>
      </w:r>
    </w:p>
    <w:p>
      <w:pPr>
        <w:pStyle w:val="Heading2"/>
        <w:keepNext/>
        <w:spacing w:before="240" w:after="140"/>
      </w:pPr>
      <w:r>
        <w:rPr>
          <w:rFonts w:ascii="Arial Unicode MS" w:hAnsi="Arial Unicode MS" w:eastAsia="Arial Unicode MS"/>
          <w:color w:val="000000"/>
          <w:sz w:val="26"/>
        </w:rPr>
        <w:t>1.3 研究问题与主要研究工作</w:t>
      </w:r>
    </w:p>
    <w:p>
      <w:pPr>
        <w:pStyle w:val="BodyText"/>
        <w:spacing w:line="288" w:lineRule="auto" w:after="80"/>
      </w:pPr>
      <w:r>
        <w:rPr>
          <w:sz w:val="22"/>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1-2所示，以下进一步说明研究问题、主要内容及其与已有工作的联系。</w:t>
      </w:r>
    </w:p>
    <w:p>
      <w:pPr>
        <w:keepNext/>
        <w:spacing w:after="40"/>
        <w:ind w:firstLine="0"/>
        <w:jc w:val="center"/>
      </w:pPr>
      <w:r>
        <w:rPr>
          <w:rFonts w:ascii="Arial Unicode MS" w:hAnsi="Arial Unicode MS" w:eastAsia="Arial Unicode MS"/>
          <w:color w:val="000000"/>
        </w:rPr>
        <w:drawing>
          <wp:inline>
            <wp:extent cx="6300000" cy="4030933"/>
            <wp:docPr id="2" name="Picture 2"/>
            <wp:cNvGraphicFramePr>
              <a:graphicFrameLocks noChangeAspect="1"/>
            </wp:cNvGraphicFramePr>
            <a:graphic>
              <a:graphicData uri="http://schemas.openxmlformats.org/drawingml/2006/picture">
                <pic:pic>
                  <pic:nvPicPr>
                    <pic:cNvPr id="0" name="rId31.png"/>
                    <pic:cNvPicPr/>
                  </pic:nvPicPr>
                  <pic:blipFill>
                    <a:blip r:embed="rId31"/>
                    <a:stretch>
                      <a:fillRect/>
                    </a:stretch>
                  </pic:blipFill>
                  <pic:spPr>
                    <a:xfrm>
                      <a:off x="0" y="0"/>
                      <a:ext cx="6300000" cy="4030933"/>
                    </a:xfrm>
                    <a:prstGeom prst="rect"/>
                  </pic:spPr>
                </pic:pic>
              </a:graphicData>
            </a:graphic>
          </wp:inline>
        </w:drawing>
      </w:r>
    </w:p>
    <w:p>
      <w:pPr>
        <w:pStyle w:val="Caption"/>
        <w:keepNext w:val="0"/>
        <w:spacing w:before="100" w:after="120"/>
        <w:ind w:firstLine="0"/>
        <w:jc w:val="center"/>
      </w:pPr>
      <w:r>
        <w:rPr>
          <w:rFonts w:ascii="Arial Unicode MS" w:hAnsi="Arial Unicode MS" w:eastAsia="Arial Unicode MS"/>
          <w:color w:val="000000"/>
          <w:sz w:val="20"/>
        </w:rPr>
        <w:t>图1-2 组件关系依赖下的两项研究内容</w:t>
      </w:r>
    </w:p>
    <w:p>
      <w:pPr>
        <w:pStyle w:val="BodyText"/>
        <w:spacing w:line="288" w:lineRule="auto" w:after="80"/>
        <w:ind w:firstLine="440"/>
      </w:pPr>
      <w:r>
        <w:rPr>
          <w:b w:val="0"/>
          <w:sz w:val="22"/>
        </w:rPr>
        <w:t>围绕上述两个阶段，本文提出以下研究问题。</w:t>
      </w:r>
    </w:p>
    <w:p>
      <w:pPr>
        <w:pStyle w:val="BodyText"/>
        <w:spacing w:line="288" w:lineRule="auto" w:after="80"/>
      </w:pPr>
      <w:r>
        <w:rPr>
          <w:rFonts w:ascii="Arial Unicode MS" w:hAnsi="Arial Unicode MS" w:eastAsia="Arial Unicode MS"/>
          <w:color w:val="000000"/>
          <w:sz w:val="22"/>
        </w:rPr>
        <w:t>RQ1：局部改写后，怎样识别可用于学习的组件与关系对应？在相同来源、变体规模和更新预算下，可靠对应构造、因素级辅助监督与成对学习分别产生什么作用，其收益能否抵偿筛选、拒绝和审核成本？</w:t>
      </w:r>
    </w:p>
    <w:p>
      <w:pPr>
        <w:pStyle w:val="BodyText"/>
        <w:spacing w:line="288" w:lineRule="auto" w:after="80"/>
      </w:pPr>
      <w:r>
        <w:rPr>
          <w:rFonts w:ascii="Arial Unicode MS" w:hAnsi="Arial Unicode MS" w:eastAsia="Arial Unicode MS"/>
          <w:color w:val="000000"/>
          <w:sz w:val="22"/>
        </w:rPr>
        <w:t>RQ2：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BodyText"/>
        <w:spacing w:line="288" w:lineRule="auto" w:after="80"/>
      </w:pPr>
      <w:r>
        <w:rPr>
          <w:rFonts w:ascii="Arial Unicode MS" w:hAnsi="Arial Unicode MS" w:eastAsia="Arial Unicode MS"/>
          <w:color w:val="000000"/>
          <w:sz w:val="22"/>
        </w:rPr>
        <w:t>两阶段四格比较检验相对ICIC继承配置的条件增量，对象成员分析进一步区分重叠恢复、独有恢复和新增损失。它们用于解释两项研究的关系，不另列为第三项算法创新。</w:t>
      </w:r>
    </w:p>
    <w:p>
      <w:pPr>
        <w:pStyle w:val="BodyText"/>
        <w:spacing w:line="288" w:lineRule="auto" w:after="80"/>
        <w:ind w:firstLine="440"/>
      </w:pPr>
      <w:r>
        <w:rPr>
          <w:b w:val="0"/>
          <w:sz w:val="22"/>
        </w:rPr>
        <w:t>针对上述研究问题，本文开展以下两项研究工作。</w:t>
      </w:r>
    </w:p>
    <w:p>
      <w:pPr>
        <w:pStyle w:val="BodyText"/>
        <w:spacing w:line="288" w:lineRule="auto" w:after="80"/>
      </w:pPr>
      <w:commentRangeStart w:id="3"/>
      <w:r>
        <w:rPr>
          <w:rFonts w:ascii="Arial Unicode MS" w:hAnsi="Arial Unicode MS" w:eastAsia="Arial Unicode MS"/>
          <w:color w:val="000000"/>
          <w:sz w:val="22"/>
        </w:rPr>
        <w:t>（1）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commentRangeEnd w:id="3"/>
      <w:r>
        <w:rPr>
          <w:rStyle w:val="CommentReference"/>
        </w:rPr>
        <w:commentReference w:id="3"/>
      </w:r>
    </w:p>
    <w:p>
      <w:pPr>
        <w:pStyle w:val="BodyText"/>
        <w:spacing w:line="288" w:lineRule="auto" w:after="80"/>
      </w:pPr>
      <w:r>
        <w:rPr>
          <w:rFonts w:ascii="Arial Unicode MS" w:hAnsi="Arial Unicode MS" w:eastAsia="Arial Unicode MS"/>
          <w:color w:val="000000"/>
          <w:sz w:val="22"/>
        </w:rPr>
        <w:t>（2）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BodyText"/>
        <w:spacing w:line="288" w:lineRule="auto" w:after="80"/>
      </w:pPr>
      <w:r>
        <w:rPr>
          <w:rFonts w:ascii="Arial Unicode MS" w:hAnsi="Arial Unicode MS" w:eastAsia="Arial Unicode MS"/>
          <w:color w:val="000000"/>
          <w:sz w:val="22"/>
        </w:rPr>
        <w:t>候选接口、训练辅助头和推理评分器用于实现上述研究。训练辅助头与推理评分器具有不同的监督对象和使用阶段，第二章统一说明其接口。</w:t>
      </w:r>
    </w:p>
    <w:p>
      <w:pPr>
        <w:pStyle w:val="BodyText"/>
        <w:spacing w:line="288" w:lineRule="auto" w:after="80"/>
      </w:pPr>
      <w:commentRangeStart w:id="4"/>
      <w:r>
        <w:rPr>
          <w:rFonts w:ascii="Arial Unicode MS" w:hAnsi="Arial Unicode MS" w:eastAsia="Arial Unicode MS"/>
          <w:color w:val="000000"/>
          <w:sz w:val="22"/>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commentRangeEnd w:id="4"/>
      <w:r>
        <w:rPr>
          <w:rStyle w:val="CommentReference"/>
        </w:rPr>
        <w:commentReference w:id="4"/>
      </w:r>
    </w:p>
    <w:p>
      <w:pPr>
        <w:pStyle w:val="BodyText"/>
        <w:spacing w:line="288" w:lineRule="auto" w:after="80"/>
      </w:pPr>
      <w:r>
        <w:rPr>
          <w:sz w:val="22"/>
        </w:rPr>
        <w:t>第三、四章报告的比较支持配置层面的条件改善，但尚未确立成对项及单对象共同决策的稳定独立优势；集合局部动作未显示额外收益，主测试的I1又全部进入全局路径，因此这些结果不足以支持集合动作或局部求解在主测试中的独立优势。两项规约构成本文的方法内容，各项机制的效果与必要性由相应控制比较判断。</w:t>
      </w:r>
    </w:p>
    <w:p>
      <w:pPr>
        <w:pStyle w:val="BodyText"/>
        <w:spacing w:line="288" w:lineRule="auto" w:after="80" w:before="120"/>
      </w:pPr>
      <w:commentRangeStart w:id="10"/>
      <w:r>
        <w:rPr>
          <w:sz w:val="22"/>
        </w:rPr>
        <w:t>为区分配置效果与机制作用，本文分别比较整套训练、成对目标、整套推理、组件修改范围及共同接受，并以等预算重生成和开发风险限制检验替代方案与使用条件。主要关系F1比较族包含7组比较在两种语料上的14项检验，具体定义见2.5节，控制条件与归因边界见补充表S2-4；其他分析列为探索性。各项比较不预设显著正结果，结论按对应证据的支持范围表述。</w:t>
      </w:r>
      <w:commentRangeEnd w:id="10"/>
      <w:r>
        <w:rPr>
          <w:rStyle w:val="CommentReference"/>
        </w:rPr>
        <w:commentReference w:id="10"/>
      </w:r>
    </w:p>
    <w:p>
      <w:pPr>
        <w:pStyle w:val="BodyText"/>
        <w:spacing w:line="288" w:lineRule="auto" w:after="80"/>
      </w:pPr>
      <w:commentRangeStart w:id="11"/>
      <w:r>
        <w:rPr>
          <w:sz w:val="22"/>
        </w:rPr>
        <w:t>本文以ICIC 2026发表的MCR-BR方法[34]为基础。表1-2概括已有机制与本文研究内容。</w:t>
      </w:r>
      <w:commentRangeEnd w:id="11"/>
      <w:r>
        <w:rPr>
          <w:rStyle w:val="CommentReference"/>
        </w:rPr>
        <w:commentReference w:id="11"/>
      </w:r>
    </w:p>
    <w:p>
      <w:pPr>
        <w:pStyle w:val="Caption"/>
        <w:keepNext/>
        <w:spacing w:before="100" w:after="120"/>
        <w:ind w:firstLine="0"/>
        <w:jc w:val="center"/>
      </w:pPr>
      <w:r>
        <w:rPr>
          <w:rFonts w:ascii="Arial Unicode MS" w:hAnsi="Arial Unicode MS" w:eastAsia="Arial Unicode MS"/>
          <w:sz w:val="20"/>
        </w:rPr>
        <w:t>表1-2 MCR-BR已有机制与本文研究内容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7"/>
        <w:gridCol w:w="3936"/>
        <w:gridCol w:w="4340"/>
      </w:tblGrid>
      <w:tr>
        <w:trPr>
          <w:cantSplit/>
          <w:tblHeader/>
        </w:trPr>
        <w:tc>
          <w:tcPr>
            <w:tcW w:type="dxa" w:w="1817"/>
            <w:vAlign w:val="center"/>
            <w:tcMar>
              <w:top w:w="75" w:type="dxa"/>
              <w:bottom w:w="75" w:type="dxa"/>
              <w:left w:w="90" w:type="dxa"/>
              <w:right w:w="90" w:type="dxa"/>
            </w:tcMar>
            <w:shd w:fill="E7E6E6"/>
          </w:tcPr>
          <w:p>
            <w:pPr>
              <w:spacing w:before="0" w:after="0" w:line="264" w:lineRule="auto"/>
              <w:ind w:firstLine="0"/>
              <w:jc w:val="center"/>
            </w:pPr>
            <w:r>
              <w:rPr>
                <w:rFonts w:ascii="Arial Unicode MS" w:hAnsi="Arial Unicode MS" w:eastAsia="Arial Unicode MS"/>
                <w:b/>
                <w:sz w:val="19"/>
              </w:rPr>
              <w:t>研究层次</w:t>
            </w:r>
          </w:p>
        </w:tc>
        <w:tc>
          <w:tcPr>
            <w:tcW w:type="dxa" w:w="3936"/>
            <w:vAlign w:val="center"/>
            <w:tcMar>
              <w:top w:w="75" w:type="dxa"/>
              <w:bottom w:w="75" w:type="dxa"/>
              <w:left w:w="90" w:type="dxa"/>
              <w:right w:w="90" w:type="dxa"/>
            </w:tcMar>
            <w:shd w:fill="E7E6E6"/>
          </w:tcPr>
          <w:p>
            <w:pPr>
              <w:spacing w:before="0" w:after="0" w:line="264" w:lineRule="auto"/>
              <w:ind w:firstLine="0"/>
              <w:jc w:val="center"/>
            </w:pPr>
            <w:r>
              <w:rPr>
                <w:rFonts w:ascii="Arial Unicode MS" w:hAnsi="Arial Unicode MS" w:eastAsia="Arial Unicode MS"/>
                <w:b/>
                <w:sz w:val="19"/>
              </w:rPr>
              <w:t>MCR-BR已有机制</w:t>
            </w:r>
          </w:p>
        </w:tc>
        <w:tc>
          <w:tcPr>
            <w:tcW w:type="dxa" w:w="4340"/>
            <w:vAlign w:val="center"/>
            <w:tcMar>
              <w:top w:w="75" w:type="dxa"/>
              <w:bottom w:w="75" w:type="dxa"/>
              <w:left w:w="90" w:type="dxa"/>
              <w:right w:w="90" w:type="dxa"/>
            </w:tcMar>
            <w:shd w:fill="E7E6E6"/>
          </w:tcPr>
          <w:p>
            <w:pPr>
              <w:spacing w:before="0" w:after="0" w:line="264" w:lineRule="auto"/>
              <w:ind w:firstLine="0"/>
              <w:jc w:val="center"/>
            </w:pPr>
            <w:r>
              <w:rPr>
                <w:rFonts w:ascii="Arial Unicode MS" w:hAnsi="Arial Unicode MS" w:eastAsia="Arial Unicode MS"/>
                <w:b/>
                <w:sz w:val="19"/>
              </w:rPr>
              <w:t>本文研究内容</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训练与表示</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结论专项适配、线索提示、句子辅助监督</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可靠对应构造、因素掩码与成对学习</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候选生成与选择</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多候选组件、关系构建与整图重排序</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保留初始图接口，明确固定候选及完整对象身份</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组件与关系修正</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类型调整、候选跨度替换、删边与局部重预测</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依赖完整重建与事务接受，比较单对象及集合动作</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评分与评价</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覆盖、语义、合法性混合评分及非下降接受</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完整对象正确性评分、计数效用与风险分析</w:t>
            </w:r>
          </w:p>
        </w:tc>
      </w:tr>
    </w:tbl>
    <w:p>
      <w:pPr>
        <w:pStyle w:val="BodyText"/>
        <w:spacing w:line="288" w:lineRule="auto" w:after="80" w:before="120"/>
      </w:pPr>
      <w:r>
        <w:rPr>
          <w:rFonts w:ascii="Arial Unicode MS" w:hAnsi="Arial Unicode MS" w:eastAsia="Arial Unicode MS"/>
          <w:color w:val="000000"/>
          <w:sz w:val="22"/>
        </w:rPr>
        <w:t>MCR-BR已有组件类型和候选跨度修改能力。本文的深化集中在可靠因素上的学习，以及组件修改后的依赖完整性和共同决策规约。LoRA、提示、辅助头和散度函数作为继承基础或实现手段，不单独计为原创贡献；具体归属见附录C.1。</w:t>
      </w:r>
    </w:p>
    <w:p>
      <w:pPr>
        <w:pStyle w:val="Heading2"/>
        <w:keepNext/>
        <w:spacing w:before="240" w:after="140"/>
      </w:pPr>
      <w:r>
        <w:rPr>
          <w:rFonts w:ascii="Arial Unicode MS" w:hAnsi="Arial Unicode MS" w:eastAsia="Arial Unicode MS"/>
          <w:color w:val="000000"/>
          <w:sz w:val="26"/>
        </w:rPr>
        <w:t>1.4 论文组织结构</w:t>
      </w:r>
    </w:p>
    <w:p>
      <w:pPr>
        <w:pStyle w:val="BodyText"/>
        <w:spacing w:line="288" w:lineRule="auto" w:after="80"/>
      </w:pPr>
      <w:r>
        <w:rPr>
          <w:sz w:val="22"/>
        </w:rPr>
        <w:t>第二章介绍论辩挖掘的任务表示、相关理论与技术，并统一评价和公共实验协议，为各项比较建立共同基础；第三章定义可靠对应与成对学习，并报告训练比较和因素审核；第四章定义依赖闭合修正，分析评分、候选覆盖、决策比较、资源成本与案例；第五章通过四格和对象成员分析说明两阶段的作用关系；第六章总结配置收益、机制证据及适用条件。附录提供数据坐标、实现验收、实验登记、外部对照、逐种子记录与案例定位。</w:t>
      </w:r>
    </w:p>
    <w:p>
      <w:pPr>
        <w:pStyle w:val="Heading1"/>
        <w:pageBreakBefore/>
      </w:pPr>
      <w:r>
        <w:rPr>
          <w:rFonts w:ascii="Arial Unicode MS" w:hAnsi="Arial Unicode MS" w:eastAsia="Arial Unicode MS"/>
        </w:rPr>
        <w:t>第二章 相关理论与技术</w:t>
      </w:r>
    </w:p>
    <w:p>
      <w:pPr>
        <w:spacing w:after="60" w:line="274" w:lineRule="auto"/>
      </w:pPr>
      <w: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Heading2"/>
      </w:pPr>
      <w:r>
        <w:rPr>
          <w:rFonts w:ascii="Arial Unicode MS" w:hAnsi="Arial Unicode MS" w:eastAsia="Arial Unicode MS"/>
        </w:rPr>
        <w:t>2.1 论辩挖掘任务与结构表示</w:t>
      </w:r>
    </w:p>
    <w:p>
      <w:pPr>
        <w:pStyle w:val="Heading3"/>
      </w:pPr>
      <w:r>
        <w:rPr>
          <w:rFonts w:ascii="Arial Unicode MS" w:hAnsi="Arial Unicode MS" w:eastAsia="Arial Unicode MS"/>
        </w:rPr>
        <w:t>2.1.1 论辩组件与关系</w:t>
      </w:r>
    </w:p>
    <w:p>
      <w:pPr>
        <w:spacing w:after="60" w:line="274" w:lineRule="auto"/>
      </w:pPr>
      <w: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spacing w:after="60" w:line="274" w:lineRule="auto"/>
      </w:pPr>
      <w:r>
        <w:t xml:space="preserve">记固定文本版本的文档为 </w:t>
      </w:r>
      <m:oMath>
        <m:r>
          <m:t xml:space="preserve">x</m:t>
        </m:r>
      </m:oMath>
      <w:r>
        <w:t xml:space="preserve">，其标识为 </w:t>
      </w:r>
      <m:oMath>
        <m:r>
          <m:t xml:space="preserve">d</m:t>
        </m:r>
      </m:oMath>
      <w:r>
        <w:t>。文档标识同时关联语料、原生文档编号及文本版本，字符位置按照原文中的Unicode码点从0开始计数。组件的规范表示定义为</w:t>
      </w:r>
    </w:p>
    <w:p>
      <w:pPr>
        <w:keepNext w:val="0"/>
        <w:keepLines/>
        <w:tabs>
          <w:tab w:pos="5046" w:val="center"/>
          <w:tab w:pos="10091" w:val="right"/>
        </w:tabs>
        <w:spacing w:line="276" w:lineRule="auto" w:after="120" w:before="120"/>
        <w:ind w:firstLine="0" w:left="0" w:right="0"/>
        <w:jc w:val="left"/>
      </w:pPr>
      <w:r>
        <w:rPr>
          <w:sz w:val="21"/>
        </w:rPr>
        <w:tab/>
      </w:r>
      <m:oMath>
        <m:r>
          <m:t xml:space="preserve">c</m:t>
        </m:r>
        <m:r>
          <m:t xml:space="preserve">=</m:t>
        </m:r>
        <m:r>
          <m:t xml:space="preserve">(</m:t>
        </m:r>
        <m:r>
          <m:t xml:space="preserve">d</m:t>
        </m:r>
        <m:r>
          <m:t xml:space="preserve">,</m:t>
        </m:r>
        <m:r>
          <m:t xml:space="preserve">b</m:t>
        </m:r>
        <m:r>
          <m:t xml:space="preserve">,</m:t>
        </m:r>
        <m:r>
          <m:t xml:space="preserve">e</m:t>
        </m:r>
        <m:r>
          <m:t xml:space="preserve">,</m:t>
        </m:r>
        <m:r>
          <m:t xml:space="preserve">t</m:t>
        </m:r>
        <m:r>
          <m:t xml:space="preserve">)</m:t>
        </m:r>
        <m:r>
          <m:t xml:space="preserve">,</m:t>
        </m:r>
        <m:r>
          <m:t xml:space="preserve">    </m:t>
        </m:r>
        <m:r>
          <m:t xml:space="preserve">0</m:t>
        </m:r>
        <m:r>
          <m:t xml:space="preserve">≤</m:t>
        </m:r>
        <m:r>
          <m:t xml:space="preserve">b</m:t>
        </m:r>
        <m:r>
          <m:t xml:space="preserve">&lt;</m:t>
        </m:r>
        <m:r>
          <m:t xml:space="preserve">e</m:t>
        </m:r>
        <m:r>
          <m:t xml:space="preserve">≤</m:t>
        </m:r>
        <m:r>
          <m:t xml:space="preserve">|</m:t>
        </m:r>
        <m:r>
          <m:t xml:space="preserve">x</m:t>
        </m:r>
        <m:r>
          <m:t xml:space="preserve">|</m:t>
        </m:r>
        <m:r>
          <m:t xml:space="preserve">.</m:t>
        </m:r>
      </m:oMath>
      <w:r>
        <w:rPr>
          <w:sz w:val="21"/>
        </w:rPr>
        <w:tab/>
      </w:r>
      <w:bookmarkStart w:id="2000" w:name="Equation_2_1"/>
      <w:r>
        <w:rPr>
          <w:sz w:val="21"/>
        </w:rPr>
        <w:t>（2-</w:t>
      </w:r>
      <w:fldSimple w:instr=" SEQ Equation2 \r 1 \* ARABIC ">
        <w:r>
          <w:t>1</w:t>
        </w:r>
      </w:fldSimple>
      <w:r>
        <w:rPr>
          <w:sz w:val="21"/>
        </w:rPr>
        <w:t>）</w:t>
      </w:r>
      <w:bookmarkEnd w:id="2000"/>
    </w:p>
    <w:p>
      <w:pPr>
        <w:spacing w:after="60" w:line="274" w:lineRule="auto"/>
      </w:pPr>
      <w:r>
        <w:t>其中，</w:t>
      </w:r>
      <m:oMath>
        <m:r>
          <m:t xml:space="preserve">[</m:t>
        </m:r>
        <m:r>
          <m:t xml:space="preserve">b</m:t>
        </m:r>
        <m:r>
          <m:t xml:space="preserve">,</m:t>
        </m:r>
        <m:r>
          <m:t xml:space="preserve">e</m:t>
        </m:r>
        <m:r>
          <m:t xml:space="preserve">)</m:t>
        </m:r>
      </m:oMath>
      <w:r>
        <w:t xml:space="preserve"> 为左闭右开的字符区间，</w:t>
      </w:r>
      <m:oMath>
        <m:r>
          <m:t xml:space="preserve">x</m:t>
        </m:r>
        <m:r>
          <m:t xml:space="preserve">[</m:t>
        </m:r>
        <m:r>
          <m:t xml:space="preserve">b</m:t>
        </m:r>
        <m:r>
          <m:t xml:space="preserve">:</m:t>
        </m:r>
        <m:r>
          <m:t xml:space="preserve">e</m:t>
        </m:r>
        <m:r>
          <m:t xml:space="preserve">]</m:t>
        </m:r>
      </m:oMath>
      <w:r>
        <w:t xml:space="preserve"> 是组件的原文片段，</w:t>
      </w:r>
      <m:oMath>
        <m:r>
          <m:t xml:space="preserve">t</m:t>
        </m:r>
      </m:oMath>
      <w:r>
        <w:t xml:space="preserve"> 为该语料的原生组件类型。相同文字在文档的不同位置出现时，对应不同组件；同一字符区间被赋予不同类型时，也对应不同的预测对象。本文将字符区间和类型共同作为严格匹配的依据。</w:t>
      </w:r>
    </w:p>
    <w:p>
      <w:pPr>
        <w:spacing w:after="60" w:line="274" w:lineRule="auto"/>
      </w:pPr>
      <w:r>
        <w:t>评价分词和模型分词是对原文的两种派生表示。评价token用于固定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spacing w:after="60" w:line="274" w:lineRule="auto"/>
      </w:pPr>
      <w:r>
        <w:t xml:space="preserve">二元关系表示两个组件之间的有向联系，可记为 </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t xml:space="preserve">，其中 </w:t>
      </w:r>
      <m:oMath>
        <m:sSub>
          <m:e>
            <m:r>
              <m:t xml:space="preserve">c</m:t>
            </m:r>
          </m:e>
          <m:sub>
            <m:r>
              <m:t xml:space="preserve">i</m:t>
            </m:r>
          </m:sub>
        </m:sSub>
      </m:oMath>
      <w:r>
        <w:t xml:space="preserve"> 为源组件，</w:t>
      </w:r>
      <m:oMath>
        <m:sSub>
          <m:e>
            <m:r>
              <m:t xml:space="preserve">c</m:t>
            </m:r>
          </m:e>
          <m:sub>
            <m:r>
              <m:t xml:space="preserve">j</m:t>
            </m:r>
          </m:sub>
        </m:sSub>
      </m:oMath>
      <w:r>
        <w:t xml:space="preserve"> 为目标组件，</w:t>
      </w:r>
      <m:oMath>
        <m:r>
          <m:t xml:space="preserve">ℓ</m:t>
        </m:r>
      </m:oMath>
      <w:r>
        <w:t xml:space="preserve"> 为关系标签。关系方向由提供理由或攻击的一方指向目标。文档的论辩结构记为 </w:t>
      </w:r>
      <m:oMath>
        <m:r>
          <m:t xml:space="preserve">G</m:t>
        </m:r>
        <m:r>
          <m:t xml:space="preserve">=</m:t>
        </m:r>
        <m:r>
          <m:t xml:space="preserve">(</m:t>
        </m:r>
        <m:r>
          <m:t xml:space="preserve">C</m:t>
        </m:r>
        <m:r>
          <m:t xml:space="preserve">,</m:t>
        </m:r>
        <m:r>
          <m:t xml:space="preserve">R</m:t>
        </m:r>
        <m:r>
          <m:t xml:space="preserve">)</m:t>
        </m:r>
      </m:oMath>
      <w:r>
        <w:t xml:space="preserve">，其中 </w:t>
      </w:r>
      <m:oMath>
        <m:r>
          <m:t xml:space="preserve">C</m:t>
        </m:r>
      </m:oMath>
      <w:r>
        <w:t xml:space="preserve"> 为组件集合，</w:t>
      </w:r>
      <m:oMath>
        <m:r>
          <m:t xml:space="preserve">R</m:t>
        </m:r>
      </m:oMath>
      <w:r>
        <w:t xml:space="preserve"> 为关系集合。</w:t>
      </w:r>
    </w:p>
    <w:p>
      <w:pPr>
        <w:spacing w:after="60" w:line="274" w:lineRule="auto"/>
      </w:pPr>
      <w:r>
        <w:t xml:space="preserve">部分语料允许多个组件共同支持一个目标。对此，关系表示为 </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t xml:space="preserve">，其中 </w:t>
      </w:r>
      <m:oMath>
        <m:r>
          <m:t xml:space="preserve">S</m:t>
        </m:r>
      </m:oMath>
      <w:r>
        <w:t xml:space="preserve"> 为非空源组件集合。源集合只在序列化时按规范键排序，其成员共同构成一个完整关系。将该关系拆成多条二元边会改变任务的计数单位和匹配条件，因此本文保留原生多前提结构；二元关系可以视为源集合大小为1的特例[3][46]。</w:t>
      </w:r>
    </w:p>
    <w:p>
      <w:pPr>
        <w:pStyle w:val="Caption"/>
        <w:keepNext/>
        <w:spacing w:before="80" w:after="60" w:line="274" w:lineRule="auto"/>
        <w:ind w:firstLine="0"/>
        <w:jc w:val="center"/>
      </w:pPr>
      <w:r>
        <w:rPr>
          <w:rFonts w:ascii="Arial Unicode MS" w:hAnsi="Arial Unicode MS" w:eastAsia="Arial Unicode MS"/>
          <w:b/>
          <w:sz w:val="19"/>
        </w:rPr>
        <w:t>表2-1 两种语料的原生任务表示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4"/>
        <w:gridCol w:w="2587"/>
        <w:gridCol w:w="2293"/>
        <w:gridCol w:w="3603"/>
      </w:tblGrid>
      <w:tr>
        <w:trPr>
          <w:cantSplit/>
          <w:tblHeader/>
        </w:trPr>
        <w:tc>
          <w:tcPr>
            <w:tcW w:type="dxa" w:w="1064"/>
            <w:vAlign w:val="center"/>
            <w:tcMar>
              <w:top w:w="50" w:type="dxa"/>
              <w:bottom w:w="50" w:type="dxa"/>
              <w:left w:w="80" w:type="dxa"/>
              <w:right w:w="80" w:type="dxa"/>
            </w:tcMar>
            <w:shd w:fill="E7E6E6"/>
          </w:tcPr>
          <w:p>
            <w:pPr>
              <w:spacing w:after="0" w:line="264" w:lineRule="auto"/>
              <w:ind w:firstLine="0"/>
              <w:jc w:val="center"/>
            </w:pPr>
            <w:r>
              <w:rPr>
                <w:b/>
                <w:sz w:val="19"/>
              </w:rPr>
              <w:t>语料</w:t>
            </w:r>
          </w:p>
        </w:tc>
        <w:tc>
          <w:tcPr>
            <w:tcW w:type="dxa" w:w="2587"/>
            <w:vAlign w:val="center"/>
            <w:tcMar>
              <w:top w:w="50" w:type="dxa"/>
              <w:bottom w:w="50" w:type="dxa"/>
              <w:left w:w="80" w:type="dxa"/>
              <w:right w:w="80" w:type="dxa"/>
            </w:tcMar>
            <w:shd w:fill="E7E6E6"/>
          </w:tcPr>
          <w:p>
            <w:pPr>
              <w:spacing w:after="0" w:line="264" w:lineRule="auto"/>
              <w:ind w:firstLine="0"/>
              <w:jc w:val="center"/>
            </w:pPr>
            <w:r>
              <w:rPr>
                <w:b/>
                <w:sz w:val="19"/>
              </w:rPr>
              <w:t>组件类型</w:t>
            </w:r>
          </w:p>
        </w:tc>
        <w:tc>
          <w:tcPr>
            <w:tcW w:type="dxa" w:w="2293"/>
            <w:vAlign w:val="center"/>
            <w:tcMar>
              <w:top w:w="50" w:type="dxa"/>
              <w:bottom w:w="50" w:type="dxa"/>
              <w:left w:w="80" w:type="dxa"/>
              <w:right w:w="80" w:type="dxa"/>
            </w:tcMar>
            <w:shd w:fill="E7E6E6"/>
          </w:tcPr>
          <w:p>
            <w:pPr>
              <w:spacing w:after="0" w:line="264" w:lineRule="auto"/>
              <w:ind w:firstLine="0"/>
              <w:jc w:val="center"/>
            </w:pPr>
            <w:r>
              <w:rPr>
                <w:b/>
                <w:sz w:val="19"/>
              </w:rPr>
              <w:t>关系对象</w:t>
            </w:r>
          </w:p>
        </w:tc>
        <w:tc>
          <w:tcPr>
            <w:tcW w:type="dxa" w:w="3603"/>
            <w:vAlign w:val="center"/>
            <w:tcMar>
              <w:top w:w="50" w:type="dxa"/>
              <w:bottom w:w="50" w:type="dxa"/>
              <w:left w:w="80" w:type="dxa"/>
              <w:right w:w="80" w:type="dxa"/>
            </w:tcMar>
            <w:shd w:fill="E7E6E6"/>
          </w:tcPr>
          <w:p>
            <w:pPr>
              <w:spacing w:after="0" w:line="264" w:lineRule="auto"/>
              <w:ind w:firstLine="0"/>
              <w:jc w:val="center"/>
            </w:pPr>
            <w:r>
              <w:rPr>
                <w:b/>
                <w:sz w:val="19"/>
              </w:rPr>
              <w:t>评价时保留的边界</w:t>
            </w:r>
          </w:p>
        </w:tc>
      </w:tr>
      <w:tr>
        <w:trPr>
          <w:cantSplit/>
        </w:trPr>
        <w:tc>
          <w:tcPr>
            <w:tcW w:type="dxa" w:w="1064"/>
            <w:vAlign w:val="center"/>
            <w:tcMar>
              <w:top w:w="50" w:type="dxa"/>
              <w:bottom w:w="50" w:type="dxa"/>
              <w:left w:w="80" w:type="dxa"/>
              <w:right w:w="80" w:type="dxa"/>
            </w:tcMar>
          </w:tcPr>
          <w:p>
            <w:pPr>
              <w:spacing w:after="0" w:line="264" w:lineRule="auto"/>
              <w:ind w:firstLine="0"/>
              <w:jc w:val="left"/>
            </w:pPr>
            <w:r>
              <w:rPr>
                <w:b w:val="0"/>
                <w:sz w:val="19"/>
              </w:rPr>
              <w:t>AAEC</w:t>
            </w:r>
          </w:p>
        </w:tc>
        <w:tc>
          <w:tcPr>
            <w:tcW w:type="dxa" w:w="2587"/>
            <w:vAlign w:val="center"/>
            <w:tcMar>
              <w:top w:w="50" w:type="dxa"/>
              <w:bottom w:w="50" w:type="dxa"/>
              <w:left w:w="80" w:type="dxa"/>
              <w:right w:w="80" w:type="dxa"/>
            </w:tcMar>
          </w:tcPr>
          <w:p>
            <w:pPr>
              <w:spacing w:after="0" w:line="264" w:lineRule="auto"/>
              <w:ind w:firstLine="0"/>
              <w:jc w:val="left"/>
            </w:pPr>
            <w:r>
              <w:rPr>
                <w:b w:val="0"/>
                <w:sz w:val="19"/>
              </w:rPr>
              <w:t>MajorClaim、Claim、Premise</w:t>
            </w:r>
          </w:p>
        </w:tc>
        <w:tc>
          <w:tcPr>
            <w:tcW w:type="dxa" w:w="2293"/>
            <w:vAlign w:val="center"/>
            <w:tcMar>
              <w:top w:w="50" w:type="dxa"/>
              <w:bottom w:w="50" w:type="dxa"/>
              <w:left w:w="80" w:type="dxa"/>
              <w:right w:w="80" w:type="dxa"/>
            </w:tcMar>
          </w:tcPr>
          <w:p>
            <w:pPr>
              <w:spacing w:after="0" w:line="264" w:lineRule="auto"/>
              <w:ind w:firstLine="0"/>
              <w:jc w:val="left"/>
            </w:pPr>
            <w:r>
              <w:rPr>
                <w:b w:val="0"/>
                <w:sz w:val="19"/>
              </w:rPr>
              <w:t>Support、Attack二元关系</w:t>
            </w:r>
          </w:p>
        </w:tc>
        <w:tc>
          <w:tcPr>
            <w:tcW w:type="dxa" w:w="3603"/>
            <w:vAlign w:val="center"/>
            <w:tcMar>
              <w:top w:w="50" w:type="dxa"/>
              <w:bottom w:w="50" w:type="dxa"/>
              <w:left w:w="80" w:type="dxa"/>
              <w:right w:w="80" w:type="dxa"/>
            </w:tcMar>
          </w:tcPr>
          <w:p>
            <w:pPr>
              <w:spacing w:after="0" w:line="264" w:lineRule="auto"/>
              <w:ind w:firstLine="0"/>
              <w:jc w:val="left"/>
            </w:pPr>
            <w:r>
              <w:rPr>
                <w:b w:val="0"/>
                <w:sz w:val="19"/>
              </w:rPr>
              <w:t>Claim对MajorClaim的stance单列，不补造普通关系</w:t>
            </w:r>
          </w:p>
        </w:tc>
      </w:tr>
      <w:tr>
        <w:trPr>
          <w:cantSplit/>
        </w:trPr>
        <w:tc>
          <w:tcPr>
            <w:tcW w:type="dxa" w:w="1064"/>
            <w:vAlign w:val="center"/>
            <w:tcMar>
              <w:top w:w="50" w:type="dxa"/>
              <w:bottom w:w="50" w:type="dxa"/>
              <w:left w:w="80" w:type="dxa"/>
              <w:right w:w="80" w:type="dxa"/>
            </w:tcMar>
          </w:tcPr>
          <w:p>
            <w:pPr>
              <w:spacing w:after="0" w:line="264" w:lineRule="auto"/>
              <w:ind w:firstLine="0"/>
              <w:jc w:val="left"/>
            </w:pPr>
            <w:r>
              <w:rPr>
                <w:b w:val="0"/>
                <w:sz w:val="19"/>
              </w:rPr>
              <w:t>CDCP</w:t>
            </w:r>
          </w:p>
        </w:tc>
        <w:tc>
          <w:tcPr>
            <w:tcW w:type="dxa" w:w="2587"/>
            <w:vAlign w:val="center"/>
            <w:tcMar>
              <w:top w:w="50" w:type="dxa"/>
              <w:bottom w:w="50" w:type="dxa"/>
              <w:left w:w="80" w:type="dxa"/>
              <w:right w:w="80" w:type="dxa"/>
            </w:tcMar>
          </w:tcPr>
          <w:p>
            <w:pPr>
              <w:spacing w:after="0" w:line="264" w:lineRule="auto"/>
              <w:ind w:firstLine="0"/>
              <w:jc w:val="left"/>
            </w:pPr>
            <w:r>
              <w:rPr>
                <w:b w:val="0"/>
                <w:sz w:val="19"/>
              </w:rPr>
              <w:t>Fact、Testimony、Value、Policy、Reference</w:t>
            </w:r>
          </w:p>
        </w:tc>
        <w:tc>
          <w:tcPr>
            <w:tcW w:type="dxa" w:w="2293"/>
            <w:vAlign w:val="center"/>
            <w:tcMar>
              <w:top w:w="50" w:type="dxa"/>
              <w:bottom w:w="50" w:type="dxa"/>
              <w:left w:w="80" w:type="dxa"/>
              <w:right w:w="80" w:type="dxa"/>
            </w:tcMar>
          </w:tcPr>
          <w:p>
            <w:pPr>
              <w:spacing w:after="0" w:line="264" w:lineRule="auto"/>
              <w:ind w:firstLine="0"/>
              <w:jc w:val="left"/>
            </w:pPr>
            <w:r>
              <w:rPr>
                <w:b w:val="0"/>
                <w:sz w:val="19"/>
              </w:rPr>
              <w:t>Reason、Evidence多前提关系</w:t>
            </w:r>
          </w:p>
        </w:tc>
        <w:tc>
          <w:tcPr>
            <w:tcW w:type="dxa" w:w="3603"/>
            <w:vAlign w:val="center"/>
            <w:tcMar>
              <w:top w:w="50" w:type="dxa"/>
              <w:bottom w:w="50" w:type="dxa"/>
              <w:left w:w="80" w:type="dxa"/>
              <w:right w:w="80" w:type="dxa"/>
            </w:tcMar>
          </w:tcPr>
          <w:p>
            <w:pPr>
              <w:spacing w:after="0" w:line="264" w:lineRule="auto"/>
              <w:ind w:firstLine="0"/>
              <w:jc w:val="left"/>
            </w:pPr>
            <w:r>
              <w:rPr>
                <w:b w:val="0"/>
                <w:sz w:val="19"/>
              </w:rPr>
              <w:t>完整源集合参与匹配，不归并组件类型、不拆分超边</w:t>
            </w:r>
          </w:p>
        </w:tc>
      </w:tr>
    </w:tbl>
    <w:p>
      <w:pPr>
        <w:spacing w:after="60" w:line="274" w:lineRule="auto"/>
      </w:pPr>
      <w:r>
        <w:t>两种任务的差异由原生标注及相应研究确定[2][3][46]。例如，CDCP中的一个关系包含两个源组件时，漏掉其中任意一个组件就不再是同一完整关系。第三章使用的结论角色只用于选择增强中心或触发相应模块，不把CDCP原生类型改写为Claim或Premise。后续域内实验分别评价两种任务，附录中的粗粒度跨域映射不改变本章定义。</w:t>
      </w:r>
    </w:p>
    <w:p>
      <w:pPr>
        <w:pStyle w:val="Heading3"/>
      </w:pPr>
      <w:r>
        <w:rPr>
          <w:rFonts w:ascii="Arial Unicode MS" w:hAnsi="Arial Unicode MS" w:eastAsia="Arial Unicode MS"/>
        </w:rPr>
        <w:t>2.1.2 字符坐标与对象身份</w:t>
      </w:r>
    </w:p>
    <w:p>
      <w:pPr>
        <w:spacing w:after="60" w:line="274" w:lineRule="auto"/>
      </w:pPr>
      <w:r>
        <w:t>规范字符坐标解决的是“评价对象究竟是哪段文字”的问题。若只以评价token的起止位置和类型定义组件，则两个具有相同token外包范围、但字符边界不同的片段可能被误认为同一对象。词中边界尤其需要保留这一差别。</w:t>
      </w:r>
    </w:p>
    <w:p>
      <w:pPr>
        <w:keepNext/>
        <w:spacing w:after="60" w:line="274" w:lineRule="auto"/>
      </w:pPr>
      <w:r>
        <w:t xml:space="preserve">设评价token的字符区间依次为 </w:t>
      </w:r>
      <m:oMath>
        <m:r>
          <m:t xml:space="preserve">[</m:t>
        </m:r>
        <m:sSub>
          <m:e>
            <m:r>
              <m:t xml:space="preserve">a</m:t>
            </m:r>
          </m:e>
          <m:sub>
            <m:r>
              <m:t xml:space="preserve">i</m:t>
            </m:r>
          </m:sub>
        </m:sSub>
        <m:r>
          <m:t xml:space="preserve">,</m:t>
        </m:r>
        <m:sSub>
          <m:e>
            <m:r>
              <m:t xml:space="preserve">z</m:t>
            </m:r>
          </m:e>
          <m:sub>
            <m:r>
              <m:t xml:space="preserve">i</m:t>
            </m:r>
          </m:sub>
        </m:sSub>
        <m:r>
          <m:t xml:space="preserve">)</m:t>
        </m:r>
      </m:oMath>
      <w:r>
        <w:t xml:space="preserve">。对于组件字符区间 </w:t>
      </w:r>
      <m:oMath>
        <m:r>
          <m:t xml:space="preserve">[</m:t>
        </m:r>
        <m:r>
          <m:t xml:space="preserve">b</m:t>
        </m:r>
        <m:r>
          <m:t xml:space="preserve">,</m:t>
        </m:r>
        <m:r>
          <m:t xml:space="preserve">e</m:t>
        </m:r>
        <m:r>
          <m:t xml:space="preserve">)</m:t>
        </m:r>
      </m:oMath>
      <w:r>
        <w:t xml:space="preserve">，取与其相交的首、末token索引 </w:t>
      </w:r>
      <m:oMath>
        <m:r>
          <m:t xml:space="preserve">s</m:t>
        </m:r>
        <m:r>
          <m:t xml:space="preserve">,</m:t>
        </m:r>
        <m:r>
          <m:t xml:space="preserve">u</m:t>
        </m:r>
      </m:oMath>
      <w:r>
        <w:t>，索引从1开始。记录左右字符残差后，有</w:t>
      </w:r>
    </w:p>
    <w:p>
      <w:pPr>
        <w:keepNext w:val="0"/>
        <w:keepLines/>
        <w:tabs>
          <w:tab w:pos="5046" w:val="center"/>
          <w:tab w:pos="10091" w:val="right"/>
        </w:tabs>
        <w:spacing w:line="276" w:lineRule="auto" w:after="120" w:before="120"/>
        <w:ind w:firstLine="0" w:left="0" w:right="0"/>
        <w:jc w:val="left"/>
      </w:pPr>
      <w:r>
        <w:rPr>
          <w:sz w:val="21"/>
        </w:rPr>
        <w:tab/>
      </w:r>
      <m:oMath>
        <m:sSub>
          <m:e>
            <m:r>
              <m:t xml:space="preserve">ρ</m:t>
            </m:r>
          </m:e>
          <m:sub>
            <m:r>
              <m:t xml:space="preserve">L</m:t>
            </m:r>
          </m:sub>
        </m:sSub>
        <m:r>
          <m:t xml:space="preserve">=</m:t>
        </m:r>
        <m:r>
          <m:t xml:space="preserve">b</m:t>
        </m:r>
        <m:r>
          <m:t xml:space="preserve">-</m:t>
        </m:r>
        <m:sSub>
          <m:e>
            <m:r>
              <m:t xml:space="preserve">a</m:t>
            </m:r>
          </m:e>
          <m:sub>
            <m:r>
              <m:t xml:space="preserve">s</m:t>
            </m:r>
          </m:sub>
        </m:sSub>
        <m:r>
          <m:t xml:space="preserve">,</m:t>
        </m:r>
        <m:r>
          <m:t xml:space="preserve">  </m:t>
        </m:r>
        <m:sSub>
          <m:e>
            <m:r>
              <m:t xml:space="preserve">ρ</m:t>
            </m:r>
          </m:e>
          <m:sub>
            <m:r>
              <m:t xml:space="preserve">R</m:t>
            </m:r>
          </m:sub>
        </m:sSub>
        <m:r>
          <m:t xml:space="preserve">=</m:t>
        </m:r>
        <m:sSub>
          <m:e>
            <m:r>
              <m:t xml:space="preserve">z</m:t>
            </m:r>
          </m:e>
          <m:sub>
            <m:r>
              <m:t xml:space="preserve">u</m:t>
            </m:r>
          </m:sub>
        </m:sSub>
        <m:r>
          <m:t xml:space="preserve">-</m:t>
        </m:r>
        <m:r>
          <m:t xml:space="preserve">e</m:t>
        </m:r>
        <m:r>
          <m:t xml:space="preserve">;</m:t>
        </m:r>
        <m:r>
          <m:t xml:space="preserve">    </m:t>
        </m:r>
        <m:r>
          <m:t xml:space="preserve">b</m:t>
        </m:r>
        <m:r>
          <m:t xml:space="preserve">=</m:t>
        </m:r>
        <m:sSub>
          <m:e>
            <m:r>
              <m:t xml:space="preserve">a</m:t>
            </m:r>
          </m:e>
          <m:sub>
            <m:r>
              <m:t xml:space="preserve">s</m:t>
            </m:r>
          </m:sub>
        </m:sSub>
        <m:r>
          <m:t xml:space="preserve">+</m:t>
        </m:r>
        <m:sSub>
          <m:e>
            <m:r>
              <m:t xml:space="preserve">ρ</m:t>
            </m:r>
          </m:e>
          <m:sub>
            <m:r>
              <m:t xml:space="preserve">L</m:t>
            </m:r>
          </m:sub>
        </m:sSub>
        <m:r>
          <m:t xml:space="preserve">,</m:t>
        </m:r>
        <m:r>
          <m:t xml:space="preserve">  </m:t>
        </m:r>
        <m:r>
          <m:t xml:space="preserve">e</m:t>
        </m:r>
        <m:r>
          <m:t xml:space="preserve">=</m:t>
        </m:r>
        <m:sSub>
          <m:e>
            <m:r>
              <m:t xml:space="preserve">z</m:t>
            </m:r>
          </m:e>
          <m:sub>
            <m:r>
              <m:t xml:space="preserve">u</m:t>
            </m:r>
          </m:sub>
        </m:sSub>
        <m:r>
          <m:t xml:space="preserve">-</m:t>
        </m:r>
        <m:sSub>
          <m:e>
            <m:r>
              <m:t xml:space="preserve">ρ</m:t>
            </m:r>
          </m:e>
          <m:sub>
            <m:r>
              <m:t xml:space="preserve">R</m:t>
            </m:r>
          </m:sub>
        </m:sSub>
        <m:r>
          <m:t xml:space="preserve">.</m:t>
        </m:r>
      </m:oMath>
      <w:r>
        <w:rPr>
          <w:sz w:val="21"/>
        </w:rPr>
        <w:tab/>
      </w:r>
      <w:bookmarkStart w:id="2001" w:name="Equation_2_2"/>
      <w:r>
        <w:rPr>
          <w:sz w:val="21"/>
        </w:rPr>
        <w:t>（2-</w:t>
      </w:r>
      <w:fldSimple w:instr=" SEQ Equation2 \* ARABIC ">
        <w:r>
          <w:t>2</w:t>
        </w:r>
      </w:fldSimple>
      <w:r>
        <w:rPr>
          <w:sz w:val="21"/>
        </w:rPr>
        <w:t>）</w:t>
      </w:r>
      <w:bookmarkEnd w:id="2001"/>
    </w:p>
    <w:p>
      <w:pPr>
        <w:spacing w:after="60" w:line="274" w:lineRule="auto"/>
      </w:pPr>
      <w:r>
        <w:t xml:space="preserve">因此，派生记录 </w:t>
      </w:r>
      <m:oMath>
        <m:r>
          <m:t xml:space="preserve">(</m:t>
        </m:r>
        <m:r>
          <m:t xml:space="preserve">s</m:t>
        </m:r>
        <m:r>
          <m:t xml:space="preserve">,</m:t>
        </m:r>
        <m:r>
          <m:t xml:space="preserve">u</m:t>
        </m:r>
        <m:r>
          <m:t xml:space="preserve">,</m:t>
        </m:r>
        <m:sSub>
          <m:e>
            <m:r>
              <m:t xml:space="preserve">ρ</m:t>
            </m:r>
          </m:e>
          <m:sub>
            <m:r>
              <m:t xml:space="preserve">L</m:t>
            </m:r>
          </m:sub>
        </m:sSub>
        <m:r>
          <m:t xml:space="preserve">,</m:t>
        </m:r>
        <m:sSub>
          <m:e>
            <m:r>
              <m:t xml:space="preserve">ρ</m:t>
            </m:r>
          </m:e>
          <m:sub>
            <m:r>
              <m:t xml:space="preserve">R</m:t>
            </m:r>
          </m:sub>
        </m:sSub>
        <m:r>
          <m:t xml:space="preserve">)</m:t>
        </m:r>
      </m:oMath>
      <w:r>
        <w:t xml:space="preserve"> 可以恢复原字符区间；只有 </w:t>
      </w:r>
      <m:oMath>
        <m:r>
          <m:t xml:space="preserve">(</m:t>
        </m:r>
        <m:r>
          <m:t xml:space="preserve">s</m:t>
        </m:r>
        <m:r>
          <m:t xml:space="preserve">,</m:t>
        </m:r>
        <m:r>
          <m:t xml:space="preserve">u</m:t>
        </m:r>
        <m:r>
          <m:t xml:space="preserve">)</m:t>
        </m:r>
      </m:oMath>
      <w:r>
        <w:t xml:space="preserve"> 则通常不能。若协议保留首尾空白，残差按有符号坐标差保存；没有可对应token的异常应单独记录，不能补造跨度。模型子词同样依据offset mapping与字符区间建立对应。由聊天模板或连续提示引入的位置需要另行补偿，不能混入原文字符坐标。</w:t>
      </w:r>
    </w:p>
    <w:p>
      <w:pPr>
        <w:spacing w:after="60" w:line="274" w:lineRule="auto"/>
      </w:pPr>
      <w:r>
        <w:t>表2-2给出AAEC原生文档essay098的T6组件。原标注止于单词responsible的最后一个字母之前，本文保留该标注事实，不自动扩展为完整单词。为说明身份区别，表中另外构造了一个扩展到完整单词的对照片段；该对照不是另一条金标。</w:t>
      </w:r>
    </w:p>
    <w:p>
      <w:pPr>
        <w:pStyle w:val="Caption"/>
        <w:keepNext/>
        <w:spacing w:before="80" w:after="60" w:line="274" w:lineRule="auto"/>
        <w:ind w:firstLine="0"/>
        <w:jc w:val="center"/>
      </w:pPr>
      <w:r>
        <w:rPr>
          <w:rFonts w:ascii="Arial Unicode MS" w:hAnsi="Arial Unicode MS" w:eastAsia="Arial Unicode MS"/>
          <w:b/>
          <w:sz w:val="19"/>
        </w:rPr>
        <w:t>表2-2 同一token外包范围下的不同字符对象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4"/>
        <w:gridCol w:w="1806"/>
        <w:gridCol w:w="2010"/>
        <w:gridCol w:w="1413"/>
        <w:gridCol w:w="1884"/>
      </w:tblGrid>
      <w:tr>
        <w:trPr>
          <w:cantSplit/>
          <w:tblHeader/>
        </w:trPr>
        <w:tc>
          <w:tcPr>
            <w:tcW w:type="dxa" w:w="2434"/>
            <w:vAlign w:val="center"/>
            <w:tcMar>
              <w:top w:w="50" w:type="dxa"/>
              <w:bottom w:w="50" w:type="dxa"/>
              <w:left w:w="80" w:type="dxa"/>
              <w:right w:w="80" w:type="dxa"/>
            </w:tcMar>
            <w:shd w:fill="E7E6E6"/>
          </w:tcPr>
          <w:p>
            <w:pPr>
              <w:spacing w:after="0" w:line="264" w:lineRule="auto"/>
              <w:ind w:firstLine="0"/>
              <w:jc w:val="center"/>
            </w:pPr>
            <w:r>
              <w:rPr>
                <w:b/>
                <w:sz w:val="19"/>
              </w:rPr>
              <w:t>对象</w:t>
            </w:r>
          </w:p>
        </w:tc>
        <w:tc>
          <w:tcPr>
            <w:tcW w:type="dxa" w:w="1806"/>
            <w:vAlign w:val="center"/>
            <w:tcMar>
              <w:top w:w="50" w:type="dxa"/>
              <w:bottom w:w="50" w:type="dxa"/>
              <w:left w:w="80" w:type="dxa"/>
              <w:right w:w="80" w:type="dxa"/>
            </w:tcMar>
            <w:shd w:fill="E7E6E6"/>
          </w:tcPr>
          <w:p>
            <w:pPr>
              <w:spacing w:after="0" w:line="264" w:lineRule="auto"/>
              <w:ind w:firstLine="0"/>
              <w:jc w:val="center"/>
            </w:pPr>
            <w:r>
              <w:rPr>
                <w:b/>
                <w:sz w:val="19"/>
              </w:rPr>
              <w:t>字符区间</w:t>
            </w:r>
          </w:p>
        </w:tc>
        <w:tc>
          <w:tcPr>
            <w:tcW w:type="dxa" w:w="2010"/>
            <w:vAlign w:val="center"/>
            <w:tcMar>
              <w:top w:w="50" w:type="dxa"/>
              <w:bottom w:w="50" w:type="dxa"/>
              <w:left w:w="80" w:type="dxa"/>
              <w:right w:w="80" w:type="dxa"/>
            </w:tcMar>
            <w:shd w:fill="E7E6E6"/>
          </w:tcPr>
          <w:p>
            <w:pPr>
              <w:spacing w:after="0" w:line="264" w:lineRule="auto"/>
              <w:ind w:firstLine="0"/>
              <w:jc w:val="center"/>
            </w:pPr>
            <w:r>
              <w:rPr>
                <w:b/>
                <w:sz w:val="19"/>
              </w:rPr>
              <w:t>评价token闭区间</w:t>
            </w:r>
          </w:p>
        </w:tc>
        <w:tc>
          <w:tcPr>
            <w:tcW w:type="dxa" w:w="1413"/>
            <w:vAlign w:val="center"/>
            <w:tcMar>
              <w:top w:w="50" w:type="dxa"/>
              <w:bottom w:w="50" w:type="dxa"/>
              <w:left w:w="80" w:type="dxa"/>
              <w:right w:w="80" w:type="dxa"/>
            </w:tcMar>
            <w:shd w:fill="E7E6E6"/>
          </w:tcPr>
          <w:p>
            <w:pPr>
              <w:spacing w:after="0" w:line="264" w:lineRule="auto"/>
              <w:ind w:firstLine="0"/>
              <w:jc w:val="center"/>
            </w:pPr>
            <w:r>
              <w:rPr>
                <w:b/>
                <w:sz w:val="19"/>
              </w:rPr>
              <w:t>左右残差</w:t>
            </w:r>
          </w:p>
        </w:tc>
        <w:tc>
          <w:tcPr>
            <w:tcW w:type="dxa" w:w="1884"/>
            <w:vAlign w:val="center"/>
            <w:tcMar>
              <w:top w:w="50" w:type="dxa"/>
              <w:bottom w:w="50" w:type="dxa"/>
              <w:left w:w="80" w:type="dxa"/>
              <w:right w:w="80" w:type="dxa"/>
            </w:tcMar>
            <w:shd w:fill="E7E6E6"/>
          </w:tcPr>
          <w:p>
            <w:pPr>
              <w:spacing w:after="0" w:line="264" w:lineRule="auto"/>
              <w:ind w:firstLine="0"/>
              <w:jc w:val="center"/>
            </w:pPr>
            <w:r>
              <w:rPr>
                <w:b/>
                <w:sz w:val="19"/>
              </w:rPr>
              <w:t>片段末尾</w:t>
            </w:r>
          </w:p>
        </w:tc>
      </w:tr>
      <w:tr>
        <w:trPr>
          <w:cantSplit/>
        </w:trPr>
        <w:tc>
          <w:tcPr>
            <w:tcW w:type="dxa" w:w="2434"/>
            <w:vAlign w:val="center"/>
            <w:tcMar>
              <w:top w:w="50" w:type="dxa"/>
              <w:bottom w:w="50" w:type="dxa"/>
              <w:left w:w="80" w:type="dxa"/>
              <w:right w:w="80" w:type="dxa"/>
            </w:tcMar>
          </w:tcPr>
          <w:p>
            <w:pPr>
              <w:spacing w:after="0" w:line="264" w:lineRule="auto"/>
              <w:ind w:firstLine="0"/>
              <w:jc w:val="left"/>
            </w:pPr>
            <w:r>
              <w:rPr>
                <w:b w:val="0"/>
                <w:sz w:val="19"/>
              </w:rPr>
              <w:t>原生T6，Claim</w:t>
            </w:r>
          </w:p>
        </w:tc>
        <w:tc>
          <w:tcPr>
            <w:tcW w:type="dxa" w:w="1806"/>
            <w:vAlign w:val="center"/>
            <w:tcMar>
              <w:top w:w="50" w:type="dxa"/>
              <w:bottom w:w="50" w:type="dxa"/>
              <w:left w:w="80" w:type="dxa"/>
              <w:right w:w="80" w:type="dxa"/>
            </w:tcMar>
          </w:tcPr>
          <w:p>
            <w:pPr>
              <w:spacing w:after="0" w:line="264" w:lineRule="auto"/>
              <w:ind w:firstLine="0"/>
              <w:jc w:val="left"/>
            </w:pPr>
            <w:r>
              <w:rPr>
                <w:b w:val="0"/>
                <w:sz w:val="19"/>
              </w:rPr>
              <w:t>[858,914)</w:t>
            </w:r>
          </w:p>
        </w:tc>
        <w:tc>
          <w:tcPr>
            <w:tcW w:type="dxa" w:w="2010"/>
            <w:vAlign w:val="center"/>
            <w:tcMar>
              <w:top w:w="50" w:type="dxa"/>
              <w:bottom w:w="50" w:type="dxa"/>
              <w:left w:w="80" w:type="dxa"/>
              <w:right w:w="80" w:type="dxa"/>
            </w:tcMar>
          </w:tcPr>
          <w:p>
            <w:pPr>
              <w:spacing w:after="0" w:line="264" w:lineRule="auto"/>
              <w:ind w:firstLine="0"/>
              <w:jc w:val="left"/>
            </w:pPr>
            <w:r>
              <w:rPr>
                <w:b w:val="0"/>
                <w:sz w:val="19"/>
              </w:rPr>
              <w:t>[162,172]</w:t>
            </w:r>
          </w:p>
        </w:tc>
        <w:tc>
          <w:tcPr>
            <w:tcW w:type="dxa" w:w="1413"/>
            <w:vAlign w:val="center"/>
            <w:tcMar>
              <w:top w:w="50" w:type="dxa"/>
              <w:bottom w:w="50" w:type="dxa"/>
              <w:left w:w="80" w:type="dxa"/>
              <w:right w:w="80" w:type="dxa"/>
            </w:tcMar>
          </w:tcPr>
          <w:p>
            <w:pPr>
              <w:spacing w:after="0" w:line="264" w:lineRule="auto"/>
              <w:ind w:firstLine="0"/>
              <w:jc w:val="left"/>
            </w:pPr>
            <w:r>
              <w:rPr>
                <w:b w:val="0"/>
                <w:sz w:val="19"/>
              </w:rPr>
              <w:t>(0,1)</w:t>
            </w:r>
          </w:p>
        </w:tc>
        <w:tc>
          <w:tcPr>
            <w:tcW w:type="dxa" w:w="1884"/>
            <w:vAlign w:val="center"/>
            <w:tcMar>
              <w:top w:w="50" w:type="dxa"/>
              <w:bottom w:w="50" w:type="dxa"/>
              <w:left w:w="80" w:type="dxa"/>
              <w:right w:w="80" w:type="dxa"/>
            </w:tcMar>
          </w:tcPr>
          <w:p>
            <w:pPr>
              <w:spacing w:after="0" w:line="264" w:lineRule="auto"/>
              <w:ind w:firstLine="0"/>
              <w:jc w:val="left"/>
            </w:pPr>
            <w:r>
              <w:rPr>
                <w:b w:val="0"/>
                <w:sz w:val="19"/>
              </w:rPr>
              <w:t>responsibl</w:t>
            </w:r>
          </w:p>
        </w:tc>
      </w:tr>
      <w:tr>
        <w:trPr>
          <w:cantSplit/>
        </w:trPr>
        <w:tc>
          <w:tcPr>
            <w:tcW w:type="dxa" w:w="2434"/>
            <w:vAlign w:val="center"/>
            <w:tcMar>
              <w:top w:w="50" w:type="dxa"/>
              <w:bottom w:w="50" w:type="dxa"/>
              <w:left w:w="80" w:type="dxa"/>
              <w:right w:w="80" w:type="dxa"/>
            </w:tcMar>
          </w:tcPr>
          <w:p>
            <w:pPr>
              <w:spacing w:after="0" w:line="264" w:lineRule="auto"/>
              <w:ind w:firstLine="0"/>
              <w:jc w:val="left"/>
            </w:pPr>
            <w:r>
              <w:rPr>
                <w:b w:val="0"/>
                <w:sz w:val="19"/>
              </w:rPr>
              <w:t>扩展边界的构造对照，Claim</w:t>
            </w:r>
          </w:p>
        </w:tc>
        <w:tc>
          <w:tcPr>
            <w:tcW w:type="dxa" w:w="1806"/>
            <w:vAlign w:val="center"/>
            <w:tcMar>
              <w:top w:w="50" w:type="dxa"/>
              <w:bottom w:w="50" w:type="dxa"/>
              <w:left w:w="80" w:type="dxa"/>
              <w:right w:w="80" w:type="dxa"/>
            </w:tcMar>
          </w:tcPr>
          <w:p>
            <w:pPr>
              <w:spacing w:after="0" w:line="264" w:lineRule="auto"/>
              <w:ind w:firstLine="0"/>
              <w:jc w:val="left"/>
            </w:pPr>
            <w:r>
              <w:rPr>
                <w:b w:val="0"/>
                <w:sz w:val="19"/>
              </w:rPr>
              <w:t>[858,915)</w:t>
            </w:r>
          </w:p>
        </w:tc>
        <w:tc>
          <w:tcPr>
            <w:tcW w:type="dxa" w:w="2010"/>
            <w:vAlign w:val="center"/>
            <w:tcMar>
              <w:top w:w="50" w:type="dxa"/>
              <w:bottom w:w="50" w:type="dxa"/>
              <w:left w:w="80" w:type="dxa"/>
              <w:right w:w="80" w:type="dxa"/>
            </w:tcMar>
          </w:tcPr>
          <w:p>
            <w:pPr>
              <w:spacing w:after="0" w:line="264" w:lineRule="auto"/>
              <w:ind w:firstLine="0"/>
              <w:jc w:val="left"/>
            </w:pPr>
            <w:r>
              <w:rPr>
                <w:b w:val="0"/>
                <w:sz w:val="19"/>
              </w:rPr>
              <w:t>[162,172]</w:t>
            </w:r>
          </w:p>
        </w:tc>
        <w:tc>
          <w:tcPr>
            <w:tcW w:type="dxa" w:w="1413"/>
            <w:vAlign w:val="center"/>
            <w:tcMar>
              <w:top w:w="50" w:type="dxa"/>
              <w:bottom w:w="50" w:type="dxa"/>
              <w:left w:w="80" w:type="dxa"/>
              <w:right w:w="80" w:type="dxa"/>
            </w:tcMar>
          </w:tcPr>
          <w:p>
            <w:pPr>
              <w:spacing w:after="0" w:line="264" w:lineRule="auto"/>
              <w:ind w:firstLine="0"/>
              <w:jc w:val="left"/>
            </w:pPr>
            <w:r>
              <w:rPr>
                <w:b w:val="0"/>
                <w:sz w:val="19"/>
              </w:rPr>
              <w:t>(0,0)</w:t>
            </w:r>
          </w:p>
        </w:tc>
        <w:tc>
          <w:tcPr>
            <w:tcW w:type="dxa" w:w="1884"/>
            <w:vAlign w:val="center"/>
            <w:tcMar>
              <w:top w:w="50" w:type="dxa"/>
              <w:bottom w:w="50" w:type="dxa"/>
              <w:left w:w="80" w:type="dxa"/>
              <w:right w:w="80" w:type="dxa"/>
            </w:tcMar>
          </w:tcPr>
          <w:p>
            <w:pPr>
              <w:spacing w:after="0" w:line="264" w:lineRule="auto"/>
              <w:ind w:firstLine="0"/>
              <w:jc w:val="left"/>
            </w:pPr>
            <w:r>
              <w:rPr>
                <w:b w:val="0"/>
                <w:sz w:val="19"/>
              </w:rPr>
              <w:t>responsible</w:t>
            </w:r>
          </w:p>
        </w:tc>
      </w:tr>
    </w:tbl>
    <w:p>
      <w:pPr>
        <w:spacing w:after="60" w:line="274" w:lineRule="auto"/>
      </w:pPr>
      <w:r>
        <w:t xml:space="preserve">该例采用固定正则分词规则 \w+|[^\w\s]。两行的token外包字符区间均为[858,915)，第一行经 </w:t>
      </w:r>
      <m:oMath>
        <m:r>
          <m:t xml:space="preserve">8</m:t>
        </m:r>
        <m:r>
          <m:t xml:space="preserve">5</m:t>
        </m:r>
        <m:r>
          <m:t xml:space="preserve">8</m:t>
        </m:r>
        <m:r>
          <m:t xml:space="preserve">+</m:t>
        </m:r>
        <m:r>
          <m:t xml:space="preserve">0</m:t>
        </m:r>
      </m:oMath>
      <w:r>
        <w:t xml:space="preserve"> 与 </w:t>
      </w:r>
      <m:oMath>
        <m:r>
          <m:t xml:space="preserve">9</m:t>
        </m:r>
        <m:r>
          <m:t xml:space="preserve">1</m:t>
        </m:r>
        <m:r>
          <m:t xml:space="preserve">5</m:t>
        </m:r>
        <m:r>
          <m:t xml:space="preserve">-</m:t>
        </m:r>
        <m:r>
          <m:t xml:space="preserve">1</m:t>
        </m:r>
      </m:oMath>
      <w:r>
        <w:t xml:space="preserve"> 恢复为[858,914)，第二行则恢复为[858,915)。两行的文档、token范围和类型相同，但规范组件键中的结束字符不同，所以不会被合并。字符残差负责保存信息，并不用于推测或修正原生标注。</w:t>
      </w:r>
    </w:p>
    <w:p>
      <w:pPr>
        <w:spacing w:after="60" w:line="274" w:lineRule="auto"/>
      </w:pPr>
      <w:r>
        <w:t xml:space="preserve">组件的规范键由式</w:t>
      </w:r>
      <w:fldSimple w:instr=" REF Equation_2_1 \h ">
        <w:r>
          <w:t>（2-1）</w:t>
        </w:r>
      </w:fldSimple>
      <w:r>
        <w:t xml:space="preserve">的四个字段共同确定。关系键进一步包含完整端点和关系标签；多前提关系键包含规范排序后的完整源组件键集合。候选去重、评分缓存、修改记录和严格匹配均使用这一身份。T3、T4等显示编号只用于文档内部引用，重新编号不会产生新对象，也不计为一次编辑。</w:t>
      </w:r>
    </w:p>
    <w:p>
      <w:pPr>
        <w:spacing w:after="60" w:line="274" w:lineRule="auto"/>
      </w:pPr>
      <w:r>
        <w:t>组件边界或类型改变后，规范键随之变化，与该组件相连的关系也必须依据新端点重新判断。即使关系显示编号未变，也不能直接沿用旧关系的身份或评分。序列化采用统一的sources字段表示源集合，并保留AAEC stance属性；缺失端点作为异常处理，不通过补造组件或关系恢复。</w:t>
      </w:r>
    </w:p>
    <w:p>
      <w:pPr>
        <w:spacing w:after="60" w:line="274" w:lineRule="auto"/>
      </w:pPr>
      <w:r>
        <w:t xml:space="preserve">原文与增强视图属于不同文本版本。第三章的对应映射 </w:t>
      </w:r>
      <m:oMath>
        <m:r>
          <m:t xml:space="preserve">φ</m:t>
        </m:r>
      </m:oMath>
      <w:r>
        <w:t xml:space="preserve"> 连接两个版本中的组件，用于描述槽位回填后的标注对应，不表示两侧字符键相等。改写引起字符长度变化时，所有受影响组件的位置都需要更新；哪些组件或关系可以参与学习，再由相应审核状态决定。</w:t>
      </w:r>
    </w:p>
    <w:p>
      <w:pPr>
        <w:spacing w:after="60" w:line="274" w:lineRule="auto"/>
      </w:pPr>
      <w:r>
        <w:t>结构化预测需要区分对象的定义、可搜索范围、实际输出及其评价。表2-3将后续使用的五个层次放在同一框架下，避免把“存在候选”“评分较高”和“预测正确”混为一谈。</w:t>
      </w:r>
    </w:p>
    <w:p>
      <w:pPr>
        <w:pStyle w:val="Caption"/>
        <w:keepNext/>
        <w:spacing w:before="80" w:after="60" w:line="274" w:lineRule="auto"/>
        <w:ind w:firstLine="0"/>
        <w:jc w:val="center"/>
      </w:pPr>
      <w:r>
        <w:rPr>
          <w:rFonts w:ascii="Arial Unicode MS" w:hAnsi="Arial Unicode MS" w:eastAsia="Arial Unicode MS"/>
          <w:b/>
          <w:sz w:val="19"/>
        </w:rPr>
        <w:t>表2-3 论辩结构预测的五个层次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66"/>
        <w:gridCol w:w="4124"/>
      </w:tblGrid>
      <w:tr>
        <w:trPr>
          <w:cantSplit/>
          <w:tblHeader/>
        </w:trPr>
        <w:tc>
          <w:tcPr>
            <w:tcW w:type="dxa" w:w="1757"/>
            <w:vAlign w:val="center"/>
            <w:tcMar>
              <w:top w:w="50" w:type="dxa"/>
              <w:bottom w:w="50" w:type="dxa"/>
              <w:left w:w="80" w:type="dxa"/>
              <w:right w:w="80" w:type="dxa"/>
            </w:tcMar>
            <w:shd w:fill="E7E6E6"/>
          </w:tcPr>
          <w:p>
            <w:pPr>
              <w:spacing w:after="0" w:line="264" w:lineRule="auto"/>
              <w:ind w:firstLine="0"/>
              <w:jc w:val="center"/>
            </w:pPr>
            <w:r>
              <w:rPr>
                <w:b/>
                <w:sz w:val="19"/>
              </w:rPr>
              <w:t>层次</w:t>
            </w:r>
          </w:p>
        </w:tc>
        <w:tc>
          <w:tcPr>
            <w:tcW w:type="dxa" w:w="3666"/>
            <w:vAlign w:val="center"/>
            <w:tcMar>
              <w:top w:w="50" w:type="dxa"/>
              <w:bottom w:w="50" w:type="dxa"/>
              <w:left w:w="80" w:type="dxa"/>
              <w:right w:w="80" w:type="dxa"/>
            </w:tcMar>
            <w:shd w:fill="E7E6E6"/>
          </w:tcPr>
          <w:p>
            <w:pPr>
              <w:spacing w:after="0" w:line="264" w:lineRule="auto"/>
              <w:ind w:firstLine="0"/>
              <w:jc w:val="center"/>
            </w:pPr>
            <w:r>
              <w:rPr>
                <w:b/>
                <w:sz w:val="19"/>
              </w:rPr>
              <w:t>主要内容</w:t>
            </w:r>
          </w:p>
        </w:tc>
        <w:tc>
          <w:tcPr>
            <w:tcW w:type="dxa" w:w="4124"/>
            <w:vAlign w:val="center"/>
            <w:tcMar>
              <w:top w:w="50" w:type="dxa"/>
              <w:bottom w:w="50" w:type="dxa"/>
              <w:left w:w="80" w:type="dxa"/>
              <w:right w:w="80" w:type="dxa"/>
            </w:tcMar>
            <w:shd w:fill="E7E6E6"/>
          </w:tcPr>
          <w:p>
            <w:pPr>
              <w:spacing w:after="0" w:line="264" w:lineRule="auto"/>
              <w:ind w:firstLine="0"/>
              <w:jc w:val="center"/>
            </w:pPr>
            <w:r>
              <w:rPr>
                <w:b/>
                <w:sz w:val="19"/>
              </w:rPr>
              <w:t>需要回答的问题</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对象</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按字符区间、类型和完整端点定义的组件或关系</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比较的是不是同一个对象</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候选</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有限组件集合及完整关系候选集合</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正确对象是否进入可选择范围</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预测</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模型或决策过程实际输出的合法结构</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系统最终选择了哪些对象</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评分</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对候选对象正确性的估计及其决策用途</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分数能否支持可靠选择</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指标</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与金标匹配后的TP、FP、FN及其汇总</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预测在统一任务下有多准确</w:t>
            </w:r>
          </w:p>
        </w:tc>
      </w:tr>
    </w:tbl>
    <w:p>
      <w:pPr>
        <w:spacing w:after="60" w:line="274" w:lineRule="auto"/>
      </w:pPr>
      <w:r>
        <w:t xml:space="preserve">合法结构集合记为 </w:t>
      </w:r>
      <m:oMath>
        <m:sSub>
          <m:e>
            <m:box>
              <m:e>
                <m:r>
                  <m:rPr>
                    <m:scr m:val="script"/>
                  </m:rPr>
                  <m:t xml:space="preserve">G</m:t>
                </m:r>
              </m:e>
            </m:box>
          </m:e>
          <m:sub>
            <m:box>
              <m:e>
                <m:r>
                  <m:rPr>
                    <m:scr m:val="script"/>
                  </m:rPr>
                  <m:t xml:space="preserve">A</m:t>
                </m:r>
              </m:e>
            </m:box>
          </m:sub>
        </m:sSub>
      </m:oMath>
      <w:r>
        <w:t xml:space="preserve">，其中 </w:t>
      </w:r>
      <m:oMath>
        <m:box>
          <m:e>
            <m:r>
              <m:rPr>
                <m:scr m:val="script"/>
              </m:rPr>
              <m:t xml:space="preserve">A</m:t>
            </m:r>
          </m:e>
        </m:box>
      </m:oMath>
      <w:r>
        <w:t xml:space="preserve"> 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Heading2"/>
      </w:pPr>
      <w:r>
        <w:rPr>
          <w:rFonts w:ascii="Arial Unicode MS" w:hAnsi="Arial Unicode MS" w:eastAsia="Arial Unicode MS"/>
        </w:rPr>
        <w:t>2.2 预训练语言模型与学习方法</w:t>
      </w:r>
    </w:p>
    <w:p>
      <w:pPr>
        <w:pStyle w:val="Heading3"/>
      </w:pPr>
      <w:r>
        <w:rPr>
          <w:rFonts w:ascii="Arial Unicode MS" w:hAnsi="Arial Unicode MS" w:eastAsia="Arial Unicode MS"/>
        </w:rPr>
        <w:t>2.2.1 注意力机制与自回归生成</w:t>
      </w:r>
    </w:p>
    <w:p>
      <w:pPr>
        <w:keepNext/>
        <w:spacing w:after="60" w:line="274" w:lineRule="auto"/>
      </w:pPr>
      <w:r>
        <w:t>Transformer利用注意力机制聚合不同位置的信息，是本文参考骨干的基础[30][31]。注意力将查询与键的相似程度转换为权重，再对值向量进行加权。缩放点积注意力写为</w:t>
      </w:r>
    </w:p>
    <w:p>
      <w:pPr>
        <w:keepNext w:val="0"/>
        <w:keepLines/>
        <w:tabs>
          <w:tab w:pos="5046" w:val="center"/>
          <w:tab w:pos="10091" w:val="right"/>
        </w:tabs>
        <w:spacing w:line="276" w:lineRule="auto" w:after="120" w:before="120"/>
        <w:ind w:firstLine="0" w:left="0" w:right="0"/>
        <w:jc w:val="left"/>
      </w:pPr>
      <w:r>
        <w:rPr>
          <w:sz w:val="21"/>
        </w:rPr>
        <w:tab/>
      </w:r>
      <m:oMath>
        <m:r>
          <m:rPr>
            <m:nor/>
          </m:rPr>
          <m:t xml:space="preserve">Attention</m:t>
        </m:r>
        <m:r>
          <m:t xml:space="preserve">(</m:t>
        </m:r>
        <m:r>
          <m:t xml:space="preserve">Q</m:t>
        </m:r>
        <m:r>
          <m:t xml:space="preserve">,</m:t>
        </m:r>
        <m:r>
          <m:t xml:space="preserve">K</m:t>
        </m:r>
        <m:r>
          <m:t xml:space="preserve">,</m:t>
        </m:r>
        <m:r>
          <m:t xml:space="preserve">V</m:t>
        </m:r>
        <m:r>
          <m:t xml:space="preserve">)</m:t>
        </m:r>
        <m:r>
          <m:t xml:space="preserve">=</m:t>
        </m:r>
        <m:r>
          <m:rPr>
            <m:nor/>
          </m:rPr>
          <m:t xml:space="preserve">softmax</m:t>
        </m:r>
        <m:r>
          <m:t xml:space="preserve"/>
        </m:r>
        <m:r>
          <m:t xml:space="preserve">(</m:t>
        </m:r>
        <m:f>
          <m:num>
            <m:r>
              <m:t xml:space="preserve">Q</m:t>
            </m:r>
            <m:sSup>
              <m:e>
                <m:r>
                  <m:t xml:space="preserve">K</m:t>
                </m:r>
              </m:e>
              <m:sup>
                <m:r>
                  <m:rPr>
                    <m:nor/>
                  </m:rPr>
                  <m:t xml:space="preserve">T</m:t>
                </m:r>
              </m:sup>
            </m:sSup>
          </m:num>
          <m:den>
            <m:rad>
              <m:radPr>
                <m:degHide m:val="1"/>
              </m:radPr>
              <m:deg/>
              <m:e>
                <m:sSub>
                  <m:e>
                    <m:r>
                      <m:t xml:space="preserve">d</m:t>
                    </m:r>
                  </m:e>
                  <m:sub>
                    <m:r>
                      <m:t xml:space="preserve">k</m:t>
                    </m:r>
                  </m:sub>
                </m:sSub>
              </m:e>
            </m:rad>
          </m:den>
        </m:f>
        <m:r>
          <m:t xml:space="preserve"/>
        </m:r>
        <m:r>
          <m:t xml:space="preserve">)</m:t>
        </m:r>
        <m:r>
          <m:t xml:space="preserve">V</m:t>
        </m:r>
        <m:r>
          <m:t xml:space="preserve">.</m:t>
        </m:r>
      </m:oMath>
      <w:r>
        <w:rPr>
          <w:sz w:val="21"/>
        </w:rPr>
        <w:tab/>
      </w:r>
      <w:bookmarkStart w:id="2002" w:name="Equation_2_3"/>
      <w:r>
        <w:rPr>
          <w:sz w:val="21"/>
        </w:rPr>
        <w:t>（2-</w:t>
      </w:r>
      <w:fldSimple w:instr=" SEQ Equation2 \* ARABIC ">
        <w:r>
          <w:t>3</w:t>
        </w:r>
      </w:fldSimple>
      <w:r>
        <w:rPr>
          <w:sz w:val="21"/>
        </w:rPr>
        <w:t>）</w:t>
      </w:r>
      <w:bookmarkEnd w:id="2002"/>
    </w:p>
    <w:p>
      <w:pPr>
        <w:spacing w:after="60" w:line="274" w:lineRule="auto"/>
      </w:pPr>
      <w:r>
        <w:t>其中，</w:t>
      </w:r>
      <m:oMath>
        <m:r>
          <m:t xml:space="preserve">Q</m:t>
        </m:r>
      </m:oMath>
      <w:r>
        <w:t>、</w:t>
      </w:r>
      <m:oMath>
        <m:r>
          <m:t xml:space="preserve">K</m:t>
        </m:r>
      </m:oMath>
      <w:r>
        <w:t>、</w:t>
      </w:r>
      <m:oMath>
        <m:r>
          <m:t xml:space="preserve">V</m:t>
        </m:r>
      </m:oMath>
      <w:r>
        <w:t xml:space="preserve"> 分别为查询、键和值矩阵，</w:t>
      </w:r>
      <m:oMath>
        <m:sSub>
          <m:e>
            <m:r>
              <m:t xml:space="preserve">d</m:t>
            </m:r>
          </m:e>
          <m:sub>
            <m:r>
              <m:t xml:space="preserve">k</m:t>
            </m:r>
          </m:sub>
        </m:sSub>
      </m:oMath>
      <w:r>
        <w:t xml:space="preserve"> 为键向量维度。此处的 </w:t>
      </w:r>
      <m:oMath>
        <m:r>
          <m:t xml:space="preserve">V</m:t>
        </m:r>
      </m:oMath>
      <w:r>
        <w:t xml:space="preserve"> 是注意力计算的局部符号，与第四章的组件候选集合不同。多头注意力在不同表示子空间中计算信息关联；自回归解码还限制当前位置只能使用输入和已经生成的输出，避免读取后续答案。</w:t>
      </w:r>
    </w:p>
    <w:p>
      <w:pPr>
        <w:keepNext/>
        <w:spacing w:after="60" w:line="274" w:lineRule="auto"/>
      </w:pPr>
      <w:r>
        <w:t xml:space="preserve">对于论辩挖掘，可以将组件位置、类型和关系序列化为输出序列 </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t xml:space="preserve">。给定原文 </w:t>
      </w:r>
      <m:oMath>
        <m:r>
          <m:t xml:space="preserve">x</m:t>
        </m:r>
      </m:oMath>
      <w:r>
        <w:t>，其生成概率及监督目标分别为</w:t>
      </w:r>
    </w:p>
    <w:p>
      <w:pPr>
        <w:keepNext w:val="0"/>
        <w:keepLines/>
        <w:tabs>
          <w:tab w:pos="5046" w:val="center"/>
          <w:tab w:pos="10091" w:val="right"/>
        </w:tabs>
        <w:spacing w:line="276" w:lineRule="auto" w:after="120" w:before="120"/>
        <w:ind w:firstLine="0" w:left="0" w:right="0"/>
        <w:jc w:val="left"/>
      </w:pPr>
      <w:r>
        <w:rPr>
          <w:sz w:val="21"/>
        </w:rPr>
        <w:tab/>
      </w:r>
      <m:oMath>
        <m:sSub>
          <m:e>
            <m:r>
              <m:t xml:space="preserve">P</m:t>
            </m:r>
          </m:e>
          <m:sub>
            <m:r>
              <m:t xml:space="preserve">θ</m:t>
            </m:r>
          </m:sub>
        </m:sSub>
        <m:r>
          <m:t xml:space="preserve">(</m:t>
        </m:r>
        <m:r>
          <m:t xml:space="preserve">Y</m:t>
        </m:r>
        <m:r>
          <m:t xml:space="preserve">|</m:t>
        </m:r>
        <m:r>
          <m:t xml:space="preserve">x</m:t>
        </m:r>
        <m:r>
          <m:t xml:space="preserve">)</m:t>
        </m:r>
        <m:r>
          <m:t xml:space="preserve">=</m:t>
        </m:r>
        <m:nary>
          <m:naryPr>
            <m:chr m:val="∏"/>
            <m:limLoc m:val="undOvr"/>
          </m:naryPr>
          <m:sub>
            <m:r>
              <m:t xml:space="preserve">k</m:t>
            </m:r>
            <m:r>
              <m:t xml:space="preserve">=</m:t>
            </m:r>
            <m:r>
              <m:t xml:space="preserve">1</m:t>
            </m:r>
          </m:sub>
          <m:sup>
            <m:r>
              <m:t xml:space="preserve">L</m:t>
            </m:r>
          </m:sup>
          <m:e>
            <m:sSub>
              <m:e>
                <m:r>
                  <m:t xml:space="preserve">P</m:t>
                </m:r>
              </m:e>
              <m:sub>
                <m:r>
                  <m:t xml:space="preserve">θ</m:t>
                </m:r>
              </m:sub>
            </m:sSub>
            <m:r>
              <m:t xml:space="preserve">(</m:t>
            </m:r>
            <m:sSub>
              <m:e>
                <m:r>
                  <m:t xml:space="preserve">y</m:t>
                </m:r>
              </m:e>
              <m:sub>
                <m:r>
                  <m:t xml:space="preserve">k</m:t>
                </m:r>
              </m:sub>
            </m:sSub>
            <m:r>
              <m:t xml:space="preserve">|</m:t>
            </m:r>
            <m:r>
              <m:t xml:space="preserve">x</m:t>
            </m:r>
            <m:r>
              <m:t xml:space="preserve">,</m:t>
            </m:r>
            <m:sSub>
              <m:e>
                <m:r>
                  <m:t xml:space="preserve">y</m:t>
                </m:r>
              </m:e>
              <m:sub>
                <m:r>
                  <m:t xml:space="preserve">&lt;</m:t>
                </m:r>
                <m:r>
                  <m:t xml:space="preserve">k</m:t>
                </m:r>
              </m:sub>
            </m:sSub>
            <m:r>
              <m:t xml:space="preserve">)</m:t>
            </m:r>
            <m:r>
              <m:t xml:space="preserve">,</m:t>
            </m:r>
          </m:e>
        </m:nary>
      </m:oMath>
      <w:r>
        <w:rPr>
          <w:sz w:val="21"/>
        </w:rPr>
        <w:tab/>
      </w:r>
      <w:bookmarkStart w:id="2003" w:name="Equation_2_4"/>
      <w:r>
        <w:rPr>
          <w:sz w:val="21"/>
        </w:rPr>
        <w:t>（2-</w:t>
      </w:r>
      <w:fldSimple w:instr=" SEQ Equation2 \* ARABIC ">
        <w:r>
          <w:t>4</w:t>
        </w:r>
      </w:fldSimple>
      <w:r>
        <w:rPr>
          <w:sz w:val="21"/>
        </w:rPr>
        <w:t>）</w:t>
      </w:r>
      <w:bookmarkEnd w:id="2003"/>
    </w:p>
    <w:p>
      <w:pPr>
        <w:keepNext w:val="0"/>
        <w:keepLines/>
        <w:tabs>
          <w:tab w:pos="5046" w:val="center"/>
          <w:tab w:pos="10091" w:val="right"/>
        </w:tabs>
        <w:spacing w:line="276" w:lineRule="auto" w:after="120" w:before="120"/>
        <w:ind w:firstLine="0" w:left="0" w:right="0"/>
        <w:jc w:val="left"/>
      </w:pPr>
      <w:r>
        <w:rPr>
          <w:sz w:val="21"/>
        </w:rPr>
        <w:tab/>
      </w:r>
      <m:oMath>
        <m:sSub>
          <m:e>
            <m:box>
              <m:e>
                <m:r>
                  <m:rPr>
                    <m:scr m:val="script"/>
                  </m:rPr>
                  <m:t xml:space="preserve">L</m:t>
                </m:r>
              </m:e>
            </m:box>
          </m:e>
          <m:sub>
            <m:r>
              <m:rPr>
                <m:nor/>
              </m:rPr>
              <m:t xml:space="preserve">gen</m:t>
            </m:r>
          </m:sub>
        </m:sSub>
        <m:r>
          <m:t xml:space="preserve">=</m:t>
        </m:r>
        <m:r>
          <m:t xml:space="preserve">-</m:t>
        </m:r>
        <m:nary>
          <m:naryPr>
            <m:chr m:val="∑"/>
            <m:limLoc m:val="undOvr"/>
          </m:naryPr>
          <m:sub>
            <m:r>
              <m:t xml:space="preserve">k</m:t>
            </m:r>
            <m:r>
              <m:t xml:space="preserve">=</m:t>
            </m:r>
            <m:r>
              <m:t xml:space="preserve">1</m:t>
            </m:r>
          </m:sub>
          <m:sup>
            <m:r>
              <m:t xml:space="preserve">L</m:t>
            </m:r>
          </m:sup>
          <m:e>
            <m:r>
              <m:rPr>
                <m:nor/>
              </m:rPr>
              <m:t xml:space="preserve">log</m:t>
            </m:r>
            <m:sSub>
              <m:e>
                <m:r>
                  <m:t xml:space="preserve">P</m:t>
                </m:r>
              </m:e>
              <m:sub>
                <m:r>
                  <m:t xml:space="preserve">θ</m:t>
                </m:r>
              </m:sub>
            </m:sSub>
            <m:r>
              <m:t xml:space="preserve">(</m:t>
            </m:r>
            <m:sSub>
              <m:e>
                <m:r>
                  <m:t xml:space="preserve">y</m:t>
                </m:r>
              </m:e>
              <m:sub>
                <m:r>
                  <m:t xml:space="preserve">k</m:t>
                </m:r>
              </m:sub>
            </m:sSub>
            <m:r>
              <m:t xml:space="preserve">|</m:t>
            </m:r>
            <m:r>
              <m:t xml:space="preserve">x</m:t>
            </m:r>
            <m:r>
              <m:t xml:space="preserve">,</m:t>
            </m:r>
            <m:sSub>
              <m:e>
                <m:r>
                  <m:t xml:space="preserve">y</m:t>
                </m:r>
              </m:e>
              <m:sub>
                <m:r>
                  <m:t xml:space="preserve">&lt;</m:t>
                </m:r>
                <m:r>
                  <m:t xml:space="preserve">k</m:t>
                </m:r>
              </m:sub>
            </m:sSub>
            <m:r>
              <m:t xml:space="preserve">)</m:t>
            </m:r>
            <m:r>
              <m:t xml:space="preserve">.</m:t>
            </m:r>
          </m:e>
        </m:nary>
      </m:oMath>
      <w:r>
        <w:rPr>
          <w:sz w:val="21"/>
        </w:rPr>
        <w:tab/>
      </w:r>
      <w:bookmarkStart w:id="2004" w:name="Equation_2_5"/>
      <w:r>
        <w:rPr>
          <w:sz w:val="21"/>
        </w:rPr>
        <w:t>（2-</w:t>
      </w:r>
      <w:fldSimple w:instr=" SEQ Equation2 \* ARABIC ">
        <w:r>
          <w:t>5</w:t>
        </w:r>
      </w:fldSimple>
      <w:r>
        <w:rPr>
          <w:sz w:val="21"/>
        </w:rPr>
        <w:t>）</w:t>
      </w:r>
      <w:bookmarkEnd w:id="2004"/>
    </w:p>
    <w:p>
      <w:pPr>
        <w:spacing w:after="60" w:line="274" w:lineRule="auto"/>
      </w:pPr>
      <w:r>
        <w:t>训练时利用金标前缀计算下一输出符号的损失，测试时则使用模型已经生成的前缀。生成式论辩挖掘将多个子任务组织到同一输出接口中[7]，但输出概率仍受序列长度、字段次序等因素影响。较高的序列概率不能直接替代对完整论辩对象的正确性判断。</w:t>
      </w:r>
    </w:p>
    <w:p>
      <w:pPr>
        <w:pStyle w:val="Heading3"/>
      </w:pPr>
      <w:r>
        <w:rPr>
          <w:rFonts w:ascii="Arial Unicode MS" w:hAnsi="Arial Unicode MS" w:eastAsia="Arial Unicode MS"/>
        </w:rPr>
        <w:t>2.2.2 参数高效适配与连续提示</w:t>
      </w:r>
    </w:p>
    <w:p>
      <w:pPr>
        <w:keepNext/>
        <w:spacing w:after="60" w:line="274" w:lineRule="auto"/>
      </w:pPr>
      <w:r>
        <w:t>预训练模型包含大量参数，针对具体任务更新全部权重会增加训练和存储成本。低秩适配LoRA在冻结基础权重的同时学习低秩增量[32]：</w:t>
      </w:r>
    </w:p>
    <w:p>
      <w:pPr>
        <w:keepNext w:val="0"/>
        <w:keepLines/>
        <w:tabs>
          <w:tab w:pos="5046" w:val="center"/>
          <w:tab w:pos="10091" w:val="right"/>
        </w:tabs>
        <w:spacing w:line="276" w:lineRule="auto" w:after="120" w:before="120"/>
        <w:ind w:firstLine="0" w:left="0" w:right="0"/>
        <w:jc w:val="left"/>
      </w:pPr>
      <w:r>
        <w:rPr>
          <w:sz w:val="21"/>
        </w:rPr>
        <w:tab/>
      </w: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t xml:space="preserve">    </m:t>
        </m:r>
        <m:r>
          <m:t xml:space="preserve">A</m:t>
        </m:r>
        <m:r>
          <m:t xml:space="preserve">∈</m:t>
        </m:r>
        <m:sSup>
          <m:e>
            <m:box>
              <m:e>
                <m:r>
                  <m:t xml:space="preserve">ℝ</m:t>
                </m:r>
              </m:e>
            </m:box>
          </m:e>
          <m:sup>
            <m:r>
              <m:t xml:space="preserve">r</m:t>
            </m:r>
            <m:r>
              <m:t xml:space="preserve">×</m:t>
            </m:r>
            <m:sSub>
              <m:e>
                <m:r>
                  <m:t xml:space="preserve">d</m:t>
                </m:r>
              </m:e>
              <m:sub>
                <m:r>
                  <m:rPr>
                    <m:nor/>
                  </m:rPr>
                  <m:t xml:space="preserve">in</m:t>
                </m:r>
              </m:sub>
            </m:sSub>
          </m:sup>
        </m:sSup>
        <m:r>
          <m:t xml:space="preserve">,</m:t>
        </m:r>
        <m:r>
          <m:t xml:space="preserve">  </m:t>
        </m:r>
        <m:r>
          <m:t xml:space="preserve">B</m:t>
        </m:r>
        <m:r>
          <m:t xml:space="preserve">∈</m:t>
        </m:r>
        <m:sSup>
          <m:e>
            <m:box>
              <m:e>
                <m:r>
                  <m:t xml:space="preserve">ℝ</m:t>
                </m:r>
              </m:e>
            </m:box>
          </m:e>
          <m:sup>
            <m:sSub>
              <m:e>
                <m:r>
                  <m:t xml:space="preserve">d</m:t>
                </m:r>
              </m:e>
              <m:sub>
                <m:r>
                  <m:rPr>
                    <m:nor/>
                  </m:rPr>
                  <m:t xml:space="preserve">out</m:t>
                </m:r>
              </m:sub>
            </m:sSub>
            <m:r>
              <m:t xml:space="preserve">×</m:t>
            </m:r>
            <m:r>
              <m:t xml:space="preserve">r</m:t>
            </m:r>
          </m:sup>
        </m:sSup>
        <m:r>
          <m:t xml:space="preserve">.</m:t>
        </m:r>
      </m:oMath>
      <w:r>
        <w:rPr>
          <w:sz w:val="21"/>
        </w:rPr>
        <w:tab/>
      </w:r>
      <w:bookmarkStart w:id="2005" w:name="Equation_2_6"/>
      <w:r>
        <w:rPr>
          <w:sz w:val="21"/>
        </w:rPr>
        <w:t>（2-</w:t>
      </w:r>
      <w:fldSimple w:instr=" SEQ Equation2 \* ARABIC ">
        <w:r>
          <w:t>6</w:t>
        </w:r>
      </w:fldSimple>
      <w:r>
        <w:rPr>
          <w:sz w:val="21"/>
        </w:rPr>
        <w:t>）</w:t>
      </w:r>
      <w:bookmarkEnd w:id="2005"/>
    </w:p>
    <w:p>
      <w:pPr>
        <w:spacing w:after="60" w:line="274" w:lineRule="auto"/>
      </w:pPr>
      <w:r>
        <w:t>其中，</w:t>
      </w:r>
      <m:oMath>
        <m:r>
          <m:t xml:space="preserve">r</m:t>
        </m:r>
      </m:oMath>
      <w:r>
        <w:t xml:space="preserve"> 为低秩维度，</w:t>
      </w:r>
      <m:oMath>
        <m:r>
          <m:t xml:space="preserve">α</m:t>
        </m:r>
      </m:oMath>
      <w:r>
        <w:t xml:space="preserve"> 为缩放系数。训练主要更新增量矩阵，而保留基础权重 </w:t>
      </w:r>
      <m:oMath>
        <m:sSub>
          <m:e>
            <m:r>
              <m:t xml:space="preserve">W</m:t>
            </m:r>
          </m:e>
          <m:sub>
            <m:r>
              <m:t xml:space="preserve">0</m:t>
            </m:r>
          </m:sub>
        </m:sSub>
      </m:oMath>
      <w:r>
        <w:t>。连续提示则通过可学习的提示向量表达任务条件，是另一种参数高效适配方式[33]。二者分别从权重更新和输入条件入手，可为下游任务提供可训练接口。</w:t>
      </w:r>
    </w:p>
    <w:p>
      <w:pPr>
        <w:spacing w:after="60" w:line="274" w:lineRule="auto"/>
      </w:pPr>
      <w:r>
        <w:t>本文沿用Qwen2.5-7B-Instruct作为参考骨干，并继承MCR-BR中的结论专项适配、线索提示及相关监督基础[31][34]。这些机制构成后续研究的已有条件；本文的新增内容集中于增强监督的可靠对应和预测修改的依赖处理。具体参数在本章补充配置表中统一列出。</w:t>
      </w:r>
    </w:p>
    <w:p>
      <w:pPr>
        <w:pStyle w:val="Heading3"/>
      </w:pPr>
      <w:r>
        <w:rPr>
          <w:rFonts w:ascii="Arial Unicode MS" w:hAnsi="Arial Unicode MS" w:eastAsia="Arial Unicode MS"/>
        </w:rPr>
        <w:t>2.2.3 数据增强与因素一致性学习</w:t>
      </w:r>
    </w:p>
    <w:p>
      <w:pPr>
        <w:spacing w:after="60" w:line="274" w:lineRule="auto"/>
      </w:pPr>
      <w:r>
        <w:t>数据增强通过改变输入表达扩充可学习样本。语言模型能够生成与原文相关的改写，但生成文本可用并不意味着原有标注能够全部沿用[15][35]。对于论辩挖掘，增强样本包含组件位置、类型和关系等多类监督，局部语义变化可能只影响其中一部分。因而需要把“文本是否通顺”和“某项监督是否保持”分别判断。</w:t>
      </w:r>
    </w:p>
    <w:p>
      <w:pPr>
        <w:keepNext/>
        <w:spacing w:after="60" w:line="274" w:lineRule="auto"/>
      </w:pPr>
      <w:r>
        <w:t xml:space="preserve">一致性学习用于约束不同视图下可对应预测的分布。以同一因素的两个类别分布 </w:t>
      </w:r>
      <m:oMath>
        <m:r>
          <m:t xml:space="preserve">p</m:t>
        </m:r>
      </m:oMath>
      <w:r>
        <w:t>、</w:t>
      </w:r>
      <m:oMath>
        <m:r>
          <m:t xml:space="preserve">q</m:t>
        </m:r>
      </m:oMath>
      <w:r>
        <w:t xml:space="preserve"> 为例，令 </w:t>
      </w:r>
      <m:oMath>
        <m:r>
          <m:t xml:space="preserve">m</m:t>
        </m:r>
        <m:r>
          <m:t xml:space="preserve">=</m:t>
        </m:r>
        <m:r>
          <m:t xml:space="preserve">(</m:t>
        </m:r>
        <m:r>
          <m:t xml:space="preserve">p</m:t>
        </m:r>
        <m:r>
          <m:t xml:space="preserve">+</m:t>
        </m:r>
        <m:r>
          <m:t xml:space="preserve">q</m:t>
        </m:r>
        <m:r>
          <m:t xml:space="preserve">)</m:t>
        </m:r>
        <m:r>
          <m:t xml:space="preserve">/</m:t>
        </m:r>
        <m:r>
          <m:t xml:space="preserve">2</m:t>
        </m:r>
      </m:oMath>
      <w:r>
        <w:t>，Jensen–Shannon散度定义为</w:t>
      </w:r>
    </w:p>
    <w:p>
      <w:pPr>
        <w:keepNext w:val="0"/>
        <w:keepLines/>
        <w:tabs>
          <w:tab w:pos="5046" w:val="center"/>
          <w:tab w:pos="10091" w:val="right"/>
        </w:tabs>
        <w:spacing w:line="276" w:lineRule="auto" w:after="120" w:before="120"/>
        <w:ind w:firstLine="0" w:left="0" w:right="0"/>
        <w:jc w:val="left"/>
      </w:pPr>
      <w:r>
        <w:rPr>
          <w:sz w:val="21"/>
        </w:rPr>
        <w:tab/>
      </w:r>
      <m:oMath>
        <m:r>
          <m:rPr>
            <m:nor/>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nor/>
          </m:rPr>
          <m:t xml:space="preserve">KL</m:t>
        </m:r>
        <m:r>
          <m:t xml:space="preserve">(</m:t>
        </m:r>
        <m:r>
          <m:t xml:space="preserve">p</m:t>
        </m:r>
        <m:r>
          <m:t xml:space="preserve">‖</m:t>
        </m:r>
        <m:r>
          <m:t xml:space="preserve">m</m:t>
        </m:r>
        <m:r>
          <m:t xml:space="preserve">)</m:t>
        </m:r>
        <m:r>
          <m:t xml:space="preserve">+</m:t>
        </m:r>
        <m:f>
          <m:num>
            <m:r>
              <m:t xml:space="preserve">1</m:t>
            </m:r>
          </m:num>
          <m:den>
            <m:r>
              <m:t xml:space="preserve">2</m:t>
            </m:r>
          </m:den>
        </m:f>
        <m:r>
          <m:rPr>
            <m:nor/>
          </m:rPr>
          <m:t xml:space="preserve">KL</m:t>
        </m:r>
        <m:r>
          <m:t xml:space="preserve">(</m:t>
        </m:r>
        <m:r>
          <m:t xml:space="preserve">q</m:t>
        </m:r>
        <m:r>
          <m:t xml:space="preserve">‖</m:t>
        </m:r>
        <m:r>
          <m:t xml:space="preserve">m</m:t>
        </m:r>
        <m:r>
          <m:t xml:space="preserve">)</m:t>
        </m:r>
        <m:r>
          <m:t xml:space="preserve">,</m:t>
        </m:r>
        <m:r>
          <m:t xml:space="preserve">    </m:t>
        </m:r>
        <m:r>
          <m:t xml:space="preserve">m</m:t>
        </m:r>
        <m:r>
          <m:t xml:space="preserve">=</m:t>
        </m:r>
        <m:f>
          <m:num>
            <m:r>
              <m:t xml:space="preserve">p</m:t>
            </m:r>
            <m:r>
              <m:t xml:space="preserve">+</m:t>
            </m:r>
            <m:r>
              <m:t xml:space="preserve">q</m:t>
            </m:r>
          </m:num>
          <m:den>
            <m:r>
              <m:t xml:space="preserve">2</m:t>
            </m:r>
          </m:den>
        </m:f>
        <m:r>
          <m:t xml:space="preserve">.</m:t>
        </m:r>
      </m:oMath>
      <w:r>
        <w:rPr>
          <w:sz w:val="21"/>
        </w:rPr>
        <w:tab/>
      </w:r>
      <w:bookmarkStart w:id="2006" w:name="Equation_2_7"/>
      <w:r>
        <w:rPr>
          <w:sz w:val="21"/>
        </w:rPr>
        <w:t>（2-</w:t>
      </w:r>
      <w:fldSimple w:instr=" SEQ Equation2 \* ARABIC ">
        <w:r>
          <w:t>7</w:t>
        </w:r>
      </w:fldSimple>
      <w:r>
        <w:rPr>
          <w:sz w:val="21"/>
        </w:rPr>
        <w:t>）</w:t>
      </w:r>
      <w:bookmarkEnd w:id="2006"/>
    </w:p>
    <w:p>
      <w:pPr>
        <w:spacing w:after="60" w:line="274" w:lineRule="auto"/>
      </w:pPr>
      <w:r>
        <w:t xml:space="preserve">其中，KL散度衡量两个分布的差异，式</w:t>
      </w:r>
      <w:fldSimple w:instr=" REF Equation_2_7 \h ">
        <w:r>
          <w:t>（2-7）</w:t>
        </w:r>
      </w:fldSimple>
      <w:r>
        <w:t xml:space="preserve">对两侧分布对称。将这一量加入学习目标，可以鼓励原文与改写在可靠对应因素上产生接近的判断。未确认的关系标签应从相应监督和一致性项中屏蔽，不能直接改标为NONE。</w:t>
      </w:r>
    </w:p>
    <w:p>
      <w:pPr>
        <w:spacing w:after="60" w:line="274" w:lineRule="auto"/>
      </w:pPr>
      <w: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Heading2"/>
      </w:pPr>
      <w:r>
        <w:rPr>
          <w:rFonts w:ascii="Arial Unicode MS" w:hAnsi="Arial Unicode MS" w:eastAsia="Arial Unicode MS"/>
        </w:rPr>
        <w:t>2.3 候选评分与结构化决策</w:t>
      </w:r>
    </w:p>
    <w:p>
      <w:pPr>
        <w:keepNext/>
        <w:spacing w:after="60" w:line="274" w:lineRule="auto"/>
      </w:pPr>
      <w:r>
        <w:t xml:space="preserve">一次生成可能遗漏组件或产生错误关系，多候选方法通过形成若干备选结构增加可选择范围。设完整图候选集合为 </w:t>
      </w:r>
      <m:oMath>
        <m:box>
          <m:e>
            <m:r>
              <m:rPr>
                <m:scr m:val="script"/>
              </m:rPr>
              <m:t xml:space="preserve">S</m:t>
            </m:r>
          </m:e>
        </m:box>
      </m:oMath>
      <w:r>
        <w:t xml:space="preserve">，重排序函数为 </w:t>
      </w:r>
      <m:oMath>
        <m:sSub>
          <m:e>
            <m:r>
              <m:t xml:space="preserve">E</m:t>
            </m:r>
          </m:e>
          <m:sub>
            <m:r>
              <m:rPr>
                <m:nor/>
              </m:rPr>
              <m:t xml:space="preserve">rank</m:t>
            </m:r>
          </m:sub>
        </m:sSub>
      </m:oMath>
      <w:r>
        <w:t>，则初始图按以下过程确定：</w:t>
      </w:r>
    </w:p>
    <w:p>
      <w:pPr>
        <w:keepNext w:val="0"/>
        <w:keepLines/>
        <w:tabs>
          <w:tab w:pos="5046" w:val="center"/>
          <w:tab w:pos="10091" w:val="right"/>
        </w:tabs>
        <w:spacing w:line="276" w:lineRule="auto" w:after="120" w:before="120"/>
        <w:ind w:firstLine="0" w:left="0" w:right="0"/>
        <w:jc w:val="left"/>
      </w:pPr>
      <w:r>
        <w:rPr>
          <w:sz w:val="21"/>
        </w:rPr>
        <w:tab/>
      </w:r>
      <m:oMath>
        <m:sSub>
          <m:e>
            <m:r>
              <m:t xml:space="preserve">G</m:t>
            </m:r>
          </m:e>
          <m:sub>
            <m:r>
              <m:rPr>
                <m:nor/>
              </m:rPr>
              <m:t xml:space="preserve">rank</m:t>
            </m:r>
          </m:sub>
        </m:sSub>
        <m:r>
          <m:t xml:space="preserve">=</m:t>
        </m:r>
        <m:sSub>
          <m:e>
            <m:r>
              <m:rPr>
                <m:nor/>
              </m:rPr>
              <m:t xml:space="preserve">argmax</m:t>
            </m:r>
          </m:e>
          <m:sub>
            <m:r>
              <m:t xml:space="preserve">G</m:t>
            </m:r>
            <m:r>
              <m:t xml:space="preserve">∈</m:t>
            </m:r>
            <m:box>
              <m:e>
                <m:r>
                  <m:rPr>
                    <m:scr m:val="script"/>
                  </m:rPr>
                  <m:t xml:space="preserve">S</m:t>
                </m:r>
              </m:e>
            </m:box>
          </m:sub>
        </m:sSub>
        <m:sSub>
          <m:e>
            <m:r>
              <m:t xml:space="preserve">E</m:t>
            </m:r>
          </m:e>
          <m:sub>
            <m:r>
              <m:rPr>
                <m:nor/>
              </m:rPr>
              <m:t xml:space="preserve">rank</m:t>
            </m:r>
          </m:sub>
        </m:sSub>
        <m:r>
          <m:t xml:space="preserve">(</m:t>
        </m:r>
        <m:r>
          <m:t xml:space="preserve">G</m:t>
        </m:r>
        <m:r>
          <m:t xml:space="preserve">)</m:t>
        </m:r>
        <m:r>
          <m:t xml:space="preserve">,</m:t>
        </m:r>
        <m:r>
          <m:t xml:space="preserve">    </m:t>
        </m:r>
        <m:sSub>
          <m:e>
            <m:r>
              <m:t xml:space="preserve">G</m:t>
            </m:r>
          </m:e>
          <m:sub>
            <m:r>
              <m:t xml:space="preserve">0</m:t>
            </m:r>
          </m:sub>
        </m:sSub>
        <m:r>
          <m:t xml:space="preserve">=</m:t>
        </m:r>
        <m:sSub>
          <m:e>
            <m:box>
              <m:e>
                <m:r>
                  <m:rPr>
                    <m:scr m:val="script"/>
                  </m:rPr>
                  <m:t xml:space="preserve">L</m:t>
                </m:r>
              </m:e>
            </m:box>
          </m:e>
          <m:sub>
            <m:box>
              <m:e>
                <m:r>
                  <m:rPr>
                    <m:scr m:val="script"/>
                  </m:rPr>
                  <m:t xml:space="preserve">A</m:t>
                </m:r>
              </m:e>
            </m:box>
          </m:sub>
        </m:sSub>
        <m:r>
          <m:t xml:space="preserve">(</m:t>
        </m:r>
        <m:sSub>
          <m:e>
            <m:r>
              <m:t xml:space="preserve">G</m:t>
            </m:r>
          </m:e>
          <m:sub>
            <m:r>
              <m:rPr>
                <m:nor/>
              </m:rPr>
              <m:t xml:space="preserve">rank</m:t>
            </m:r>
          </m:sub>
        </m:sSub>
        <m:r>
          <m:t xml:space="preserve">)</m:t>
        </m:r>
        <m:r>
          <m:t xml:space="preserve">.</m:t>
        </m:r>
      </m:oMath>
      <w:r>
        <w:rPr>
          <w:sz w:val="21"/>
        </w:rPr>
        <w:tab/>
      </w:r>
      <w:bookmarkStart w:id="2007" w:name="Equation_2_8"/>
      <w:r>
        <w:rPr>
          <w:sz w:val="21"/>
        </w:rPr>
        <w:t>（2-</w:t>
      </w:r>
      <w:fldSimple w:instr=" SEQ Equation2 \* ARABIC ">
        <w:r>
          <w:t>8</w:t>
        </w:r>
      </w:fldSimple>
      <w:r>
        <w:rPr>
          <w:sz w:val="21"/>
        </w:rPr>
        <w:t>）</w:t>
      </w:r>
      <w:bookmarkEnd w:id="2007"/>
    </w:p>
    <w:p>
      <w:pPr>
        <w:spacing w:after="60" w:line="274" w:lineRule="auto"/>
      </w:pPr>
      <w:r>
        <w:t>这里，</w:t>
      </w:r>
      <m:oMath>
        <m:sSub>
          <m:e>
            <m:box>
              <m:e>
                <m:r>
                  <m:rPr>
                    <m:scr m:val="script"/>
                  </m:rPr>
                  <m:t xml:space="preserve">L</m:t>
                </m:r>
              </m:e>
            </m:box>
          </m:e>
          <m:sub>
            <m:box>
              <m:e>
                <m:r>
                  <m:rPr>
                    <m:scr m:val="script"/>
                  </m:rPr>
                  <m:t xml:space="preserve">A</m:t>
                </m:r>
              </m:e>
            </m:box>
          </m:sub>
        </m:sSub>
      </m:oMath>
      <w:r>
        <w:t xml:space="preserve"> 是各方法共用的确定性合法化过程，其变更需要记录。原始重排序胜者与合法初始图可能不同；无法形成合法状态时，系统返回失败。合法化只处理已声明的表示或结构规则，不能借助测试金标选择修改。</w:t>
      </w:r>
    </w:p>
    <w:p>
      <w:pPr>
        <w:spacing w:after="60" w:line="274" w:lineRule="auto"/>
      </w:pPr>
      <w:r>
        <w:t xml:space="preserve">第四章在初始选择后固定跨度集合 </w:t>
      </w:r>
      <m:oMath>
        <m:r>
          <m:t xml:space="preserve">U</m:t>
        </m:r>
      </m:oMath>
      <w:r>
        <w:t xml:space="preserve">、带类型组件集合 </w:t>
      </w:r>
      <m:oMath>
        <m:r>
          <m:t xml:space="preserve">V</m:t>
        </m:r>
      </m:oMath>
      <w:r>
        <w:t xml:space="preserve"> 和关系候选集合 </w:t>
      </w:r>
      <m:oMath>
        <m:r>
          <m:t xml:space="preserve">P</m:t>
        </m:r>
      </m:oMath>
      <w:r>
        <w:t>，合称候选宇宙。这些有限集合共同规定修正器能够到达的范围，“完整影响域”也相对于这一范围定义。候选覆盖、评分质量和预算内搜索是三个不同环节：正确对象未进入候选时，后续求解无法将其恢复；已经进入候选，也可能因评分或搜索限制未被选择。离线Oracle分析可利用金标考察候选上界，但不能进入测试决策。</w:t>
      </w:r>
    </w:p>
    <w:p>
      <w:pPr>
        <w:spacing w:after="60" w:line="274" w:lineRule="auto"/>
      </w:pPr>
      <w: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spacing w:after="60" w:line="274" w:lineRule="auto"/>
      </w:pPr>
      <w:r>
        <w:t>概率校准检查模型置信度与经验正确率是否对应[45]。例如，在样本条件相同的情况下，一组评分接近0.8的对象是否约有80%正确，是校准关注的问题。概率质量、结构合法性和最终F1分别回答不同问题：合法图可以含有错误关系，校准较好的概率也不保证任何搜索策略都能提高F1。F1相关决策还取决于对象集合与评价条件[41][42]。</w:t>
      </w:r>
    </w:p>
    <w:p>
      <w:pPr>
        <w:spacing w:after="60" w:line="274" w:lineRule="auto"/>
      </w:pPr>
      <w: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spacing w:after="60" w:line="274" w:lineRule="auto"/>
      </w:pPr>
      <w: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F1提高。</w:t>
      </w:r>
    </w:p>
    <w:p>
      <w:pPr>
        <w:spacing w:after="60" w:line="274" w:lineRule="auto"/>
      </w:pPr>
      <w:r>
        <w:t>本文的AAEC候选协议枚举同文档不同组件的有向对并禁止自环，不额外以跨段或组件类型配对作硬过滤。CDCP候选源取所选组件按原文位置排序后的连续非空区间，目标不能属于源集合。NONE表示已定义槽位中没有相应关系的候选状态，不作为输出的论辩关系。该状态与第三章“未经确认的标签”有不同含义。</w:t>
      </w:r>
    </w:p>
    <w:p>
      <w:pPr>
        <w:spacing w:after="60" w:line="274" w:lineRule="auto"/>
      </w:pPr>
      <w: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spacing w:after="60" w:line="274" w:lineRule="auto"/>
      </w:pPr>
      <w: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Heading2"/>
      </w:pPr>
      <w:r>
        <w:rPr>
          <w:rFonts w:ascii="Arial Unicode MS" w:hAnsi="Arial Unicode MS" w:eastAsia="Arial Unicode MS"/>
        </w:rPr>
        <w:t>2.4 评价指标与计数原则</w:t>
      </w:r>
    </w:p>
    <w:p>
      <w:pPr>
        <w:keepNext/>
        <w:spacing w:after="60" w:line="274" w:lineRule="auto"/>
      </w:pPr>
      <w:r>
        <w:t>评价分别对组件和完整关系计算真正例TP、假正例FP与假负例FN。精确率、召回率和F1定义为</w:t>
      </w:r>
    </w:p>
    <w:p>
      <w:pPr>
        <w:keepNext w:val="0"/>
        <w:keepLines/>
        <w:tabs>
          <w:tab w:pos="5046" w:val="center"/>
          <w:tab w:pos="10091" w:val="right"/>
        </w:tabs>
        <w:spacing w:line="276" w:lineRule="auto" w:after="120" w:before="120"/>
        <w:ind w:firstLine="0" w:left="0" w:right="0"/>
        <w:jc w:val="left"/>
      </w:pPr>
      <w:r>
        <w:rPr>
          <w:sz w:val="21"/>
        </w:rPr>
        <w:tab/>
      </w:r>
      <m:oMath>
        <m:r>
          <m:rPr>
            <m:nor/>
          </m:rPr>
          <m:t xml:space="preserve">Precision</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t xml:space="preserve">  </m:t>
        </m:r>
        <m:r>
          <m:rPr>
            <m:nor/>
          </m:rPr>
          <m:t xml:space="preserve">Recall</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sz w:val="21"/>
        </w:rPr>
        <w:tab/>
      </w:r>
      <w:bookmarkStart w:id="2008" w:name="Equation_2_9"/>
      <w:r>
        <w:rPr>
          <w:sz w:val="21"/>
        </w:rPr>
        <w:t>（2-</w:t>
      </w:r>
      <w:fldSimple w:instr=" SEQ Equation2 \* ARABIC ">
        <w:r>
          <w:t>9</w:t>
        </w:r>
      </w:fldSimple>
      <w:r>
        <w:rPr>
          <w:sz w:val="21"/>
        </w:rPr>
        <w:t>）</w:t>
      </w:r>
      <w:bookmarkEnd w:id="2008"/>
    </w:p>
    <w:p>
      <w:pPr>
        <w:spacing w:after="60" w:line="274" w:lineRule="auto"/>
      </w:pPr>
      <w:r>
        <w:t>组件匹配要求同一文档中的字符区间和原生类型完全一致。关系匹配进一步要求完整源集合、目标、方向和标签一致。CDCP以完整多前提关系计数，不以展开后的二元边替代。边界F1、给定金标组件的关系分类等指标可以辅助定位误差，但不能替代端到端严格关系F1。</w:t>
      </w:r>
    </w:p>
    <w:p>
      <w:pPr>
        <w:spacing w:after="60" w:line="274" w:lineRule="auto"/>
      </w:pPr>
      <w:r>
        <w:t xml:space="preserve">micro-F1先汇总对象计数，再代入式</w:t>
      </w:r>
      <w:fldSimple w:instr=" REF Equation_2_9 \h ">
        <w:r>
          <w:t>（2-9）</w:t>
        </w:r>
      </w:fldSimple>
      <w:r>
        <w:t xml:space="preserve">；它与逐文档F1或各类别F1的平均值不同。本文分数采用百分制，方法间差值用百分点表示。域内细粒度Relation-F1与历史跨域无标签Link-F1分别命名，避免将不同评价对象的数值直接求差。</w:t>
      </w:r>
    </w:p>
    <w:p>
      <w:pPr>
        <w:spacing w:after="60" w:line="274" w:lineRule="auto"/>
      </w:pPr>
      <w:r>
        <w:t>每个预测对象最多匹配一次金标，多余重复项计入FP。若统一预处理已经去重，应同时报告原始重复率，并对所有方法使用相同规则。解析失败、超长失败或图验证失败的文档保留在评价集合中，按空预测处理，其金标对象计入FN，失败率另行报告。文档标识缺失或重复属于记录错误，不能作为可忽略样本跳过；分母为零时按预先规定记为0，并保留整数计数。</w:t>
      </w:r>
    </w:p>
    <w:p>
      <w:pPr>
        <w:spacing w:after="60" w:line="274" w:lineRule="auto"/>
      </w:pPr>
      <w:r>
        <w:t>所有结果通过语料、文档标识、训练种子和方法标识关联。跨章重复使用同一配置时，应引用同一份逐文档记录，避免训练主表、推理主表和两阶段四格分别生成不一致的计数。最终图的净变化与修正过程中逐次接受或拒绝的记录分别保存，前者不能代替后者解释过程风险。</w:t>
      </w:r>
    </w:p>
    <w:p>
      <w:pPr>
        <w:spacing w:after="60" w:line="274" w:lineRule="auto"/>
      </w:pPr>
      <w:r>
        <w:t>继承配置T0/I0在共同协议下重新评价，其增量作为后续主要比较的基准。原MCR-BR协议的复现核查用于检查继承实现，与本章原生严格评价分开报告，数值保留在补充表S2-1。CPU-BIO-SGD案例只承担诊断说明，不作为T0或外部系统结果。</w:t>
      </w:r>
    </w:p>
    <w:p>
      <w:pPr>
        <w:pStyle w:val="Heading2"/>
      </w:pPr>
      <w:r>
        <w:rPr>
          <w:rFonts w:ascii="Arial Unicode MS" w:hAnsi="Arial Unicode MS" w:eastAsia="Arial Unicode MS"/>
        </w:rPr>
        <w:t>2.5 公共实验条件与统计分析</w:t>
      </w:r>
    </w:p>
    <w:p>
      <w:pPr>
        <w:spacing w:after="60" w:line="274" w:lineRule="auto"/>
      </w:pPr>
      <w:r>
        <w:t>AAEC采用发布的train-test-split.csv，CDCP采用原始数据包的train/test目录。重复文档仅在训练侧按全文哈希处理，测试文档全部保留。数据规模沿用本稿固定快照，如表2-4所示。</w:t>
      </w:r>
    </w:p>
    <w:p>
      <w:pPr>
        <w:pStyle w:val="Caption"/>
        <w:keepNext/>
        <w:spacing w:before="80" w:after="60" w:line="274" w:lineRule="auto"/>
        <w:ind w:firstLine="0"/>
        <w:jc w:val="center"/>
      </w:pPr>
      <w:r>
        <w:rPr>
          <w:rFonts w:ascii="Arial Unicode MS" w:hAnsi="Arial Unicode MS" w:eastAsia="Arial Unicode MS"/>
          <w:b/>
          <w:sz w:val="19"/>
        </w:rPr>
        <w:t>表2-4 数据规模与官方划分</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1067"/>
        <w:gridCol w:w="1220"/>
        <w:gridCol w:w="1220"/>
        <w:gridCol w:w="1201"/>
        <w:gridCol w:w="1353"/>
        <w:gridCol w:w="1220"/>
        <w:gridCol w:w="1086"/>
      </w:tblGrid>
      <w:tr>
        <w:trPr>
          <w:cantSplit/>
          <w:tblHeader/>
        </w:trPr>
        <w:tc>
          <w:tcPr>
            <w:tcW w:type="dxa" w:w="1181"/>
            <w:vAlign w:val="center"/>
            <w:tcMar>
              <w:top w:w="50" w:type="dxa"/>
              <w:bottom w:w="50" w:type="dxa"/>
              <w:left w:w="80" w:type="dxa"/>
              <w:right w:w="80" w:type="dxa"/>
            </w:tcMar>
            <w:shd w:fill="E7E6E6"/>
          </w:tcPr>
          <w:p>
            <w:pPr>
              <w:spacing w:after="0" w:line="264" w:lineRule="auto"/>
              <w:ind w:firstLine="0"/>
              <w:jc w:val="center"/>
            </w:pPr>
            <w:r>
              <w:rPr>
                <w:b/>
                <w:sz w:val="18"/>
              </w:rPr>
              <w:t>语料</w:t>
            </w:r>
          </w:p>
        </w:tc>
        <w:tc>
          <w:tcPr>
            <w:tcW w:type="dxa" w:w="1067"/>
            <w:vAlign w:val="center"/>
            <w:tcMar>
              <w:top w:w="50" w:type="dxa"/>
              <w:bottom w:w="50" w:type="dxa"/>
              <w:left w:w="80" w:type="dxa"/>
              <w:right w:w="80" w:type="dxa"/>
            </w:tcMar>
            <w:shd w:fill="E7E6E6"/>
          </w:tcPr>
          <w:p>
            <w:pPr>
              <w:spacing w:after="0" w:line="264" w:lineRule="auto"/>
              <w:ind w:firstLine="0"/>
              <w:jc w:val="center"/>
            </w:pPr>
            <w:r>
              <w:rPr>
                <w:b/>
                <w:sz w:val="18"/>
              </w:rPr>
              <w:t>划分</w:t>
            </w:r>
          </w:p>
        </w:tc>
        <w:tc>
          <w:tcPr>
            <w:tcW w:type="dxa" w:w="1220"/>
            <w:vAlign w:val="center"/>
            <w:tcMar>
              <w:top w:w="50" w:type="dxa"/>
              <w:bottom w:w="50" w:type="dxa"/>
              <w:left w:w="80" w:type="dxa"/>
              <w:right w:w="80" w:type="dxa"/>
            </w:tcMar>
            <w:shd w:fill="E7E6E6"/>
          </w:tcPr>
          <w:p>
            <w:pPr>
              <w:spacing w:after="0" w:line="264" w:lineRule="auto"/>
              <w:ind w:firstLine="0"/>
              <w:jc w:val="center"/>
            </w:pPr>
            <w:r>
              <w:rPr>
                <w:b/>
                <w:sz w:val="18"/>
              </w:rPr>
              <w:t>原始文档</w:t>
            </w:r>
          </w:p>
        </w:tc>
        <w:tc>
          <w:tcPr>
            <w:tcW w:type="dxa" w:w="1220"/>
            <w:vAlign w:val="center"/>
            <w:tcMar>
              <w:top w:w="50" w:type="dxa"/>
              <w:bottom w:w="50" w:type="dxa"/>
              <w:left w:w="80" w:type="dxa"/>
              <w:right w:w="80" w:type="dxa"/>
            </w:tcMar>
            <w:shd w:fill="E7E6E6"/>
          </w:tcPr>
          <w:p>
            <w:pPr>
              <w:spacing w:after="0" w:line="264" w:lineRule="auto"/>
              <w:ind w:firstLine="0"/>
              <w:jc w:val="center"/>
            </w:pPr>
            <w:r>
              <w:rPr>
                <w:b/>
                <w:sz w:val="18"/>
              </w:rPr>
              <w:t>保留文档</w:t>
            </w:r>
          </w:p>
        </w:tc>
        <w:tc>
          <w:tcPr>
            <w:tcW w:type="dxa" w:w="1201"/>
            <w:vAlign w:val="center"/>
            <w:tcMar>
              <w:top w:w="50" w:type="dxa"/>
              <w:bottom w:w="50" w:type="dxa"/>
              <w:left w:w="80" w:type="dxa"/>
              <w:right w:w="80" w:type="dxa"/>
            </w:tcMar>
            <w:shd w:fill="E7E6E6"/>
          </w:tcPr>
          <w:p>
            <w:pPr>
              <w:spacing w:after="0" w:line="264" w:lineRule="auto"/>
              <w:ind w:firstLine="0"/>
              <w:jc w:val="center"/>
            </w:pPr>
            <w:r>
              <w:rPr>
                <w:b/>
                <w:sz w:val="18"/>
              </w:rPr>
              <w:t>组件</w:t>
            </w:r>
          </w:p>
        </w:tc>
        <w:tc>
          <w:tcPr>
            <w:tcW w:type="dxa" w:w="1353"/>
            <w:vAlign w:val="center"/>
            <w:tcMar>
              <w:top w:w="50" w:type="dxa"/>
              <w:bottom w:w="50" w:type="dxa"/>
              <w:left w:w="80" w:type="dxa"/>
              <w:right w:w="80" w:type="dxa"/>
            </w:tcMar>
            <w:shd w:fill="E7E6E6"/>
          </w:tcPr>
          <w:p>
            <w:pPr>
              <w:spacing w:after="0" w:line="264" w:lineRule="auto"/>
              <w:ind w:firstLine="0"/>
              <w:jc w:val="center"/>
            </w:pPr>
            <w:r>
              <w:rPr>
                <w:b/>
                <w:sz w:val="18"/>
              </w:rPr>
              <w:t>完整关系</w:t>
            </w:r>
          </w:p>
        </w:tc>
        <w:tc>
          <w:tcPr>
            <w:tcW w:type="dxa" w:w="1220"/>
            <w:vAlign w:val="center"/>
            <w:tcMar>
              <w:top w:w="50" w:type="dxa"/>
              <w:bottom w:w="50" w:type="dxa"/>
              <w:left w:w="80" w:type="dxa"/>
              <w:right w:w="80" w:type="dxa"/>
            </w:tcMar>
            <w:shd w:fill="E7E6E6"/>
          </w:tcPr>
          <w:p>
            <w:pPr>
              <w:spacing w:after="0" w:line="264" w:lineRule="auto"/>
              <w:ind w:firstLine="0"/>
              <w:jc w:val="center"/>
            </w:pPr>
            <w:r>
              <w:rPr>
                <w:b/>
                <w:sz w:val="18"/>
              </w:rPr>
              <w:t>多源关系</w:t>
            </w:r>
          </w:p>
        </w:tc>
        <w:tc>
          <w:tcPr>
            <w:tcW w:type="dxa" w:w="1086"/>
            <w:vAlign w:val="center"/>
            <w:tcMar>
              <w:top w:w="50" w:type="dxa"/>
              <w:bottom w:w="50" w:type="dxa"/>
              <w:left w:w="80" w:type="dxa"/>
              <w:right w:w="80" w:type="dxa"/>
            </w:tcMar>
            <w:shd w:fill="E7E6E6"/>
          </w:tcPr>
          <w:p>
            <w:pPr>
              <w:spacing w:after="0" w:line="264" w:lineRule="auto"/>
              <w:ind w:firstLine="0"/>
              <w:jc w:val="center"/>
            </w:pPr>
            <w:r>
              <w:rPr>
                <w:b/>
                <w:sz w:val="18"/>
              </w:rPr>
              <w:t>最大源数</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AAEC</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train</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322</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319</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4793</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3006</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0</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1</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AAEC</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test</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80</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80</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1266</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809</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0</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1</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CDCP</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train</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581</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580</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3901</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969</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85</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8</w:t>
            </w:r>
          </w:p>
        </w:tc>
      </w:tr>
      <w:tr>
        <w:trPr>
          <w:cantSplit/>
        </w:trPr>
        <w:tc>
          <w:tcPr>
            <w:tcW w:type="dxa" w:w="1181"/>
            <w:vAlign w:val="center"/>
            <w:tcMar>
              <w:top w:w="50" w:type="dxa"/>
              <w:bottom w:w="50" w:type="dxa"/>
              <w:left w:w="80" w:type="dxa"/>
              <w:right w:w="80" w:type="dxa"/>
            </w:tcMar>
          </w:tcPr>
          <w:p>
            <w:pPr>
              <w:spacing w:after="0" w:line="264" w:lineRule="auto"/>
              <w:ind w:firstLine="0"/>
              <w:jc w:val="center"/>
            </w:pPr>
            <w:r>
              <w:rPr>
                <w:b w:val="0"/>
                <w:sz w:val="18"/>
              </w:rPr>
              <w:t>CDCP</w:t>
            </w:r>
          </w:p>
        </w:tc>
        <w:tc>
          <w:tcPr>
            <w:tcW w:type="dxa" w:w="1067"/>
            <w:vAlign w:val="center"/>
            <w:tcMar>
              <w:top w:w="50" w:type="dxa"/>
              <w:bottom w:w="50" w:type="dxa"/>
              <w:left w:w="80" w:type="dxa"/>
              <w:right w:w="80" w:type="dxa"/>
            </w:tcMar>
          </w:tcPr>
          <w:p>
            <w:pPr>
              <w:spacing w:after="0" w:line="264" w:lineRule="auto"/>
              <w:ind w:firstLine="0"/>
              <w:jc w:val="center"/>
            </w:pPr>
            <w:r>
              <w:rPr>
                <w:b w:val="0"/>
                <w:sz w:val="18"/>
              </w:rPr>
              <w:t>test</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150</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150</w:t>
            </w:r>
          </w:p>
        </w:tc>
        <w:tc>
          <w:tcPr>
            <w:tcW w:type="dxa" w:w="1201"/>
            <w:vAlign w:val="center"/>
            <w:tcMar>
              <w:top w:w="50" w:type="dxa"/>
              <w:bottom w:w="50" w:type="dxa"/>
              <w:left w:w="80" w:type="dxa"/>
              <w:right w:w="80" w:type="dxa"/>
            </w:tcMar>
          </w:tcPr>
          <w:p>
            <w:pPr>
              <w:spacing w:after="0" w:line="264" w:lineRule="auto"/>
              <w:ind w:firstLine="0"/>
              <w:jc w:val="center"/>
            </w:pPr>
            <w:r>
              <w:rPr>
                <w:b w:val="0"/>
                <w:sz w:val="18"/>
              </w:rPr>
              <w:t>1026</w:t>
            </w:r>
          </w:p>
        </w:tc>
        <w:tc>
          <w:tcPr>
            <w:tcW w:type="dxa" w:w="1353"/>
            <w:vAlign w:val="center"/>
            <w:tcMar>
              <w:top w:w="50" w:type="dxa"/>
              <w:bottom w:w="50" w:type="dxa"/>
              <w:left w:w="80" w:type="dxa"/>
              <w:right w:w="80" w:type="dxa"/>
            </w:tcMar>
          </w:tcPr>
          <w:p>
            <w:pPr>
              <w:spacing w:after="0" w:line="264" w:lineRule="auto"/>
              <w:ind w:firstLine="0"/>
              <w:jc w:val="center"/>
            </w:pPr>
            <w:r>
              <w:rPr>
                <w:b w:val="0"/>
                <w:sz w:val="18"/>
              </w:rPr>
              <w:t>252</w:t>
            </w:r>
          </w:p>
        </w:tc>
        <w:tc>
          <w:tcPr>
            <w:tcW w:type="dxa" w:w="1220"/>
            <w:vAlign w:val="center"/>
            <w:tcMar>
              <w:top w:w="50" w:type="dxa"/>
              <w:bottom w:w="50" w:type="dxa"/>
              <w:left w:w="80" w:type="dxa"/>
              <w:right w:w="80" w:type="dxa"/>
            </w:tcMar>
          </w:tcPr>
          <w:p>
            <w:pPr>
              <w:spacing w:after="0" w:line="264" w:lineRule="auto"/>
              <w:ind w:firstLine="0"/>
              <w:jc w:val="center"/>
            </w:pPr>
            <w:r>
              <w:rPr>
                <w:b w:val="0"/>
                <w:sz w:val="18"/>
              </w:rPr>
              <w:t>34</w:t>
            </w:r>
          </w:p>
        </w:tc>
        <w:tc>
          <w:tcPr>
            <w:tcW w:type="dxa" w:w="1086"/>
            <w:vAlign w:val="center"/>
            <w:tcMar>
              <w:top w:w="50" w:type="dxa"/>
              <w:bottom w:w="50" w:type="dxa"/>
              <w:left w:w="80" w:type="dxa"/>
              <w:right w:w="80" w:type="dxa"/>
            </w:tcMar>
          </w:tcPr>
          <w:p>
            <w:pPr>
              <w:spacing w:after="0" w:line="264" w:lineRule="auto"/>
              <w:ind w:firstLine="0"/>
              <w:jc w:val="center"/>
            </w:pPr>
            <w:r>
              <w:rPr>
                <w:b w:val="0"/>
                <w:sz w:val="18"/>
              </w:rPr>
              <w:t>10</w:t>
            </w:r>
          </w:p>
        </w:tc>
      </w:tr>
    </w:tbl>
    <w:p>
      <w:pPr>
        <w:spacing w:after="60" w:line="274" w:lineRule="auto"/>
      </w:pPr>
      <w:r>
        <w:t>训练去重、首尾空白处理和24个词中边界组件的具体记录保留在补充说明S2.2及附录A。所有坐标处理均保留到原文的映射，以2.1节的字符身份进行评价。数据异常检查用于固定协议，不用于删除难以预测的测试对象。</w:t>
      </w:r>
    </w:p>
    <w:p>
      <w:pPr>
        <w:spacing w:after="60" w:line="274" w:lineRule="auto"/>
      </w:pPr>
      <w:r>
        <w:t>三折交叉拟合按源文档分组，同源的全部增强视图与原文属于同一组。每个持出源的候选由未使用该源训练的生成器产生。评分器的拟合、校准和策略选择用途互斥：AAEC分别使用255、32和32篇，CDCP分别使用464、58和58篇。最终生成器可以使用完整训练侧数据，评分器则不将校准与策略标签并回拟合池。测试集不参与增强、校准和策略选择。</w:t>
      </w:r>
    </w:p>
    <w:p>
      <w:pPr>
        <w:spacing w:after="60" w:line="274" w:lineRule="auto"/>
      </w:pPr>
      <w:r>
        <w:t>各项比较共享骨干、训练预算、候选生成方式及严格评价程序。默认骨干为Qwen2.5-7B-Instruct，采用LoRA进行适配；训练种子为17、29和43，多候选生成使用一路贪心与两路采样。完整硬件、软件、优化器、损失系数和推理阈值分别列于补充表S2-2和S2-3，正文中的方法比较以这些固定条件为基础。</w:t>
      </w:r>
    </w:p>
    <w:p>
      <w:pPr>
        <w:pStyle w:val="Normal"/>
        <w:spacing w:after="60" w:line="274" w:lineRule="auto"/>
      </w:pPr>
      <w:r>
        <w:t>第二章补充说明S2.1—S2.5及补充表S2-1—S2-4统一收录于附录J。</w:t>
      </w:r>
    </w:p>
    <w:p>
      <w:pPr>
        <w:spacing w:after="60" w:line="274" w:lineRule="auto"/>
      </w:pPr>
      <w:r>
        <w:t>NoPair、CompPair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spacing w:after="60" w:line="274" w:lineRule="auto"/>
      </w:pPr>
      <w:r>
        <w:t>计算成本分为增强、审核、交叉拟合、评分器训练等一次性准备成本，以及逐文档的生成、提案、评分和求解成本。共享准备只计一次，拒绝、失败和超时均计入实际消耗。等预算重生成同时匹配追加模型调用和输入、输出token上限，求解CPU开销另列；相同token预算不直接等于相同端到端时延。</w:t>
      </w:r>
    </w:p>
    <w:p>
      <w:pPr>
        <w:spacing w:after="60" w:line="274" w:lineRule="auto"/>
      </w:pPr>
      <w:r>
        <w:t xml:space="preserve">在上述公共实验条件下，统计分析先对每个训练种子汇总全部测试文档的整数计数并计算micro-F1，再报告三个种子的均值与样本标准差。逐文档统计记录至少包含语料、文档标识、源文档组、种子、方法、对象族、TP、FP、FN及失败状态。不同方法必须使用同一组文档和种子，且相同任务下的金标供给 </w:t>
      </w:r>
      <m:oMath>
        <m:r>
          <m:t xml:space="preserve">T</m:t>
        </m:r>
        <m:r>
          <m:t xml:space="preserve">P</m:t>
        </m:r>
        <m:r>
          <m:t xml:space="preserve">+</m:t>
        </m:r>
        <m:r>
          <m:t xml:space="preserve">F</m:t>
        </m:r>
        <m:r>
          <m:t xml:space="preserve">N</m:t>
        </m:r>
      </m:oMath>
      <w:r>
        <w:t xml:space="preserve"> 保持一致，才能进行配对比较。</w:t>
      </w:r>
    </w:p>
    <w:p>
      <w:pPr>
        <w:spacing w:after="60" w:line="274" w:lineRule="auto"/>
      </w:pPr>
      <w:r>
        <w:t>联合重采样共执行2000次。每次有放回抽取3个种子，并独立抽取与原测试集等长的文档索引；同一次抽样对所有方法共用。若存在重复文本组，则以源文档组为单位抽取，并保留组内所有文档。每次都重新汇总TP、FP、FN，计算所抽种子的micro-F1及其平均值，形成方法差值的重采样分布。另行报告三个种子的配对差值，以及固定种子、仅重采样文档的区间，以区分不同不确定性来源。</w:t>
      </w:r>
    </w:p>
    <w:p>
      <w:pPr>
        <w:keepNext/>
        <w:spacing w:after="60" w:line="274" w:lineRule="auto"/>
      </w:pPr>
      <w:r>
        <w:t xml:space="preserve">设观测差值为 </w:t>
      </w:r>
      <m:oMath>
        <m:acc>
          <m:accPr>
            <m:chr m:val="̂"/>
          </m:accPr>
          <m:e>
            <m:r>
              <m:t xml:space="preserve">Δ</m:t>
            </m:r>
          </m:e>
        </m:acc>
      </m:oMath>
      <w:r>
        <w:t xml:space="preserve">，第 </w:t>
      </w:r>
      <m:oMath>
        <m:r>
          <m:t xml:space="preserve">b</m:t>
        </m:r>
      </m:oMath>
      <w:r>
        <w:t xml:space="preserve"> 次重采样差值为 </w:t>
      </w:r>
      <m:oMath>
        <m:sSubSup>
          <m:e>
            <m:r>
              <m:t xml:space="preserve">Δ</m:t>
            </m:r>
          </m:e>
          <m:sub>
            <m:r>
              <m:t xml:space="preserve">b</m:t>
            </m:r>
          </m:sub>
          <m:sup>
            <m:r>
              <m:t xml:space="preserve">*</m:t>
            </m:r>
          </m:sup>
        </m:sSubSup>
      </m:oMath>
      <w:r>
        <w:t xml:space="preserve">，重采样次数为 </w:t>
      </w:r>
      <m:oMath>
        <m:r>
          <m:t xml:space="preserve">B</m:t>
        </m:r>
      </m:oMath>
      <w:r>
        <w:t>。单项95%区间取重采样差值分布的2.5%和97.5%分位数。双侧检验使用中心化差值及加一修正：</w:t>
      </w:r>
    </w:p>
    <w:p>
      <w:pPr>
        <w:keepNext w:val="0"/>
        <w:keepLines/>
        <w:tabs>
          <w:tab w:pos="5046" w:val="center"/>
          <w:tab w:pos="10091" w:val="right"/>
        </w:tabs>
        <w:spacing w:line="276" w:lineRule="auto" w:after="120" w:before="120"/>
        <w:ind w:firstLine="0" w:left="0" w:right="0"/>
        <w:jc w:val="left"/>
      </w:pPr>
      <w:r>
        <w:rPr>
          <w:sz w:val="21"/>
        </w:rPr>
        <w:tab/>
      </w:r>
      <m:oMath>
        <m:r>
          <m:t xml:space="preserve">p</m:t>
        </m:r>
        <m:r>
          <m:t xml:space="preserve">=</m:t>
        </m:r>
        <m:f>
          <m:num>
            <m:r>
              <m:t xml:space="preserve">1</m:t>
            </m:r>
            <m:r>
              <m:t xml:space="preserve">+</m:t>
            </m:r>
            <m:nary>
              <m:naryPr>
                <m:chr m:val="∑"/>
                <m:limLoc m:val="undOvr"/>
              </m:naryPr>
              <m:sub>
                <m:r>
                  <m:t xml:space="preserve">b</m:t>
                </m:r>
                <m:r>
                  <m:t xml:space="preserve">=</m:t>
                </m:r>
                <m:r>
                  <m:t xml:space="preserve">1</m:t>
                </m:r>
              </m:sub>
              <m:sup>
                <m:r>
                  <m:t xml:space="preserve">B</m:t>
                </m:r>
              </m:sup>
              <m:e>
                <m:box>
                  <m:e>
                    <m:r>
                      <m:t xml:space="preserve">1</m:t>
                    </m:r>
                  </m:e>
                </m:box>
                <m:r>
                  <m:t xml:space="preserve"/>
                </m:r>
                <m:r>
                  <m:t xml:space="preserve">(</m:t>
                </m:r>
                <m:r>
                  <m:t xml:space="preserve">|</m:t>
                </m:r>
                <m:sSubSup>
                  <m:e>
                    <m:r>
                      <m:t xml:space="preserve">Δ</m:t>
                    </m:r>
                  </m:e>
                  <m:sub>
                    <m:r>
                      <m:t xml:space="preserve">b</m:t>
                    </m:r>
                  </m:sub>
                  <m:sup>
                    <m:r>
                      <m:t xml:space="preserve">*</m:t>
                    </m:r>
                  </m:sup>
                </m:sSubSup>
                <m:r>
                  <m:t xml:space="preserve">-</m:t>
                </m:r>
                <m:acc>
                  <m:accPr>
                    <m:chr m:val="̂"/>
                  </m:accPr>
                  <m:e>
                    <m:r>
                      <m:t xml:space="preserve">Δ</m:t>
                    </m:r>
                  </m:e>
                </m:acc>
                <m:r>
                  <m:t xml:space="preserve">|</m:t>
                </m:r>
                <m:r>
                  <m:t xml:space="preserve">≥</m:t>
                </m:r>
                <m:r>
                  <m:t xml:space="preserve">|</m:t>
                </m:r>
                <m:acc>
                  <m:accPr>
                    <m:chr m:val="̂"/>
                  </m:accPr>
                  <m:e>
                    <m:r>
                      <m:t xml:space="preserve">Δ</m:t>
                    </m:r>
                  </m:e>
                </m:acc>
                <m:r>
                  <m:t xml:space="preserve">|</m:t>
                </m:r>
                <m:r>
                  <m:t xml:space="preserve"/>
                </m:r>
                <m:r>
                  <m:t xml:space="preserve">)</m:t>
                </m:r>
              </m:e>
            </m:nary>
          </m:num>
          <m:den>
            <m:r>
              <m:t xml:space="preserve">B</m:t>
            </m:r>
            <m:r>
              <m:t xml:space="preserve">+</m:t>
            </m:r>
            <m:r>
              <m:t xml:space="preserve">1</m:t>
            </m:r>
          </m:den>
        </m:f>
        <m:r>
          <m:t xml:space="preserve">.</m:t>
        </m:r>
      </m:oMath>
      <w:r>
        <w:rPr>
          <w:sz w:val="21"/>
        </w:rPr>
        <w:tab/>
      </w:r>
      <w:bookmarkStart w:id="2009" w:name="Equation_2_10"/>
      <w:r>
        <w:rPr>
          <w:sz w:val="21"/>
        </w:rPr>
        <w:t>（2-</w:t>
      </w:r>
      <w:fldSimple w:instr=" SEQ Equation2 \* ARABIC ">
        <w:r>
          <w:t>10</w:t>
        </w:r>
      </w:fldSimple>
      <w:r>
        <w:rPr>
          <w:sz w:val="21"/>
        </w:rPr>
        <w:t>）</w:t>
      </w:r>
      <w:bookmarkEnd w:id="2009"/>
    </w:p>
    <w:p>
      <w:pPr>
        <w:spacing w:after="60" w:line="274" w:lineRule="auto"/>
      </w:pPr>
      <w:r>
        <w:t>原稿的主要比较族保持为7组严格关系F1比较乘以2种语料，共14项：训练配置、成对项、推理配置、组件修改范围、共同接受、等预算重生成和开发风险限制。具体方法对与其归因边界列于补充表S2-4。14项p值统一采用Holm方法调整；单项95%区间没有进行家族同时校正，因此区间不含零而校正p大于0.05可以同时出现。后续结果表应同时标明单项区间与校正p的含义。</w:t>
      </w:r>
    </w:p>
    <w:p>
      <w:pPr>
        <w:spacing w:after="60" w:line="274" w:lineRule="auto"/>
      </w:pPr>
      <w:r>
        <w:t>重采样复算需要逐文档计数、共同配对索引、随机数种子和算法实现共同绑定。仅有总体F1、三个种子的汇总值或文件名，不能恢复文档级联合分布。三个训练种子也只覆盖有限的训练随机性，相关推断应限定于当前数据与种子条件。数据构造、动作粒度、校准、交互和外部比较等分析继续标为探索性，不在观察结果后扩展主要比较族。</w:t>
      </w:r>
    </w:p>
    <w:p>
      <w:pPr>
        <w:pStyle w:val="Heading2"/>
      </w:pPr>
      <w:r>
        <w:rPr>
          <w:rFonts w:ascii="Arial Unicode MS" w:hAnsi="Arial Unicode MS" w:eastAsia="Arial Unicode MS"/>
        </w:rPr>
        <w:t>2.6 训练与推理的阶段接口</w:t>
      </w:r>
    </w:p>
    <w:p>
      <w:pPr>
        <w:spacing w:after="60" w:line="274" w:lineRule="auto"/>
      </w:pPr>
      <w:r>
        <w:t>上述理论在本文中分别服务于训练和推理两个阶段。训练阶段读取带标注的原文，构造局部改写并判断可保留的因素监督；推理阶段读取未提供金标的新文档，保持原文不变，对预测组件及关系进行选择和修正。图2-1给出两阶段的数据流。</w:t>
      </w:r>
    </w:p>
    <w:p>
      <w:pPr>
        <w:keepNext/>
        <w:ind w:firstLine="0"/>
        <w:jc w:val="center"/>
      </w:pPr>
      <w:r>
        <w:drawing>
          <wp:inline>
            <wp:extent cx="6120000" cy="3824352"/>
            <wp:docPr id="3" name="Picture 148" descr="图2-1 端到端论辩挖掘的总体模型架构；内嵌SVG矢量图，并保留PNG兼容预览。"/>
            <wp:cNvGraphicFramePr>
              <a:graphicFrameLocks noChangeAspect="1"/>
            </wp:cNvGraphicFramePr>
            <a:graphic>
              <a:graphicData uri="http://schemas.openxmlformats.org/drawingml/2006/picture">
                <pic:pic>
                  <pic:nvPicPr>
                    <pic:cNvPr id="0" name="01_总体模型架构_可编辑.png"/>
                    <pic:cNvPicPr/>
                  </pic:nvPicPr>
                  <pic:blipFill>
                    <a:blip r:embed="rId9">
                      <a:extLst>
                        <a:ext uri="{96DAC541-7B7A-43D3-8B79-37D633B846F1}">
                          <asvg:svgBlip xmlns:asvg="http://schemas.microsoft.com/office/drawing/2016/SVG/main" r:embed="rId10"/>
                        </a:ext>
                      </a:extLst>
                    </a:blip>
                    <a:stretch>
                      <a:fillRect/>
                    </a:stretch>
                  </pic:blipFill>
                  <pic:spPr>
                    <a:xfrm>
                      <a:off x="0" y="0"/>
                      <a:ext cx="6120000" cy="3824352"/>
                    </a:xfrm>
                    <a:prstGeom prst="rect"/>
                  </pic:spPr>
                </pic:pic>
              </a:graphicData>
            </a:graphic>
          </wp:inline>
        </w:drawing>
      </w:r>
    </w:p>
    <w:p>
      <w:pPr>
        <w:pStyle w:val="Caption"/>
        <w:keepNext w:val="0"/>
        <w:spacing w:before="80" w:after="60" w:line="274" w:lineRule="auto"/>
        <w:ind w:firstLine="0"/>
        <w:jc w:val="center"/>
      </w:pPr>
      <w:r>
        <w:rPr>
          <w:rFonts w:ascii="Arial Unicode MS" w:hAnsi="Arial Unicode MS" w:eastAsia="Arial Unicode MS"/>
          <w:b/>
          <w:sz w:val="19"/>
        </w:rPr>
        <w:t xml:space="preserve">图2-1 端到端论辩挖掘的总体模型架构</w:t>
      </w:r>
    </w:p>
    <w:p>
      <w:pPr>
        <w:spacing w:after="60" w:line="274" w:lineRule="auto"/>
      </w:pPr>
      <w: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spacing w:after="60" w:line="274" w:lineRule="auto"/>
      </w:pPr>
      <w:r>
        <w:t>结论专项建模、多候选生成及初始重排序沿用MCR-BR基础。第三章研究关系影响域与可靠因素学习，第四章研究组件修改后的依赖处理和接受决策，第五章再比较两阶段组合的作用。每个阶段保留自己的拒绝或失败出口，并以本章规定的完整对象身份和计数方式连接评价。</w:t>
      </w:r>
    </w:p>
    <w:p>
      <w:pPr>
        <w:pStyle w:val="Heading2"/>
      </w:pPr>
      <w:r>
        <w:rPr>
          <w:rFonts w:ascii="Arial Unicode MS" w:hAnsi="Arial Unicode MS" w:eastAsia="Arial Unicode MS"/>
        </w:rPr>
        <w:t>2.7 本章小结</w:t>
      </w:r>
    </w:p>
    <w:p>
      <w:pPr>
        <w:spacing w:after="60" w:line="274" w:lineRule="auto"/>
      </w:pPr>
      <w: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pPr>
        <w:spacing w:after="60" w:line="274" w:lineRule="auto"/>
      </w:pPr>
      <w:r>
        <w:br w:type="page"/>
      </w:r>
    </w:p>
    <w:p>
      <w:pPr>
        <w:pStyle w:val="Heading1"/>
        <w:pageBreakBefore/>
      </w:pPr>
      <w:r>
        <w:rPr>
          <w:rFonts w:ascii="Arial Unicode MS" w:hAnsi="Arial Unicode MS" w:eastAsia="Arial Unicode MS"/>
        </w:rPr>
        <w:t>第三章 关系影响域约束的增强与成对学习</w:t>
      </w:r>
    </w:p>
    <w:p>
      <w:pPr>
        <w:pStyle w:val="Heading2"/>
      </w:pPr>
      <w:r>
        <w:rPr>
          <w:rFonts w:ascii="Arial Unicode MS" w:hAnsi="Arial Unicode MS" w:eastAsia="Arial Unicode MS"/>
        </w:rPr>
        <w:t>3.1 引言</w:t>
      </w:r>
    </w:p>
    <w:p>
      <w:pPr>
        <w:spacing w:after="60" w:line="274" w:lineRule="auto"/>
      </w:pPr>
      <w:r>
        <w:t xml:space="preserve">在端到端论辩挖掘中，组件文字既承载自身的论辩角色，也为与其他组件之间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spacing w:after="60" w:line="274" w:lineRule="auto"/>
      </w:pPr>
      <w:r>
        <w:t>本章研究在组件位置变化和关系语义不确定的条件下，如何构造可追踪的增强视图，并将其中通过检查的监督用于训练。方法首先定义改写的关系影响域，在字符坐标上迁移全部组件；随后分别审核组件与关系，对变化、待定及未审核的因素设置掩码；最后在固定视图和掩码上比较无成对、组件成对与完整成对学习。</w:t>
      </w:r>
    </w:p>
    <w:p>
      <w:pPr>
        <w:pStyle w:val="Normal"/>
        <w:spacing w:after="60" w:line="274" w:lineRule="auto"/>
      </w:pPr>
      <w:r>
        <w:t>这里将同一篇原文及其改写版本称为不同“视图”；可单独决定是否参与监督的判断称为“因素”，包括一个组件的类型判断，或一组完整端点之间的关系状态判断。成对学习是在原文与改写的对应因素上比较模型输出，使通过检查的同一监督在两种表达下保持一致。</w:t>
      </w:r>
    </w:p>
    <w:p>
      <w:pPr>
        <w:spacing w:after="60" w:line="274" w:lineRule="auto"/>
      </w:pPr>
      <w:r>
        <w:t>本章依次介绍总体框架、增强构造、学习目标及算法性质，再通过受控比较讨论整套训练配置、成对目标和审核成本。需要区分两项判断：可靠因素接口明确了哪些标签参与学习；成对项是否带来独立收益，仍须由固定数据条件下的比较回答。</w:t>
      </w:r>
    </w:p>
    <w:p>
      <w:pPr>
        <w:spacing w:after="60" w:line="274" w:lineRule="auto"/>
      </w:pPr>
      <w:r>
        <w:t>本章沿用test稿件的模拟评审用途。主结果、审核统计与成本数值为原稿的模拟材料；新增的完整增强示例为明确标注的教学构造，均不能代替目标模型的真实运行证据。表3-1单独保留真实语料的原文与标注身份。</w:t>
      </w:r>
    </w:p>
    <w:p>
      <w:pPr>
        <w:pStyle w:val="Heading2"/>
      </w:pPr>
      <w:r>
        <w:rPr>
          <w:rFonts w:ascii="Arial Unicode MS" w:hAnsi="Arial Unicode MS" w:eastAsia="Arial Unicode MS"/>
        </w:rPr>
        <w:t>3.2 总体框架与基础模型</w:t>
      </w:r>
    </w:p>
    <w:p>
      <w:pPr>
        <w:spacing w:after="60" w:line="274" w:lineRule="auto"/>
      </w:pPr>
      <w:r>
        <w:t>整体框架包括增强构造与参数学习两部分。构造阶段读取训练文档和原生标注，输出新全文、全部组件的对应φ以及可靠因素掩码；学习阶段保留原文完整生成监督，并在增强侧只学习通过检查的因素。图3-2展示二者进入共享生成器后的连接。类型条件LoRA、线索提示和句子监督构成继承基础，本章新增部分是关系影响域约束、可靠监督接口及受控的成对学习目标。</w:t>
      </w:r>
    </w:p>
    <w:p>
      <w:pPr>
        <w:pStyle w:val="Normal"/>
        <w:spacing w:after="60" w:line="274" w:lineRule="auto"/>
      </w:pPr>
      <w:r>
        <w:t>因素掩码是随监督保存的0/1标记：1表示该因素参与相应的增强侧监督或对齐，0表示不参与。它不遮蔽输入文字，也不删除原始金标；组件掩码与关系掩码分别记录，具体判定见3.3.3节。</w:t>
      </w:r>
    </w:p>
    <w:p>
      <w:pPr>
        <w:pStyle w:val="Heading3"/>
      </w:pPr>
      <w:r>
        <w:rPr>
          <w:rFonts w:ascii="Arial Unicode MS" w:hAnsi="Arial Unicode MS" w:eastAsia="Arial Unicode MS"/>
        </w:rPr>
        <w:t>3.2.1 类型条件低秩适配</w:t>
      </w:r>
    </w:p>
    <w:p>
      <w:pPr>
        <w:pStyle w:val="Normal"/>
        <w:spacing w:after="60" w:line="274" w:lineRule="auto"/>
      </w:pPr>
      <w:r>
        <w:t xml:space="preserve">本节说明继承的专项建模与新增学习目标的接口。参考骨干为 Qwen2.5-7B-Instruct，冻结基础权重，在注意力投影中保留全局和结论专项低秩分支；LoRA 参数化沿用已有方法[32]。对于</w:t>
      </w:r>
      <w:r>
        <w:t xml:space="preserve"> </w:t>
      </w:r>
      <m:oMath>
        <m:sSub>
          <m:e>
            <m:r>
              <m:t>W</m:t>
            </m:r>
          </m:e>
          <m:sub>
            <m:r>
              <m:t>0</m:t>
            </m:r>
          </m:sub>
        </m:sSub>
        <m:r>
          <m:rPr>
            <m:sty m:val="p"/>
          </m:rPr>
          <m:t>∈</m:t>
        </m:r>
        <m:sSup>
          <m:e>
            <m:r>
              <m:rPr>
                <m:sty m:val="p"/>
                <m:scr m:val="double-struck"/>
              </m:rPr>
              <m:t>R</m:t>
            </m:r>
          </m:e>
          <m:sup>
            <m:sSub>
              <m:e>
                <m:r>
                  <m:t>d</m:t>
                </m:r>
              </m:e>
              <m:sub>
                <m:r>
                  <m:t>o</m:t>
                </m:r>
                <m:r>
                  <m:t>u</m:t>
                </m:r>
                <m:r>
                  <m:t>t</m:t>
                </m:r>
              </m:sub>
            </m:sSub>
            <m:r>
              <m:rPr>
                <m:sty m:val="p"/>
              </m:rPr>
              <m:t>×</m:t>
            </m:r>
            <m:sSub>
              <m:e>
                <m:r>
                  <m:t>d</m:t>
                </m:r>
              </m:e>
              <m:sub>
                <m:r>
                  <m:t>i</m:t>
                </m:r>
                <m:r>
                  <m:t>n</m:t>
                </m:r>
              </m:sub>
            </m:sSub>
          </m:sup>
        </m:sSup>
      </m:oMath>
      <w:r>
        <w:t xml:space="preserve">，定义</w:t>
      </w:r>
    </w:p>
    <w:p>
      <w:pPr>
        <w:pStyle w:val="Normal"/>
        <w:keepNext w:val="0"/>
        <w:keepLines/>
        <w:tabs>
          <w:tab w:pos="5046" w:val="center"/>
          <w:tab w:pos="10091" w:val="right"/>
        </w:tabs>
        <w:spacing w:line="276" w:lineRule="auto" w:before="120" w:after="120"/>
        <w:ind w:firstLine="0" w:left="0" w:right="0"/>
        <w:jc w:val="left"/>
      </w:pPr>
      <w:r>
        <w:rPr>
          <w:sz w:val="21"/>
        </w:rPr>
        <w:tab/>
      </w:r>
      <m:oMath>
        <m:r>
          <m:t>h</m:t>
        </m:r>
        <m:sSub>
          <m:e>
            <m:r>
              <m:rPr>
                <m:sty m:val="p"/>
              </m:rPr>
              <m:t>′</m:t>
            </m:r>
          </m:e>
          <m:sub>
            <m:r>
              <m:t>t</m:t>
            </m:r>
          </m:sub>
        </m:sSub>
        <m:r>
          <m:rPr>
            <m:sty m:val="p"/>
          </m:rPr>
          <m:t>=</m:t>
        </m:r>
        <m:sSub>
          <m:e>
            <m:r>
              <m:t>W</m:t>
            </m:r>
          </m:e>
          <m:sub>
            <m:r>
              <m:t>0</m:t>
            </m:r>
          </m:sub>
        </m:sSub>
        <m:sSub>
          <m:e>
            <m:r>
              <m:t>h</m:t>
            </m:r>
          </m:e>
          <m:sub>
            <m:r>
              <m:t>t</m:t>
            </m:r>
          </m:sub>
        </m:sSub>
        <m:r>
          <m:rPr>
            <m:sty m:val="p"/>
          </m:rPr>
          <m:t>+</m:t>
        </m:r>
        <m:f>
          <m:fPr>
            <m:type m:val="bar"/>
          </m:fPr>
          <m:num>
            <m:r>
              <m:t>α</m:t>
            </m:r>
          </m:num>
          <m:den>
            <m:r>
              <m:t>r</m:t>
            </m:r>
          </m:den>
        </m:f>
        <m:sSub>
          <m:e>
            <m:r>
              <m:t>B</m:t>
            </m:r>
          </m:e>
          <m:sub>
            <m:r>
              <m:t>g</m:t>
            </m:r>
          </m:sub>
        </m:sSub>
        <m:sSub>
          <m:e>
            <m:r>
              <m:t>A</m:t>
            </m:r>
          </m:e>
          <m:sub>
            <m:r>
              <m:t>g</m:t>
            </m:r>
          </m:sub>
        </m:sSub>
        <m:sSub>
          <m:e>
            <m:r>
              <m:t>h</m:t>
            </m:r>
          </m:e>
          <m:sub>
            <m:r>
              <m:t>t</m:t>
            </m:r>
          </m:sub>
        </m:sSub>
        <m:r>
          <m:rPr>
            <m:sty m:val="p"/>
          </m:rPr>
          <m:t>+</m:t>
        </m:r>
        <m:sSub>
          <m:e>
            <m:r>
              <m:t>g</m:t>
            </m:r>
          </m:e>
          <m:sub>
            <m:r>
              <m:t>t</m:t>
            </m:r>
          </m:sub>
        </m:sSub>
        <m:f>
          <m:fPr>
            <m:type m:val="bar"/>
          </m:fPr>
          <m:num>
            <m:r>
              <m:t>α</m:t>
            </m:r>
          </m:num>
          <m:den>
            <m:r>
              <m:t>r</m:t>
            </m:r>
          </m:den>
        </m:f>
        <m:sSub>
          <m:e>
            <m:r>
              <m:t>B</m:t>
            </m:r>
          </m:e>
          <m:sub>
            <m:r>
              <m:t>c</m:t>
            </m:r>
          </m:sub>
        </m:sSub>
        <m:sSub>
          <m:e>
            <m:r>
              <m:t>A</m:t>
            </m:r>
          </m:e>
          <m:sub>
            <m:r>
              <m:t>c</m:t>
            </m:r>
          </m:sub>
        </m:sSub>
        <m:sSub>
          <m:e>
            <m:r>
              <m:t>h</m:t>
            </m:r>
          </m:e>
          <m:sub>
            <m:r>
              <m:t>t</m:t>
            </m:r>
          </m:sub>
        </m:sSub>
        <m:r>
          <m:rPr>
            <m:sty m:val="p"/>
          </m:rPr>
          <m:t>,</m:t>
        </m:r>
        <m:r>
          <m:t>  </m:t>
        </m:r>
        <m:sSub>
          <m:e>
            <m:r>
              <m:t>A</m:t>
            </m:r>
          </m:e>
          <m:sub>
            <m:r>
              <m:rPr>
                <m:sty m:val="p"/>
              </m:rPr>
              <m:t>⋅</m:t>
            </m:r>
          </m:sub>
        </m:sSub>
        <m:r>
          <m:rPr>
            <m:sty m:val="p"/>
          </m:rPr>
          <m:t>∈</m:t>
        </m:r>
        <m:sSup>
          <m:e>
            <m:r>
              <m:rPr>
                <m:sty m:val="p"/>
                <m:scr m:val="double-struck"/>
              </m:rPr>
              <m:t>R</m:t>
            </m:r>
          </m:e>
          <m:sup>
            <m:r>
              <m:t>r</m:t>
            </m:r>
            <m:r>
              <m:rPr>
                <m:sty m:val="p"/>
              </m:rPr>
              <m:t>×</m:t>
            </m:r>
            <m:sSub>
              <m:e>
                <m:r>
                  <m:t>d</m:t>
                </m:r>
              </m:e>
              <m:sub>
                <m:r>
                  <m:t>i</m:t>
                </m:r>
                <m:r>
                  <m:t>n</m:t>
                </m:r>
              </m:sub>
            </m:sSub>
          </m:sup>
        </m:sSup>
        <m:r>
          <m:rPr>
            <m:sty m:val="p"/>
          </m:rPr>
          <m:t>,</m:t>
        </m:r>
        <m:r>
          <m:t> </m:t>
        </m:r>
        <m:sSub>
          <m:e>
            <m:r>
              <m:t>B</m:t>
            </m:r>
          </m:e>
          <m:sub>
            <m:r>
              <m:rPr>
                <m:sty m:val="p"/>
              </m:rPr>
              <m:t>⋅</m:t>
            </m:r>
          </m:sub>
        </m:sSub>
        <m:r>
          <m:rPr>
            <m:sty m:val="p"/>
          </m:rPr>
          <m:t>∈</m:t>
        </m:r>
        <m:sSup>
          <m:e>
            <m:r>
              <m:rPr>
                <m:sty m:val="p"/>
                <m:scr m:val="double-struck"/>
              </m:rPr>
              <m:t>R</m:t>
            </m:r>
          </m:e>
          <m:sup>
            <m:sSub>
              <m:e>
                <m:r>
                  <m:t>d</m:t>
                </m:r>
              </m:e>
              <m:sub>
                <m:r>
                  <m:t>o</m:t>
                </m:r>
                <m:r>
                  <m:t>u</m:t>
                </m:r>
                <m:r>
                  <m:t>t</m:t>
                </m:r>
              </m:sub>
            </m:sSub>
            <m:r>
              <m:rPr>
                <m:sty m:val="p"/>
              </m:rPr>
              <m:t>×</m:t>
            </m:r>
            <m:r>
              <m:t>r</m:t>
            </m:r>
          </m:sup>
        </m:sSup>
        <m:r>
          <m:rPr>
            <m:sty m:val="p"/>
          </m:rPr>
          <m:t>.</m:t>
        </m:r>
      </m:oMath>
      <w:r>
        <w:rPr>
          <w:sz w:val="21"/>
        </w:rPr>
        <w:tab/>
      </w:r>
      <w:bookmarkStart w:id="2010" w:name="Equation_3_1"/>
      <w:r>
        <w:rPr>
          <w:sz w:val="21"/>
        </w:rPr>
        <w:t>（3-</w:t>
      </w:r>
      <w:fldSimple w:instr=" SEQ Equation3 \r 1 \* ARABIC ">
        <w:r>
          <w:t>1</w:t>
        </w:r>
      </w:fldSimple>
      <w:r>
        <w:rPr>
          <w:sz w:val="21"/>
        </w:rPr>
        <w:t>）</w:t>
      </w:r>
      <w:bookmarkEnd w:id="2010"/>
    </w:p>
    <w:p>
      <w:pPr>
        <w:pStyle w:val="Normal"/>
        <w:spacing w:after="60" w:line="274" w:lineRule="auto"/>
      </w:pPr>
      <w:r>
        <w:t xml:space="preserve">式</w:t>
      </w:r>
      <w:fldSimple w:instr=" REF Equation_3_1 \h ">
        <w:r>
          <w:t>（3-1）</w:t>
        </w:r>
      </w:fldSimple>
      <w:r>
        <w:t xml:space="preserve">在第二章式</w:t>
      </w:r>
      <w:fldSimple w:instr=" REF Equation_2_6 \h ">
        <w:r>
          <w:t>（2-6）</w:t>
        </w:r>
      </w:fldSimple>
      <w:r>
        <w:t xml:space="preserve">的LoRA参数化上区分两组低秩矩阵：下标g表示全局分支，下标c表示结论专项分支；h为当前投影的输入表示，h′为输出表示，位置下标t表示当前序列位置。</w:t>
      </w:r>
    </w:p>
    <w:p>
      <w:pPr>
        <w:pStyle w:val="Normal"/>
        <w:spacing w:after="60" w:line="274" w:lineRule="auto"/>
      </w:pPr>
      <w:r>
        <w:t xml:space="preserve">全局分支参与所有位置的计算，结论分支由</w:t>
      </w:r>
      <w:r>
        <w:t xml:space="preserve"> </w:t>
      </w:r>
      <m:oMath>
        <m:sSub>
          <m:e>
            <m:r>
              <m:t>g</m:t>
            </m:r>
          </m:e>
          <m:sub>
            <m:r>
              <m:t>t</m:t>
            </m:r>
          </m:sub>
        </m:sSub>
        <m:r>
          <m:rPr>
            <m:sty m:val="p"/>
          </m:rPr>
          <m:t>∈</m:t>
        </m:r>
        <m:r>
          <m:rPr>
            <m:sty m:val="p"/>
          </m:rPr>
          <m:t>{</m:t>
        </m:r>
        <m:r>
          <m:t>0</m:t>
        </m:r>
        <m:r>
          <m:rPr>
            <m:sty m:val="p"/>
          </m:rPr>
          <m:t>,</m:t>
        </m:r>
        <m:r>
          <m:t>1</m:t>
        </m:r>
        <m:r>
          <m:rPr>
            <m:sty m:val="p"/>
          </m:rPr>
          <m:t>}</m:t>
        </m:r>
      </m:oMath>
      <w:r>
        <w:t xml:space="preserve"> </w:t>
      </w:r>
      <w:r>
        <w:t xml:space="preserve">控制。字段按 id（组件编号）、type（类型）、span（原文跨度）排列；可见前缀中的结论类型值完整闭合后，门控在该组件的后续字段开启，并在组件结束时关闭。AAEC 和 CDCP 的触发类型分别为 Claim/MajorClaim 和 Policy/Value；输入、未闭合类型字段及关系区域均令</w:t>
      </w:r>
      <w:r>
        <w:t xml:space="preserve"> </w:t>
      </w:r>
      <m:oMath>
        <m:sSub>
          <m:e>
            <m:r>
              <m:t>g</m:t>
            </m:r>
          </m:e>
          <m:sub>
            <m:r>
              <m:t>t</m:t>
            </m:r>
          </m:sub>
        </m:sSub>
        <m:r>
          <m:rPr>
            <m:sty m:val="p"/>
          </m:rPr>
          <m:t>=</m:t>
        </m:r>
        <m:r>
          <m:t>0</m:t>
        </m:r>
      </m:oMath>
      <w:r>
        <w:t xml:space="preserve">。教师强制训练沿用2.2.1节的序列条件，同样只使用当前位置之前已提供的输出前缀，不能读取后续答案来开启门控。</w:t>
      </w:r>
    </w:p>
    <w:p>
      <w:pPr>
        <w:pStyle w:val="Normal"/>
        <w:spacing w:after="60" w:line="274" w:lineRule="auto"/>
      </w:pPr>
      <w:r>
        <w:t xml:space="preserve">这一门控作用于类型确定后的跨度等字段，不回溯修改已输出类型。参考配置取</w:t>
      </w:r>
      <w:r>
        <w:t xml:space="preserve"> </w:t>
      </w:r>
      <m:oMath>
        <m:r>
          <m:t>r</m:t>
        </m:r>
        <m:r>
          <m:rPr>
            <m:sty m:val="p"/>
          </m:rPr>
          <m:t>=</m:t>
        </m:r>
        <m:r>
          <m:t>16</m:t>
        </m:r>
      </m:oMath>
      <w:r>
        <w:t xml:space="preserve">、</w:t>
      </w:r>
      <m:oMath>
        <m:r>
          <m:t>α</m:t>
        </m:r>
        <m:r>
          <m:rPr>
            <m:sty m:val="p"/>
          </m:rPr>
          <m:t>=</m:t>
        </m:r>
        <m:r>
          <m:t>32</m:t>
        </m:r>
      </m:oMath>
      <w:r>
        <w:t xml:space="preserve">，以单一全局 rank-32 分支作为参数量匹配对照；实际计算成本另行测量。</w:t>
      </w:r>
    </w:p>
    <w:p>
      <w:pPr>
        <w:pStyle w:val="Heading3"/>
      </w:pPr>
      <w:r>
        <w:rPr>
          <w:rFonts w:ascii="Arial Unicode MS" w:hAnsi="Arial Unicode MS" w:eastAsia="Arial Unicode MS"/>
        </w:rPr>
        <w:t>3.2.2 线索提示与原有监督</w:t>
      </w:r>
    </w:p>
    <w:p>
      <w:pPr>
        <w:pStyle w:val="Normal"/>
        <w:spacing w:after="60" w:line="274" w:lineRule="auto"/>
      </w:pPr>
      <w:r>
        <w:t xml:space="preserve">连续提示沿用参数高效提示调优机制[33]。对 therefore、thus、in conclusion、consequently、hence、to conclude 作不区分大小写的词边界匹配；命中时在聊天模板输入嵌入之前插入四个向量</w:t>
      </w:r>
      <w:r>
        <w:t xml:space="preserve"> </w:t>
      </w:r>
      <m:oMath>
        <m:sSub>
          <m:e>
            <m:r>
              <m:t>P</m:t>
            </m:r>
          </m:e>
          <m:sub>
            <m:r>
              <m:t>i</m:t>
            </m:r>
          </m:sub>
        </m:sSub>
        <m:r>
          <m:rPr>
            <m:sty m:val="p"/>
          </m:rPr>
          <m:t>∈</m:t>
        </m:r>
        <m:sSup>
          <m:e>
            <m:r>
              <m:rPr>
                <m:sty m:val="p"/>
                <m:scr m:val="double-struck"/>
              </m:rPr>
              <m:t>R</m:t>
            </m:r>
          </m:e>
          <m:sup>
            <m:r>
              <m:t>d</m:t>
            </m:r>
          </m:sup>
        </m:sSup>
      </m:oMath>
      <w:r>
        <w:t xml:space="preserve">，未命中则不插入。提示位置不计入原文坐标。</w:t>
      </w:r>
    </w:p>
    <w:p>
      <w:pPr>
        <w:pStyle w:val="Normal"/>
        <w:spacing w:after="60" w:line="274" w:lineRule="auto"/>
      </w:pPr>
      <w:r>
        <w:t xml:space="preserve">词典只控制提示启用，不赋予结论标签。话语标记的收益不能由标记数量直接推定[40]；原文与增强文分别按各自文本触发提示；该规则沿用MCR-BR配置，本章不将其单独计为新增机制。</w:t>
      </w:r>
    </w:p>
    <w:p>
      <w:pPr>
        <w:pStyle w:val="Normal"/>
        <w:spacing w:after="60" w:line="274" w:lineRule="auto"/>
      </w:pPr>
      <w:r>
        <w:t xml:space="preserve">生成目标对有效回答 token（含序列结束符EOS）取平均，聊天输入和提示向量不参与该项损失：</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L</m:t>
            </m:r>
          </m:e>
          <m:sub>
            <m:r>
              <m:t>g</m:t>
            </m:r>
            <m:r>
              <m:t>e</m:t>
            </m:r>
            <m:r>
              <m:t>n</m:t>
            </m:r>
          </m:sub>
        </m:sSub>
        <m:d>
          <m:dPr>
            <m:begChr m:val="("/>
            <m:endChr m:val=")"/>
            <m:sepChr m:val=""/>
            <m:grow/>
          </m:dPr>
          <m:e>
            <m:r>
              <m:t>x</m:t>
            </m:r>
            <m:r>
              <m:rPr>
                <m:sty m:val="p"/>
              </m:rPr>
              <m:t>,</m:t>
            </m:r>
            <m:r>
              <m:t>G</m:t>
            </m:r>
          </m:e>
        </m:d>
        <m:r>
          <m:rPr>
            <m:sty m:val="p"/>
          </m:rPr>
          <m:t>=</m:t>
        </m:r>
        <m:r>
          <m:rPr>
            <m:sty m:val="p"/>
          </m:rPr>
          <m:t>−</m:t>
        </m:r>
        <m:f>
          <m:fPr>
            <m:type m:val="bar"/>
          </m:fPr>
          <m:num>
            <m:r>
              <m:t>1</m:t>
            </m:r>
          </m:num>
          <m:den>
            <m:sSub>
              <m:e>
                <m:r>
                  <m:t>T</m:t>
                </m:r>
              </m:e>
              <m:sub>
                <m:r>
                  <m:t>y</m:t>
                </m:r>
              </m:sub>
            </m:sSub>
          </m:den>
        </m:f>
        <m:nary>
          <m:naryPr>
            <m:chr m:val="∑"/>
            <m:limLoc m:val="undOvr"/>
            <m:subHide m:val="off"/>
            <m:supHide m:val="off"/>
          </m:naryPr>
          <m:sub>
            <m:r>
              <m:t>t</m:t>
            </m:r>
            <m:r>
              <m:rPr>
                <m:sty m:val="p"/>
              </m:rPr>
              <m:t>=</m:t>
            </m:r>
            <m:r>
              <m:t>1</m:t>
            </m:r>
          </m:sub>
          <m:sup>
            <m:sSub>
              <m:e>
                <m:r>
                  <m:t>T</m:t>
                </m:r>
              </m:e>
              <m:sub>
                <m:r>
                  <m:t>y</m:t>
                </m:r>
              </m:sub>
            </m:sSub>
          </m:sup>
          <m:e>
            <m:r>
              <m:rPr>
                <m:sty m:val="p"/>
              </m:rPr>
              <m:t>log</m:t>
            </m:r>
          </m:e>
        </m:nary>
        <m:sSub>
          <m:e>
            <m:r>
              <m:t>p</m:t>
            </m:r>
          </m:e>
          <m:sub>
            <m:r>
              <m:t>θ</m:t>
            </m:r>
          </m:sub>
        </m:sSub>
        <m:d>
          <m:dPr>
            <m:begChr m:val="("/>
            <m:endChr m:val=")"/>
            <m:sepChr m:val=""/>
            <m:grow/>
          </m:dPr>
          <m:e>
            <m:sSub>
              <m:e>
                <m:r>
                  <m:t>y</m:t>
                </m:r>
              </m:e>
              <m:sub>
                <m:r>
                  <m:t>t</m:t>
                </m:r>
              </m:sub>
            </m:sSub>
            <m:r>
              <m:rPr>
                <m:sty m:val="p"/>
              </m:rPr>
              <m:t>∣</m:t>
            </m:r>
            <m:r>
              <m:t>x</m:t>
            </m:r>
            <m:r>
              <m:rPr>
                <m:sty m:val="p"/>
              </m:rPr>
              <m:t>,</m:t>
            </m:r>
            <m:sSub>
              <m:e>
                <m:r>
                  <m:t>y</m:t>
                </m:r>
              </m:e>
              <m:sub>
                <m:r>
                  <m:rPr>
                    <m:sty m:val="p"/>
                  </m:rPr>
                  <m:t>&lt;</m:t>
                </m:r>
                <m:r>
                  <m:t>t</m:t>
                </m:r>
              </m:sub>
            </m:sSub>
          </m:e>
        </m:d>
        <m:r>
          <m:rPr>
            <m:sty m:val="p"/>
          </m:rPr>
          <m:t>.</m:t>
        </m:r>
      </m:oMath>
      <w:r>
        <w:rPr>
          <w:sz w:val="21"/>
        </w:rPr>
        <w:tab/>
      </w:r>
      <w:bookmarkStart w:id="2011" w:name="Equation_3_2"/>
      <w:r>
        <w:rPr>
          <w:sz w:val="21"/>
        </w:rPr>
        <w:t>（3-</w:t>
      </w:r>
      <w:fldSimple w:instr=" SEQ Equation3 \* ARABIC ">
        <w:r>
          <w:t>2</w:t>
        </w:r>
      </w:fldSimple>
      <w:r>
        <w:rPr>
          <w:sz w:val="21"/>
        </w:rPr>
        <w:t>）</w:t>
      </w:r>
      <w:bookmarkEnd w:id="2011"/>
    </w:p>
    <w:p>
      <w:pPr>
        <w:pStyle w:val="Normal"/>
        <w:spacing w:after="60" w:line="274" w:lineRule="auto"/>
      </w:pPr>
      <w:r>
        <w:t xml:space="preserve">句子辅助任务沿用继承配置ICIC的句子监督：按句末标点和文档结尾分句，对输入最后一层隐藏状态作句内均值池化，经线性层和 sigmoid 得到</w:t>
      </w:r>
      <w:r>
        <w:t xml:space="preserve"> </w:t>
      </w:r>
      <m:oMath>
        <m:sSub>
          <m:e>
            <m:acc>
              <m:accPr>
                <m:chr m:val="̂"/>
              </m:accPr>
              <m:e>
                <m:r>
                  <m:t>z</m:t>
                </m:r>
              </m:e>
            </m:acc>
          </m:e>
          <m:sub>
            <m:r>
              <m:t>i</m:t>
            </m:r>
          </m:sub>
        </m:sSub>
      </m:oMath>
      <w:r>
        <w:t xml:space="preserve">。句子与结论类金标跨度相交时令</w:t>
      </w:r>
      <w:r>
        <w:t xml:space="preserve"> </w:t>
      </w:r>
      <m:oMath>
        <m:sSub>
          <m:e>
            <m:r>
              <m:t>z</m:t>
            </m:r>
          </m:e>
          <m:sub>
            <m:r>
              <m:t>i</m:t>
            </m:r>
          </m:sub>
        </m:sSub>
        <m:r>
          <m:rPr>
            <m:sty m:val="p"/>
          </m:rPr>
          <m:t>=</m:t>
        </m:r>
        <m:r>
          <m:t>1</m:t>
        </m:r>
      </m:oMath>
      <w:r>
        <w:t xml:space="preserve">，否则为零；跨句组件可标记多个句子。定义</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L</m:t>
            </m:r>
          </m:e>
          <m:sub>
            <m:r>
              <m:t>s</m:t>
            </m:r>
            <m:r>
              <m:t>e</m:t>
            </m:r>
            <m:r>
              <m:t>n</m:t>
            </m:r>
            <m:r>
              <m:t>t</m:t>
            </m:r>
          </m:sub>
        </m:sSub>
        <m:r>
          <m:rPr>
            <m:sty m:val="p"/>
          </m:rPr>
          <m:t>=</m:t>
        </m:r>
        <m:r>
          <m:rPr>
            <m:sty m:val="p"/>
          </m:rPr>
          <m:t>−</m:t>
        </m:r>
        <m:f>
          <m:fPr>
            <m:type m:val="bar"/>
          </m:fPr>
          <m:num>
            <m:r>
              <m:t>1</m:t>
            </m:r>
          </m:num>
          <m:den>
            <m:sSub>
              <m:e>
                <m:r>
                  <m:t>N</m:t>
                </m:r>
              </m:e>
              <m:sub>
                <m:r>
                  <m:t>s</m:t>
                </m:r>
              </m:sub>
            </m:sSub>
          </m:den>
        </m:f>
        <m:nary>
          <m:naryPr>
            <m:chr m:val="∑"/>
            <m:limLoc m:val="undOvr"/>
            <m:subHide m:val="off"/>
            <m:supHide m:val="off"/>
          </m:naryPr>
          <m:sub>
            <m:r>
              <m:t>i</m:t>
            </m:r>
            <m:r>
              <m:rPr>
                <m:sty m:val="p"/>
              </m:rPr>
              <m:t>=</m:t>
            </m:r>
            <m:r>
              <m:t>1</m:t>
            </m:r>
          </m:sub>
          <m:sup>
            <m:sSub>
              <m:e>
                <m:r>
                  <m:t>N</m:t>
                </m:r>
              </m:e>
              <m:sub>
                <m:r>
                  <m:t>s</m:t>
                </m:r>
              </m:sub>
            </m:sSub>
          </m:sup>
          <m:e>
            <m:d>
              <m:dPr>
                <m:begChr m:val="["/>
                <m:endChr m:val="]"/>
                <m:sepChr m:val=""/>
                <m:grow/>
              </m:dPr>
              <m:e>
                <m:sSub>
                  <m:e>
                    <m:r>
                      <m:t>z</m:t>
                    </m:r>
                  </m:e>
                  <m:sub>
                    <m:r>
                      <m:t>i</m:t>
                    </m:r>
                  </m:sub>
                </m:sSub>
                <m:r>
                  <m:rPr>
                    <m:sty m:val="p"/>
                  </m:rPr>
                  <m:t>log</m:t>
                </m:r>
                <m:sSub>
                  <m:e>
                    <m:acc>
                      <m:accPr>
                        <m:chr m:val="̂"/>
                      </m:accPr>
                      <m:e>
                        <m:r>
                          <m:t>z</m:t>
                        </m:r>
                      </m:e>
                    </m:acc>
                  </m:e>
                  <m:sub>
                    <m:r>
                      <m:t>i</m:t>
                    </m:r>
                  </m:sub>
                </m:sSub>
                <m:r>
                  <m:rPr>
                    <m:sty m:val="p"/>
                  </m:rPr>
                  <m:t>+</m:t>
                </m:r>
                <m:d>
                  <m:dPr>
                    <m:begChr m:val="("/>
                    <m:endChr m:val=")"/>
                    <m:sepChr m:val=""/>
                    <m:grow/>
                  </m:dPr>
                  <m:e>
                    <m:r>
                      <m:t>1</m:t>
                    </m:r>
                    <m:r>
                      <m:rPr>
                        <m:sty m:val="p"/>
                      </m:rPr>
                      <m:t>−</m:t>
                    </m:r>
                    <m:sSub>
                      <m:e>
                        <m:r>
                          <m:t>z</m:t>
                        </m:r>
                      </m:e>
                      <m:sub>
                        <m:r>
                          <m:t>i</m:t>
                        </m:r>
                      </m:sub>
                    </m:sSub>
                  </m:e>
                </m:d>
                <m:r>
                  <m:rPr>
                    <m:sty m:val="p"/>
                  </m:rPr>
                  <m:t>log</m:t>
                </m:r>
                <m:d>
                  <m:dPr>
                    <m:begChr m:val="("/>
                    <m:endChr m:val=")"/>
                    <m:sepChr m:val=""/>
                    <m:grow/>
                  </m:dPr>
                  <m:e>
                    <m:r>
                      <m:t>1</m:t>
                    </m:r>
                    <m:r>
                      <m:rPr>
                        <m:sty m:val="p"/>
                      </m:rPr>
                      <m:t>−</m:t>
                    </m:r>
                    <m:sSub>
                      <m:e>
                        <m:acc>
                          <m:accPr>
                            <m:chr m:val="̂"/>
                          </m:accPr>
                          <m:e>
                            <m:r>
                              <m:t>z</m:t>
                            </m:r>
                          </m:e>
                        </m:acc>
                      </m:e>
                      <m:sub>
                        <m:r>
                          <m:t>i</m:t>
                        </m:r>
                      </m:sub>
                    </m:sSub>
                  </m:e>
                </m:d>
              </m:e>
            </m:d>
          </m:e>
        </m:nary>
        <m:r>
          <m:rPr>
            <m:sty m:val="p"/>
          </m:rPr>
          <m:t>,</m:t>
        </m:r>
        <m:r>
          <m:t>  </m:t>
        </m:r>
        <m:sSub>
          <m:e>
            <m:r>
              <m:t>L</m:t>
            </m:r>
          </m:e>
          <m:sub>
            <m:r>
              <m:t>I</m:t>
            </m:r>
            <m:r>
              <m:t>C</m:t>
            </m:r>
            <m:r>
              <m:t>I</m:t>
            </m:r>
            <m:r>
              <m:t>C</m:t>
            </m:r>
          </m:sub>
        </m:sSub>
        <m:r>
          <m:rPr>
            <m:sty m:val="p"/>
          </m:rPr>
          <m:t>=</m:t>
        </m:r>
        <m:sSub>
          <m:e>
            <m:r>
              <m:t>L</m:t>
            </m:r>
          </m:e>
          <m:sub>
            <m:r>
              <m:t>g</m:t>
            </m:r>
            <m:r>
              <m:t>e</m:t>
            </m:r>
            <m:r>
              <m:t>n</m:t>
            </m:r>
          </m:sub>
        </m:sSub>
        <m:r>
          <m:rPr>
            <m:sty m:val="p"/>
          </m:rPr>
          <m:t>+</m:t>
        </m:r>
        <m:sSub>
          <m:e>
            <m:r>
              <m:t>λ</m:t>
            </m:r>
          </m:e>
          <m:sub>
            <m:r>
              <m:t>s</m:t>
            </m:r>
            <m:r>
              <m:t>e</m:t>
            </m:r>
            <m:r>
              <m:t>n</m:t>
            </m:r>
            <m:r>
              <m:t>t</m:t>
            </m:r>
          </m:sub>
        </m:sSub>
        <m:sSub>
          <m:e>
            <m:r>
              <m:t>L</m:t>
            </m:r>
          </m:e>
          <m:sub>
            <m:r>
              <m:t>s</m:t>
            </m:r>
            <m:r>
              <m:t>e</m:t>
            </m:r>
            <m:r>
              <m:t>n</m:t>
            </m:r>
            <m:r>
              <m:t>t</m:t>
            </m:r>
          </m:sub>
        </m:sSub>
        <m:r>
          <m:rPr>
            <m:sty m:val="p"/>
          </m:rPr>
          <m:t>.</m:t>
        </m:r>
      </m:oMath>
      <w:r>
        <w:rPr>
          <w:sz w:val="21"/>
        </w:rPr>
        <w:tab/>
      </w:r>
      <w:bookmarkStart w:id="2012" w:name="Equation_3_3"/>
      <w:r>
        <w:rPr>
          <w:sz w:val="21"/>
        </w:rPr>
        <w:t>（3-</w:t>
      </w:r>
      <w:fldSimple w:instr=" SEQ Equation3 \* ARABIC ">
        <w:r>
          <w:t>3</w:t>
        </w:r>
      </w:fldSimple>
      <w:r>
        <w:rPr>
          <w:sz w:val="21"/>
        </w:rPr>
        <w:t>）</w:t>
      </w:r>
      <w:bookmarkEnd w:id="2012"/>
    </w:p>
    <w:p>
      <w:pPr>
        <w:pStyle w:val="Normal"/>
        <w:spacing w:after="60" w:line="274" w:lineRule="auto"/>
      </w:pPr>
      <w:r>
        <w:t xml:space="preserve">参考配置取</w:t>
      </w:r>
      <w:r>
        <w:t xml:space="preserve"> </w:t>
      </w:r>
      <m:oMath>
        <m:sSub>
          <m:e>
            <m:r>
              <m:t>λ</m:t>
            </m:r>
          </m:e>
          <m:sub>
            <m:r>
              <m:t>s</m:t>
            </m:r>
            <m:r>
              <m:t>e</m:t>
            </m:r>
            <m:r>
              <m:t>n</m:t>
            </m:r>
            <m:r>
              <m:t>t</m:t>
            </m:r>
          </m:sub>
        </m:sSub>
        <m:r>
          <m:rPr>
            <m:sty m:val="p"/>
          </m:rPr>
          <m:t>=</m:t>
        </m:r>
        <m:r>
          <m:t>0.5</m:t>
        </m:r>
      </m:oMath>
      <w:r>
        <w:t xml:space="preserve">。句子头只读取输入表示，用于共享表示学习。上述生成目标与句子监督构成继承目标</w:t>
      </w:r>
      <w:r>
        <w:t xml:space="preserve"> </w:t>
      </w:r>
      <m:oMath>
        <m:sSub>
          <m:e>
            <m:r>
              <m:t>L</m:t>
            </m:r>
          </m:e>
          <m:sub>
            <m:r>
              <m:t>I</m:t>
            </m:r>
            <m:r>
              <m:t>C</m:t>
            </m:r>
            <m:r>
              <m:t>I</m:t>
            </m:r>
            <m:r>
              <m:t>C</m:t>
            </m:r>
          </m:sub>
        </m:sSub>
      </m:oMath>
      <w:r>
        <w:t xml:space="preserve">；3.3节构造增强视图，3.4节在此基础上引入组件、关系头及成对监督。</w:t>
      </w:r>
    </w:p>
    <w:p>
      <w:pPr>
        <w:pStyle w:val="Heading2"/>
      </w:pPr>
      <w:r>
        <w:rPr>
          <w:rFonts w:ascii="Arial Unicode MS" w:hAnsi="Arial Unicode MS" w:eastAsia="Arial Unicode MS"/>
        </w:rPr>
        <w:t>3.3 关系影响域与可靠增强视图</w:t>
      </w:r>
    </w:p>
    <w:p>
      <w:pPr>
        <w:pStyle w:val="Heading3"/>
      </w:pPr>
      <w:r>
        <w:rPr>
          <w:rFonts w:ascii="Arial Unicode MS" w:hAnsi="Arial Unicode MS" w:eastAsia="Arial Unicode MS"/>
        </w:rPr>
        <w:t>3.3.1 改写范围与关系因素</w:t>
      </w:r>
    </w:p>
    <w:p>
      <w:pPr>
        <w:pStyle w:val="Normal"/>
        <w:spacing w:after="60" w:line="274" w:lineRule="auto"/>
      </w:pPr>
      <w:r>
        <w:t xml:space="preserve">本章的文本改写是训练数据增强：只替换已标注组件所对应的文字，不重写整篇文章，也不重新决定组件类型或关系答案。改写集合由组件组成，不必对应一个连续段落。</w:t>
      </w:r>
      <w:r>
        <w:t xml:space="preserve">“</w:t>
      </w:r>
      <w:r>
        <w:t xml:space="preserve">内部</w:t>
      </w:r>
      <w:r>
        <w:t xml:space="preserve">”</w:t>
      </w:r>
      <w:r>
        <w:t xml:space="preserve">与“跨边界”均相对于这个集合定义，与是否跨句、跨段没有直接等价关系。</w:t>
      </w:r>
    </w:p>
    <w:p>
      <w:pPr>
        <w:pStyle w:val="Normal"/>
        <w:spacing w:after="60" w:line="274" w:lineRule="auto"/>
      </w:pPr>
      <w:r>
        <w:t>改写“槽位”指已定位到原文字符区间、允许被替换的组件片段；“只读端点”指文字保持不变的其他组件。只读并不表示坐标固定，前文改写造成长度变化时，它们的字符位置也要更新。下文“正关系”指具有明确原生关系标签的关系，与无边状态NONE相对；它也包括attacks，不能理解为仅含支持关系。</w:t>
      </w:r>
    </w:p>
    <w:p>
      <w:pPr>
        <w:pStyle w:val="Caption"/>
        <w:keepNext/>
        <w:spacing w:after="60" w:line="274" w:lineRule="auto"/>
        <w:ind w:firstLine="0"/>
        <w:jc w:val="center"/>
      </w:pPr>
      <w:r>
        <w:rPr>
          <w:rFonts w:ascii="Arial Unicode MS" w:hAnsi="Arial Unicode MS" w:eastAsia="Arial Unicode MS"/>
        </w:rPr>
        <w:t xml:space="preserve">表3-1 AAEC essay001的原生组件与关系因素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512"/>
        <w:gridCol w:w="5414"/>
      </w:tblGrid>
      <w:tr>
        <w:trPr>
          <w:cantSplit/>
          <w:tblHeader/>
        </w:trPr>
        <w:tc>
          <w:tcPr>
            <w:tcW w:type="dxa" w:w="1296"/>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组件</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原生类型</w:t>
            </w:r>
          </w:p>
        </w:tc>
        <w:tc>
          <w:tcPr>
            <w:tcW w:type="dxa" w:w="151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字符区间</w:t>
            </w:r>
          </w:p>
        </w:tc>
        <w:tc>
          <w:tcPr>
            <w:tcW w:type="dxa" w:w="5414"/>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原文</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T3</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Claim</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[591,714)</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through cooperation, children can learn about interpersonal skills which are significant in the future life of all students</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T4</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[716,851)</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What we acquired from team work is not only how to achieve the same goal with others but more importantly, how to get along with others</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T5</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[853,1086)</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During the process of cooperation, children can learn about how to listen to opinions of others, how to communicate with others, how to think comprehensively, and even how to compromise with other team members when conflicts occurred</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T6</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[1088,1191)</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All of these skills help them to get on well with other people and will benefit them for the whole life</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T7</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Claim</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[1332,1376)</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competition makes the society more effective</w:t>
            </w:r>
          </w:p>
        </w:tc>
      </w:tr>
    </w:tbl>
    <w:p>
      <w:pPr>
        <w:spacing w:after="60" w:line="274" w:lineRule="auto"/>
      </w:pPr>
      <w:r>
        <w:t xml:space="preserve">表内T4、T5、T6各自以supports指向T3，T4→T7没有标注边。以局部观察集合A={T3,T4}解释因素分类时，T4→T3属于内部正因素，T5→T3和T6→T3属于跨边界正因素，T4→T7属于跨边界NONE（无边状态沿用2.3节的定义）。该观察集合用于说明定义，不等于默认自动选择结果：若默认中心为T3，所有指向T3的完整源成员T4、T5、T6都会进入改写集合。</w:t>
      </w:r>
    </w:p>
    <w:p>
      <w:pPr>
        <w:keepNext/>
        <w:ind w:firstLine="0"/>
        <w:jc w:val="center"/>
      </w:pPr>
      <w:r>
        <w:drawing>
          <wp:inline>
            <wp:extent cx="6080760" cy="3843429"/>
            <wp:docPr id="4" name="Picture 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6080760" cy="3843429"/>
                    </a:xfrm>
                    <a:prstGeom prst="rect"/>
                  </pic:spPr>
                </pic:pic>
              </a:graphicData>
            </a:graphic>
          </wp:inline>
        </w:drawing>
      </w:r>
    </w:p>
    <w:p>
      <w:pPr>
        <w:pStyle w:val="Caption"/>
        <w:keepNext w:val="0"/>
        <w:spacing w:after="60" w:line="274" w:lineRule="auto"/>
        <w:ind w:firstLine="0"/>
        <w:jc w:val="center"/>
      </w:pPr>
      <w:r>
        <w:rPr>
          <w:rFonts w:ascii="Arial Unicode MS" w:hAnsi="Arial Unicode MS" w:eastAsia="Arial Unicode MS"/>
        </w:rPr>
        <w:t xml:space="preserve">图3-1 默认因素掩码与可选完整筛选的不同接受路径</w:t>
      </w:r>
    </w:p>
    <w:p>
      <w:pPr>
        <w:pStyle w:val="Normal"/>
        <w:spacing w:after="60" w:line="274" w:lineRule="auto"/>
      </w:pPr>
      <w:r>
        <w:t xml:space="preserve">“</w:t>
      </w:r>
      <w:r>
        <w:t xml:space="preserve">内部／跨边界</w:t>
      </w:r>
      <w:r>
        <w:t xml:space="preserve">”</w:t>
      </w:r>
      <w:r>
        <w:t xml:space="preserve">描述端点与改写集合的位置关系，</w:t>
      </w:r>
      <w:r>
        <w:t xml:space="preserve">“</w:t>
      </w:r>
      <w:r>
        <w:t xml:space="preserve">正关系／NONE／语义未知</w:t>
      </w:r>
      <w:r>
        <w:t xml:space="preserve">”</w:t>
      </w:r>
      <w:r>
        <w:t xml:space="preserve">描述因素状态，二者分别记录。默认路径保留有效组件，屏蔽关系层面的不确定监督；完整筛选路径才因任一可审核因素失败拒绝整例。已知联合源真子集的语义未知状态按3.3.3节处理，不伪装成已经确认的NONE。</w:t>
      </w:r>
    </w:p>
    <w:p>
      <w:pPr>
        <w:pStyle w:val="Normal"/>
        <w:spacing w:after="60" w:line="274" w:lineRule="auto"/>
      </w:pPr>
      <w:r>
        <w:t xml:space="preserve">对训练金标图</w:t>
      </w:r>
      <w:r>
        <w:t xml:space="preserve"> </w:t>
      </w:r>
      <m:oMath>
        <m:r>
          <m:t>G</m:t>
        </m:r>
        <m:r>
          <m:rPr>
            <m:sty m:val="p"/>
          </m:rPr>
          <m:t>=</m:t>
        </m:r>
        <m:d>
          <m:dPr>
            <m:begChr m:val="("/>
            <m:endChr m:val=")"/>
            <m:sepChr m:val=""/>
            <m:grow/>
          </m:dPr>
          <m:e>
            <m:r>
              <m:t>C</m:t>
            </m:r>
            <m:r>
              <m:rPr>
                <m:sty m:val="p"/>
              </m:rPr>
              <m:t>,</m:t>
            </m:r>
            <m:r>
              <m:t>R</m:t>
            </m:r>
          </m:e>
        </m:d>
      </m:oMath>
      <w:r>
        <w:t xml:space="preserve">，每篇文档固定一个中心。AAEC优先集合为Claim与MajorClaim，CDCP为Policy与Value；后者只定义本方法的触发角色，不改写原生类型。对固定种子17、语料、文档ID、组件ID及center标记按竖线连接，计算SHA-256，按前16位哈希数值选取第一个对象。中心使用固定种子17，同一文档全部视图复用同一中心；不依据生成成功率换中心。</w:t>
      </w:r>
    </w:p>
    <w:p>
      <w:pPr>
        <w:pStyle w:val="Normal"/>
        <w:spacing w:after="60" w:line="274" w:lineRule="auto"/>
      </w:pPr>
      <w:r>
        <w:t xml:space="preserve">优先集合为空时，从全部合法金标组件按同一顺序回退，并记录fallback；组件集合为空时保留原文、跳过增强。改写集合</w:t>
      </w:r>
      <m:oMath>
        <m:r>
          <m:t>A</m:t>
        </m:r>
      </m:oMath>
      <w:r>
        <w:t xml:space="preserve">由中心及所有指向中心的金标关系的完整源成员组成，去重、不递归扩展。无入关系时仅改写中心；超过三个源成员的金标超边（多前提关系，见2.1.1节）仍完整纳入，新增NONE因素的元数预算不截断金标。其余组件文字只读。</w:t>
      </w:r>
    </w:p>
    <w:p>
      <w:pPr>
        <w:pStyle w:val="Normal"/>
        <w:spacing w:after="60" w:line="274" w:lineRule="auto"/>
      </w:pPr>
      <w: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该选择控制定义和资源，不意味着结论中心已经优于其他中心。</w:t>
      </w:r>
    </w:p>
    <w:p>
      <w:pPr>
        <w:pStyle w:val="Normal"/>
        <w:spacing w:after="60" w:line="274" w:lineRule="auto"/>
      </w:pPr>
      <w:r>
        <w:t xml:space="preserve">记</w:t>
      </w:r>
      <w:r>
        <w:t xml:space="preserve"> </w:t>
      </w:r>
      <m:oMath>
        <m:r>
          <m:t>Ω</m:t>
        </m:r>
        <m:d>
          <m:dPr>
            <m:begChr m:val="("/>
            <m:endChr m:val=")"/>
            <m:sepChr m:val=""/>
            <m:grow/>
          </m:dPr>
          <m:e>
            <m:r>
              <m:t>C</m:t>
            </m:r>
          </m:e>
        </m:d>
      </m:oMath>
      <w:r>
        <w:t xml:space="preserve"> </w:t>
      </w:r>
      <w:r>
        <w:t xml:space="preserve">为协议允许的完整端点组合集合，因素</w:t>
      </w:r>
      <w:r>
        <w:t xml:space="preserve"> </w:t>
      </w:r>
      <m:oMath>
        <m:r>
          <m:t>ω</m:t>
        </m:r>
        <m:r>
          <m:rPr>
            <m:sty m:val="p"/>
          </m:rPr>
          <m:t>=</m:t>
        </m:r>
        <m:d>
          <m:dPr>
            <m:begChr m:val="("/>
            <m:endChr m:val=")"/>
            <m:sepChr m:val=""/>
            <m:grow/>
          </m:dPr>
          <m:e>
            <m:r>
              <m:t>S</m:t>
            </m:r>
            <m:r>
              <m:rPr>
                <m:sty m:val="p"/>
              </m:rPr>
              <m:t>,</m:t>
            </m:r>
            <m:r>
              <m:t>v</m:t>
            </m:r>
          </m:e>
        </m:d>
      </m:oMath>
      <w:r>
        <w:t xml:space="preserve"> </w:t>
      </w:r>
      <w:r>
        <w:t xml:space="preserve">由非空源组件集合</w:t>
      </w:r>
      <w:r>
        <w:t xml:space="preserve"> </w:t>
      </w:r>
      <m:oMath>
        <m:r>
          <m:t>S</m:t>
        </m:r>
      </m:oMath>
      <w:r>
        <w:t xml:space="preserve"> </w:t>
      </w:r>
      <w:r>
        <w:t xml:space="preserve">和目标</w:t>
      </w:r>
      <w:r>
        <w:t xml:space="preserve"> </w:t>
      </w:r>
      <m:oMath>
        <m:r>
          <m:t>v</m:t>
        </m:r>
      </m:oMath>
      <w:r>
        <w:t xml:space="preserve"> </w:t>
      </w:r>
      <w:r>
        <w:t xml:space="preserve">构成。AAEC 中</w:t>
      </w:r>
      <w:r>
        <w:t xml:space="preserve"> </w:t>
      </w:r>
      <m:oMath>
        <m:d>
          <m:dPr>
            <m:begChr m:val="|"/>
            <m:endChr m:val="|"/>
            <m:sepChr m:val=""/>
            <m:grow/>
          </m:dPr>
          <m:e>
            <m:r>
              <m:t>S</m:t>
            </m:r>
          </m:e>
        </m:d>
        <m:r>
          <m:rPr>
            <m:sty m:val="p"/>
          </m:rPr>
          <m:t>=</m:t>
        </m:r>
        <m:r>
          <m:t>1</m:t>
        </m:r>
      </m:oMath>
      <w:r>
        <w:t xml:space="preserve">，枚举全部合法有向组件对；内部正边、边界正边和其余合法对均纳入候选。因素标签</w:t>
      </w:r>
      <w:r>
        <w:t xml:space="preserve"> </w:t>
      </w:r>
      <m:oMath>
        <m:sSub>
          <m:e>
            <m:r>
              <m:t>y</m:t>
            </m:r>
          </m:e>
          <m:sub>
            <m:r>
              <m:t>ω</m:t>
            </m:r>
          </m:sub>
        </m:sSub>
      </m:oMath>
      <w:r>
        <w:t xml:space="preserve"> </w:t>
      </w:r>
      <w:r>
        <w:t xml:space="preserve">为协议规定的关系状态。在可审核的有限端点组合集合内，无标注关系记作NONE；已标注联合源真子集的语义未知例外按3.3.3节定义，先从语义监督和审核域中排除。若协议允许同一端点组合具有多个标签，则使用合法标签组合表示状态，不能通过任取一个标签丢失监督。</w:t>
      </w:r>
    </w:p>
    <w:p>
      <w:pPr>
        <w:pStyle w:val="Normal"/>
        <w:spacing w:after="60" w:line="274" w:lineRule="auto"/>
      </w:pPr>
      <w:r>
        <w:t xml:space="preserve">CDCP 保留</w:t>
      </w:r>
      <w:r>
        <w:t xml:space="preserve"> </w:t>
      </w:r>
      <m:oMath>
        <m:d>
          <m:dPr>
            <m:begChr m:val="("/>
            <m:endChr m:val=")"/>
            <m:sepChr m:val=""/>
            <m:grow/>
          </m:dPr>
          <m:e>
            <m:r>
              <m:rPr>
                <m:sty m:val="p"/>
              </m:rPr>
              <m:t>{</m:t>
            </m:r>
            <m:sSub>
              <m:e>
                <m:r>
                  <m:t>c</m:t>
                </m:r>
              </m:e>
              <m:sub>
                <m:sSub>
                  <m:e>
                    <m:r>
                      <m:t>i</m:t>
                    </m:r>
                  </m:e>
                  <m:sub>
                    <m:r>
                      <m:t>1</m:t>
                    </m:r>
                  </m:sub>
                </m:sSub>
              </m:sub>
            </m:sSub>
            <m:r>
              <m:rPr>
                <m:sty m:val="p"/>
              </m:rPr>
              <m:t>,</m:t>
            </m:r>
            <m:r>
              <m:rPr>
                <m:sty m:val="p"/>
              </m:rPr>
              <m:t>…</m:t>
            </m:r>
            <m:r>
              <m:rPr>
                <m:sty m:val="p"/>
              </m:rPr>
              <m:t>,</m:t>
            </m:r>
            <m:sSub>
              <m:e>
                <m:r>
                  <m:t>c</m:t>
                </m:r>
              </m:e>
              <m:sub>
                <m:sSub>
                  <m:e>
                    <m:r>
                      <m:t>i</m:t>
                    </m:r>
                  </m:e>
                  <m:sub>
                    <m:r>
                      <m:t>k</m:t>
                    </m:r>
                  </m:sub>
                </m:sSub>
              </m:sub>
            </m:sSub>
            <m:r>
              <m:rPr>
                <m:sty m:val="p"/>
              </m:rPr>
              <m:t>}</m:t>
            </m:r>
            <m:r>
              <m:rPr>
                <m:sty m:val="p"/>
              </m:rPr>
              <m:t>,</m:t>
            </m:r>
            <m:sSub>
              <m:e>
                <m:r>
                  <m:t>c</m:t>
                </m:r>
              </m:e>
              <m:sub>
                <m:r>
                  <m:t>j</m:t>
                </m:r>
              </m:sub>
            </m:sSub>
            <m:r>
              <m:rPr>
                <m:sty m:val="p"/>
              </m:rPr>
              <m:t>,</m:t>
            </m:r>
            <m:r>
              <m:rPr>
                <m:sty m:val="p"/>
              </m:rPr>
              <m:t>ℓ</m:t>
            </m:r>
          </m:e>
        </m:d>
      </m:oMath>
      <w:r>
        <w:t xml:space="preserve"> </w:t>
      </w:r>
      <w:r>
        <w:t xml:space="preserve">的原生多前提超边，</w:t>
      </w:r>
      <m:oMath>
        <m:r>
          <m:rPr>
            <m:sty m:val="p"/>
          </m:rPr>
          <m:t>ℓ</m:t>
        </m:r>
        <m:r>
          <m:rPr>
            <m:sty m:val="p"/>
          </m:rPr>
          <m:t>∈</m:t>
        </m:r>
        <m:r>
          <m:rPr>
            <m:sty m:val="p"/>
          </m:rPr>
          <m:t>{</m:t>
        </m:r>
        <m:r>
          <m:rPr>
            <m:sty m:val="p"/>
          </m:rPr>
          <m:t>R</m:t>
        </m:r>
        <m:r>
          <m:rPr>
            <m:sty m:val="p"/>
          </m:rPr>
          <m:t>e</m:t>
        </m:r>
        <m:r>
          <m:rPr>
            <m:sty m:val="p"/>
          </m:rPr>
          <m:t>a</m:t>
        </m:r>
        <m:r>
          <m:rPr>
            <m:sty m:val="p"/>
          </m:rPr>
          <m:t>s</m:t>
        </m:r>
        <m:r>
          <m:rPr>
            <m:sty m:val="p"/>
          </m:rPr>
          <m:t>o</m:t>
        </m:r>
        <m:r>
          <m:rPr>
            <m:sty m:val="p"/>
          </m:rPr>
          <m:t>n</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m:t>
        </m:r>
      </m:oMath>
      <w:r>
        <w:t xml:space="preserve">。源成员按原文顺序规范化，整条超边作为一个关系对象，不展开为独立二元关系。</w:t>
      </w:r>
    </w:p>
    <w:p>
      <w:pPr>
        <w:pStyle w:val="Normal"/>
        <w:spacing w:after="60" w:line="274" w:lineRule="auto"/>
      </w:pPr>
      <w:r>
        <w:t xml:space="preserve">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Normal"/>
        <w:spacing w:after="60" w:line="274" w:lineRule="auto"/>
      </w:pPr>
      <w:r>
        <w:t xml:space="preserve">NONE 仅在上述有限宇宙内定义，不涉及组件集合的全部子集。三源成员预算使更长的金标超边缺少同元数NONE对照，可能形成长度相关的监督偏置，需按源元数（源成员个数）诊断。这一辅助头不用于估计长超边的完整对象正确率。</w:t>
      </w:r>
    </w:p>
    <w:p>
      <w:pPr>
        <w:pStyle w:val="Normal"/>
        <w:spacing w:after="60" w:line="274" w:lineRule="auto"/>
      </w:pPr>
      <w:r>
        <w:t xml:space="preserve">设</w:t>
      </w:r>
      <w:r>
        <w:t xml:space="preserve"> </w:t>
      </w:r>
      <m:oMath>
        <m:r>
          <m:t>V</m:t>
        </m:r>
        <m:d>
          <m:dPr>
            <m:begChr m:val="("/>
            <m:endChr m:val=")"/>
            <m:sepChr m:val=""/>
            <m:grow/>
          </m:dPr>
          <m:e>
            <m:r>
              <m:t>ω</m:t>
            </m:r>
          </m:e>
        </m:d>
        <m:r>
          <m:rPr>
            <m:sty m:val="p"/>
          </m:rPr>
          <m:t>=</m:t>
        </m:r>
        <m:r>
          <m:t>S</m:t>
        </m:r>
        <m:r>
          <m:rPr>
            <m:sty m:val="p"/>
          </m:rPr>
          <m:t>∪</m:t>
        </m:r>
        <m:r>
          <m:rPr>
            <m:sty m:val="p"/>
          </m:rPr>
          <m:t>{</m:t>
        </m:r>
        <m:r>
          <m:t>v</m:t>
        </m:r>
        <m:r>
          <m:rPr>
            <m:sty m:val="p"/>
          </m:rPr>
          <m:t>}</m:t>
        </m:r>
      </m:oMath>
      <w:r>
        <w:t xml:space="preserve">，完整影响域定义为</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rPr>
                <m:sty m:val="p"/>
                <m:scr m:val="script"/>
              </m:rPr>
              <m:t>D</m:t>
            </m:r>
          </m:e>
          <m:sub>
            <m:r>
              <m:t>A</m:t>
            </m:r>
          </m:sub>
        </m:sSub>
        <m:r>
          <m:rPr>
            <m:sty m:val="p"/>
          </m:rPr>
          <m:t>=</m:t>
        </m:r>
        <m:r>
          <m:rPr>
            <m:sty m:val="p"/>
          </m:rPr>
          <m:t>{</m:t>
        </m:r>
        <m:r>
          <m:t>ω</m:t>
        </m:r>
        <m:r>
          <m:rPr>
            <m:sty m:val="p"/>
          </m:rPr>
          <m:t>∈</m:t>
        </m:r>
        <m:sSub>
          <m:e>
            <m:r>
              <m:t>Ω</m:t>
            </m:r>
          </m:e>
          <m:sub>
            <m:r>
              <m:t>s</m:t>
            </m:r>
            <m:r>
              <m:t>e</m:t>
            </m:r>
            <m:r>
              <m:t>m</m:t>
            </m:r>
          </m:sub>
        </m:sSub>
        <m:d>
          <m:dPr>
            <m:begChr m:val="("/>
            <m:endChr m:val=")"/>
            <m:sepChr m:val=""/>
            <m:grow/>
          </m:dPr>
          <m:e>
            <m:r>
              <m:t>C</m:t>
            </m:r>
          </m:e>
        </m:d>
        <m:r>
          <m:rPr>
            <m:sty m:val="p"/>
          </m:rPr>
          <m:t>:</m:t>
        </m:r>
        <m:r>
          <m:t>V</m:t>
        </m:r>
        <m:d>
          <m:dPr>
            <m:begChr m:val="("/>
            <m:endChr m:val=")"/>
            <m:sepChr m:val=""/>
            <m:grow/>
          </m:dPr>
          <m:e>
            <m:r>
              <m:t>ω</m:t>
            </m:r>
          </m:e>
        </m:d>
        <m:r>
          <m:rPr>
            <m:sty m:val="p"/>
          </m:rPr>
          <m:t>∩</m:t>
        </m:r>
        <m:r>
          <m:t>A</m:t>
        </m:r>
        <m:r>
          <m:rPr>
            <m:sty m:val="p"/>
          </m:rPr>
          <m:t>≠</m:t>
        </m:r>
        <m:r>
          <m:rPr>
            <m:sty m:val="p"/>
          </m:rPr>
          <m:t>⌀</m:t>
        </m:r>
        <m:r>
          <m:rPr>
            <m:sty m:val="p"/>
          </m:rPr>
          <m:t>}</m:t>
        </m:r>
        <m:r>
          <m:rPr>
            <m:sty m:val="p"/>
          </m:rPr>
          <m:t>.</m:t>
        </m:r>
      </m:oMath>
      <w:r>
        <w:rPr>
          <w:sz w:val="21"/>
        </w:rPr>
        <w:tab/>
      </w:r>
      <w:bookmarkStart w:id="2013" w:name="Equation_3_4"/>
      <w:r>
        <w:rPr>
          <w:sz w:val="21"/>
        </w:rPr>
        <w:t>（3-</w:t>
      </w:r>
      <w:fldSimple w:instr=" SEQ Equation3 \* ARABIC ">
        <w:r>
          <w:t>4</w:t>
        </w:r>
      </w:fldSimple>
      <w:r>
        <w:rPr>
          <w:sz w:val="21"/>
        </w:rPr>
        <w:t>）</w:t>
      </w:r>
      <w:bookmarkEnd w:id="2013"/>
    </w:p>
    <w:p>
      <w:pPr>
        <w:pStyle w:val="Normal"/>
        <w:spacing w:after="60" w:line="274" w:lineRule="auto"/>
      </w:pPr>
      <w:r>
        <w:t xml:space="preserve">其中</w:t>
      </w:r>
      <w:r>
        <w:t xml:space="preserve"> </w:t>
      </w:r>
      <m:oMath>
        <m:sSub>
          <m:e>
            <m:r>
              <m:t>Ω</m:t>
            </m:r>
          </m:e>
          <m:sub>
            <m:r>
              <m:t>s</m:t>
            </m:r>
            <m:r>
              <m:t>e</m:t>
            </m:r>
            <m:r>
              <m:t>m</m:t>
            </m:r>
          </m:sub>
        </m:sSub>
        <m:d>
          <m:dPr>
            <m:begChr m:val="("/>
            <m:endChr m:val=")"/>
            <m:sepChr m:val=""/>
            <m:grow/>
          </m:dPr>
          <m:e>
            <m:r>
              <m:t>C</m:t>
            </m:r>
          </m:e>
        </m:d>
        <m:r>
          <m:rPr>
            <m:sty m:val="p"/>
          </m:rPr>
          <m:t>=</m:t>
        </m:r>
        <m:r>
          <m:t>Ω</m:t>
        </m:r>
        <m:d>
          <m:dPr>
            <m:begChr m:val="("/>
            <m:endChr m:val=")"/>
            <m:sepChr m:val=""/>
            <m:grow/>
          </m:dPr>
          <m:e>
            <m:r>
              <m:t>C</m:t>
            </m:r>
          </m:e>
        </m:d>
        <m:r>
          <m:rPr>
            <m:sty m:val="p"/>
          </m:rPr>
          <m:t>∖</m:t>
        </m:r>
        <m:sSub>
          <m:e>
            <m:r>
              <m:rPr>
                <m:sty m:val="p"/>
                <m:scr m:val="script"/>
              </m:rPr>
              <m:t>U</m:t>
            </m:r>
          </m:e>
          <m:sub>
            <m:r>
              <m:t>s</m:t>
            </m:r>
            <m:r>
              <m:t>e</m:t>
            </m:r>
            <m:r>
              <m:t>m</m:t>
            </m:r>
          </m:sub>
        </m:sSub>
      </m:oMath>
      <w:r>
        <w:t xml:space="preserve">，未知集合见3.3.3节；AAEC没有这一联合源子集例外。二元情形即</w:t>
      </w:r>
      <w:r>
        <w:t xml:space="preserve"> </w:t>
      </w:r>
      <m:oMath>
        <m:r>
          <m:rPr>
            <m:sty m:val="p"/>
          </m:rPr>
          <m:t>{</m:t>
        </m:r>
        <m:d>
          <m:dPr>
            <m:begChr m:val="("/>
            <m:endChr m:val=")"/>
            <m:sepChr m:val=""/>
            <m:grow/>
          </m:dPr>
          <m:e>
            <m:r>
              <m:t>u</m:t>
            </m:r>
            <m:r>
              <m:rPr>
                <m:sty m:val="p"/>
              </m:rPr>
              <m:t>,</m:t>
            </m:r>
            <m:r>
              <m:t>v</m:t>
            </m:r>
          </m:e>
        </m:d>
        <m:r>
          <m:rPr>
            <m:sty m:val="p"/>
          </m:rPr>
          <m:t>:</m:t>
        </m:r>
        <m:r>
          <m:t>u</m:t>
        </m:r>
        <m:r>
          <m:rPr>
            <m:sty m:val="p"/>
          </m:rPr>
          <m:t>∈</m:t>
        </m:r>
        <m:r>
          <m:t>A</m:t>
        </m:r>
        <m:r>
          <m:rPr>
            <m:sty m:val="p"/>
          </m:rPr>
          <m:t>∨</m:t>
        </m:r>
        <m:r>
          <m:t>v</m:t>
        </m:r>
        <m:r>
          <m:rPr>
            <m:sty m:val="p"/>
          </m:rPr>
          <m:t>∈</m:t>
        </m:r>
        <m:r>
          <m:t>A</m:t>
        </m:r>
        <m:r>
          <m:rPr>
            <m:sty m:val="p"/>
          </m:rPr>
          <m:t>,</m:t>
        </m:r>
        <m:d>
          <m:dPr>
            <m:begChr m:val="("/>
            <m:endChr m:val=")"/>
            <m:sepChr m:val=""/>
            <m:grow/>
          </m:dPr>
          <m:e>
            <m:r>
              <m:t>u</m:t>
            </m:r>
            <m:r>
              <m:rPr>
                <m:sty m:val="p"/>
              </m:rPr>
              <m:t>,</m:t>
            </m:r>
            <m:r>
              <m:t>v</m:t>
            </m:r>
          </m:e>
        </m:d>
        <m:r>
          <m:rPr>
            <m:sty m:val="p"/>
          </m:rPr>
          <m:t>∈</m:t>
        </m:r>
        <m:sSub>
          <m:e>
            <m:r>
              <m:t>Ω</m:t>
            </m:r>
          </m:e>
          <m:sub>
            <m:r>
              <m:t>s</m:t>
            </m:r>
            <m:r>
              <m:t>e</m:t>
            </m:r>
            <m:r>
              <m:t>m</m:t>
            </m:r>
          </m:sub>
        </m:sSub>
        <m:d>
          <m:dPr>
            <m:begChr m:val="("/>
            <m:endChr m:val=")"/>
            <m:sepChr m:val=""/>
            <m:grow/>
          </m:dPr>
          <m:e>
            <m:r>
              <m:t>C</m:t>
            </m:r>
          </m:e>
        </m:d>
        <m:r>
          <m:rPr>
            <m:sty m:val="p"/>
          </m:rPr>
          <m:t>}</m:t>
        </m:r>
      </m:oMath>
      <w:r>
        <w:t xml:space="preserve">。全部端点位于</w:t>
      </w:r>
      <w:r>
        <w:t xml:space="preserve"> </w:t>
      </w:r>
      <m:oMath>
        <m:r>
          <m:t>A</m:t>
        </m:r>
      </m:oMath>
      <w:r>
        <w:t xml:space="preserve"> </w:t>
      </w:r>
      <w:r>
        <w:t xml:space="preserve">中的因素属于内部因素，仅部分端点位于</w:t>
      </w:r>
      <w:r>
        <w:t xml:space="preserve"> </w:t>
      </w:r>
      <m:oMath>
        <m:r>
          <m:t>A</m:t>
        </m:r>
      </m:oMath>
      <w:r>
        <w:t xml:space="preserve"> </w:t>
      </w:r>
      <w:r>
        <w:t xml:space="preserve">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rPr>
          <w:rFonts w:ascii="Arial Unicode MS" w:hAnsi="Arial Unicode MS" w:eastAsia="Arial Unicode MS"/>
        </w:rPr>
        <w:t>3.3.2 条件生成与字符坐标迁移</w:t>
      </w:r>
    </w:p>
    <w:p>
      <w:pPr>
        <w:pStyle w:val="Normal"/>
        <w:spacing w:after="60" w:line="274" w:lineRule="auto"/>
      </w:pPr>
      <w:r>
        <w:t xml:space="preserve">增强模型接收全文、可改写组件的槽位和类型、只读端点目录及影响域标签。条件可采用“全部合法端点目录、显式正关系表、语义未知例外清单、其余可审核因素为NONE”的无损编码，避免逐条重复大量无边因素；验证和训练时仍按展开后的因素执行。输出限定为组件 ID 到替换文本的映射，不允许新增组件、修改类型或自行重建关系表。</w:t>
      </w:r>
    </w:p>
    <w:p>
      <w:pPr>
        <w:pStyle w:val="Normal"/>
        <w:spacing w:after="60" w:line="274" w:lineRule="auto"/>
      </w:pPr>
      <w:r>
        <w:t xml:space="preserve">程序按原始字符区间执行槽位替换，随后对完整文档重新分词，建立组件对应</w:t>
      </w:r>
    </w:p>
    <w:p>
      <w:pPr>
        <w:keepNext w:val="0"/>
        <w:keepLines/>
        <w:tabs>
          <w:tab w:pos="5046" w:val="center"/>
          <w:tab w:pos="10091" w:val="right"/>
        </w:tabs>
        <w:spacing w:after="120" w:line="276" w:lineRule="auto" w:before="120"/>
        <w:ind w:firstLine="0" w:left="0" w:right="0"/>
        <w:jc w:val="left"/>
      </w:pPr>
      <w:r>
        <w:rPr>
          <w:sz w:val="21"/>
        </w:rPr>
        <w:tab/>
      </w:r>
      <m:oMath>
        <m:r>
          <m:t xml:space="preserve">φ</m:t>
        </m:r>
        <m:r>
          <m:t xml:space="preserve">:</m:t>
        </m:r>
        <m:r>
          <m:t xml:space="preserve">C</m:t>
        </m:r>
        <m:r>
          <m:t xml:space="preserve">→</m:t>
        </m:r>
        <m:sSup>
          <m:e>
            <m:r>
              <m:t xml:space="preserve">C</m:t>
            </m:r>
          </m:e>
          <m:sup>
            <m:r>
              <m:t xml:space="preserve">′</m:t>
            </m:r>
          </m:sup>
        </m:sSup>
        <m:r>
          <m:t xml:space="preserve">,</m:t>
        </m:r>
        <m:r>
          <m:t xml:space="preserve">  </m:t>
        </m:r>
        <m:r>
          <m:t xml:space="preserve">(</m:t>
        </m:r>
        <m:r>
          <m:t xml:space="preserve">d</m:t>
        </m:r>
        <m:r>
          <m:t xml:space="preserve">,</m:t>
        </m:r>
        <m:sSub>
          <m:e>
            <m:r>
              <m:t xml:space="preserve">b</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sSup>
          <m:e>
            <m:r>
              <m:t xml:space="preserve">d</m:t>
            </m:r>
          </m:e>
          <m:sup>
            <m:r>
              <m:t xml:space="preserve">′</m:t>
            </m:r>
          </m:sup>
        </m:sSup>
        <m:r>
          <m:t xml:space="preserve">,</m:t>
        </m:r>
        <m:sSubSup>
          <m:e>
            <m:r>
              <m:t xml:space="preserve">b</m:t>
            </m:r>
          </m:e>
          <m:sub>
            <m:r>
              <m:t xml:space="preserve">c</m:t>
            </m:r>
          </m:sub>
          <m:sup>
            <m:r>
              <m:t xml:space="preserve">′</m:t>
            </m:r>
          </m:sup>
        </m:sSubSup>
        <m:r>
          <m:t xml:space="preserve">,</m:t>
        </m:r>
        <m:sSubSup>
          <m:e>
            <m:r>
              <m:t xml:space="preserve">e</m:t>
            </m:r>
          </m:e>
          <m:sub>
            <m:r>
              <m:t xml:space="preserve">c</m:t>
            </m:r>
          </m:sub>
          <m:sup>
            <m:r>
              <m:t xml:space="preserve">′</m:t>
            </m:r>
          </m:sup>
        </m:sSubSup>
        <m:r>
          <m:t xml:space="preserve">,</m:t>
        </m:r>
        <m:sSub>
          <m:e>
            <m:r>
              <m:t xml:space="preserve">t</m:t>
            </m:r>
          </m:e>
          <m:sub>
            <m:r>
              <m:t xml:space="preserve">c</m:t>
            </m:r>
          </m:sub>
        </m:sSub>
        <m:r>
          <m:t xml:space="preserve">)</m:t>
        </m:r>
        <m:r>
          <m:t xml:space="preserve">.</m:t>
        </m:r>
      </m:oMath>
      <w:r>
        <w:rPr>
          <w:sz w:val="21"/>
        </w:rPr>
        <w:tab/>
      </w:r>
      <w:bookmarkStart w:id="2014" w:name="Equation_3_5"/>
      <w:r>
        <w:rPr>
          <w:sz w:val="21"/>
        </w:rPr>
        <w:t>（3-</w:t>
      </w:r>
      <w:fldSimple w:instr=" SEQ Equation3 \* ARABIC ">
        <w:r>
          <w:t>5</w:t>
        </w:r>
      </w:fldSimple>
      <w:r>
        <w:rPr>
          <w:sz w:val="21"/>
        </w:rPr>
        <w:t>）</w:t>
      </w:r>
      <w:bookmarkEnd w:id="2014"/>
    </w:p>
    <w:p>
      <w:pPr>
        <w:spacing w:after="60" w:line="274" w:lineRule="auto"/>
      </w:pPr>
      <w:r>
        <w:t>组件采用第二章定义的规范身份：文档版本、原文字符半开区间和原生类型。增强全文是另一个文本版本，故记为d′；显示ID仅建立追踪对应，不能替代坐标或版本身份。回填后更新所有组件的字符区间，再派生评价token与模型子词表示；只读组件也会随前文长度变化而移动。φ是组件之间的双射，不是字符或token位置之间的双射。关系及超边的全部端点经过同一φ迁移。槽位重叠、坐标往返不一致或端点无法无损输运时，拒绝该视图并保留原始样本。</w:t>
      </w:r>
    </w:p>
    <w:p>
      <w:pPr>
        <w:spacing w:after="60" w:line="274" w:lineRule="auto"/>
      </w:pPr>
      <w:r>
        <w:t>表3-1提供了迁移前的真实原生对象；3.3.4节另用一个可逐项计算的教学文档展示回填、φ、审核结果及监督掩码。二者的证据身份分别保留，不将教学改写称为模型实际输出。</w:t>
      </w:r>
    </w:p>
    <w:p>
      <w:pPr>
        <w:pStyle w:val="Heading3"/>
      </w:pPr>
      <w:r>
        <w:rPr>
          <w:rFonts w:ascii="Arial Unicode MS" w:hAnsi="Arial Unicode MS" w:eastAsia="Arial Unicode MS"/>
        </w:rPr>
        <w:t>3.3.3 审核掩码与语义未知因素</w:t>
      </w:r>
    </w:p>
    <w:p>
      <w:pPr>
        <w:pStyle w:val="Normal"/>
        <w:spacing w:after="60" w:line="274" w:lineRule="auto"/>
      </w:pPr>
      <w:r>
        <w:t xml:space="preserve">所有版本先检查格式、槽位身份、坐标往返和完整端点引用，再在全文上下文中检查改写组件的含义、角色、指代、否定与模态。格式失效或确认改变组件含义时拒绝整个变体；组件意义待定时也不接纳该变体。原始文档和金标不因模型判断而删除。</w:t>
      </w:r>
    </w:p>
    <w:p>
      <w:pPr>
        <w:pStyle w:val="Normal"/>
        <w:spacing w:after="60" w:line="274" w:lineRule="auto"/>
      </w:pPr>
      <w:r>
        <w:t xml:space="preserve">通过组件检查后，默认采用因素掩码。关系审核子集</w:t>
      </w:r>
      <w:r>
        <w:t xml:space="preserve"> </w:t>
      </w:r>
      <m:oMath>
        <m:sSub>
          <m:e>
            <m:r>
              <m:t>J</m:t>
            </m:r>
          </m:e>
          <m:sub>
            <m:r>
              <m:t>A</m:t>
            </m:r>
          </m:sub>
        </m:sSub>
        <m:r>
          <m:rPr>
            <m:sty m:val="p"/>
          </m:rPr>
          <m:t>⊆</m:t>
        </m:r>
        <m:sSub>
          <m:e>
            <m:r>
              <m:rPr>
                <m:sty m:val="p"/>
                <m:scr m:val="script"/>
              </m:rPr>
              <m:t>D</m:t>
            </m:r>
          </m:e>
          <m:sub>
            <m:r>
              <m:t>A</m:t>
            </m:r>
          </m:sub>
        </m:sSub>
      </m:oMath>
      <w:r>
        <w:t xml:space="preserve"> </w:t>
      </w:r>
      <w:r>
        <w:t xml:space="preserve">包含全部受影响正关系，并按固定哈希最多抽取内部、跨边界NONE各4项；已知CDCP联合源的单成员不机械记作负例。正关系无法在资源内全部核查时，本次变体不进入关系学习，但通过检查的组件仍可提供组件级监督。未审核的NONE不被当作已经稳定。</w:t>
      </w:r>
    </w:p>
    <w:p>
      <w:pPr>
        <w:pStyle w:val="Normal"/>
        <w:spacing w:after="60" w:line="274" w:lineRule="auto"/>
      </w:pPr>
      <w:r>
        <w:t xml:space="preserve">验证器分别判断原文因素和改写因素。仅当原标注获认可、改写后状态仍一致、完整端点对应有效时，令</w:t>
      </w:r>
      <w:r>
        <w:t xml:space="preserve"> </w:t>
      </w:r>
      <m:oMath>
        <m:sSub>
          <m:e>
            <m:r>
              <m:t>m</m:t>
            </m:r>
          </m:e>
          <m:sub>
            <m:r>
              <m:t>R</m:t>
            </m:r>
          </m:sub>
        </m:sSub>
        <m:d>
          <m:dPr>
            <m:begChr m:val="("/>
            <m:endChr m:val=")"/>
            <m:sepChr m:val=""/>
            <m:grow/>
          </m:dPr>
          <m:e>
            <m:r>
              <m:t>ω</m:t>
            </m:r>
          </m:e>
        </m:d>
        <m:r>
          <m:rPr>
            <m:sty m:val="p"/>
          </m:rPr>
          <m:t>=</m:t>
        </m:r>
        <m:r>
          <m:t>1</m:t>
        </m:r>
      </m:oMath>
      <w:r>
        <w:t xml:space="preserve">；原标签分歧、变化或待定均令其为0。组件同样保存</w:t>
      </w:r>
      <w:r>
        <w:t xml:space="preserve"> </w:t>
      </w:r>
      <m:oMath>
        <m:sSub>
          <m:e>
            <m:r>
              <m:t>m</m:t>
            </m:r>
          </m:e>
          <m:sub>
            <m:r>
              <m:t>C</m:t>
            </m:r>
          </m:sub>
        </m:sSub>
        <m:d>
          <m:dPr>
            <m:begChr m:val="("/>
            <m:endChr m:val=")"/>
            <m:sepChr m:val=""/>
            <m:grow/>
          </m:dPr>
          <m:e>
            <m:r>
              <m:t>c</m:t>
            </m:r>
          </m:e>
        </m:d>
      </m:oMath>
      <w:r>
        <w:t xml:space="preserve">，用于头监督和对齐的只读端点也在全文上下文中审核，不能只因字面未变就判定其论辩角色稳定；关系掩码为1还要求全部端点的组件掩码为1。判定来自固定模型，故“可靠”表示通过声明的检查，不是人工金标准语义保证。</w:t>
      </w:r>
    </w:p>
    <w:p>
      <w:pPr>
        <w:pStyle w:val="Normal"/>
        <w:spacing w:after="60" w:line="274" w:lineRule="auto"/>
      </w:pPr>
      <w:r>
        <w:t>“待定”表示审核尚不能确认原有状态是否保持，“未审核”表示没有执行该项判断。两者都不能提供已确认的增强监督，掩码取0；掩码为0并不等于关系标签为NONE。下文的“语义未知”另指联合源真子集缺少可推出的单独语义标签，其定义与审核状态分开。</w:t>
      </w:r>
    </w:p>
    <w:p>
      <w:pPr>
        <w:pStyle w:val="Normal"/>
        <w:spacing w:after="60" w:line="274" w:lineRule="auto"/>
      </w:pPr>
      <w:r>
        <w:t xml:space="preserve">默认策略不因某个关系未通过而丢掉所有有效组件，也不把该关系改为NONE。变体保存完整输运图以供追踪，但只有掩码为1的标签参与增强侧损失。完整筛选对照则检查声明影响域的全部因素，任一变化或待定即拒绝整例，其余生成和训练资源按共同规则登记。若完整筛选损失源覆盖却未改善学习，采用因素掩码即可。</w:t>
      </w:r>
    </w:p>
    <w:p>
      <w:pPr>
        <w:spacing w:after="60" w:line="274" w:lineRule="auto"/>
      </w:pPr>
      <w:r>
        <w:t>每篇最多四次尝试、最多两个接受视图；记录模型、提示、原始判断、掩码、对应、拒绝原因及全部成本。原文和变体按源文档共同分组。因素掩码是本章声明的默认设计，其漂移和覆盖由3.6.3节独立诊断；不能依据测试结果反向选择掩码策略。</w:t>
      </w:r>
    </w:p>
    <w:p>
      <w:pPr>
        <w:pStyle w:val="Normal"/>
        <w:spacing w:after="60" w:line="274" w:lineRule="auto"/>
      </w:pPr>
      <w:r>
        <w:t xml:space="preserve">验证时先不给出待判断因素的正确答案，取得分类后再与原标签比较；审核者按固定规范独立作答，再由裁决者形成参照。独立上下文或参数分离都不能保证审核误差独立。</w:t>
      </w:r>
    </w:p>
    <w:p>
      <w:pPr>
        <w:pStyle w:val="Normal"/>
        <w:spacing w:after="60" w:line="274" w:lineRule="auto"/>
      </w:pPr>
      <w:r>
        <w:t xml:space="preserve">严格抽取评价只问一个完整对象是否在金标中。若金标为</w:t>
      </w:r>
      <w:r>
        <w:t xml:space="preserve"> </w:t>
      </w:r>
      <m:oMath>
        <m:r>
          <m:t>h</m:t>
        </m:r>
        <m:r>
          <m:rPr>
            <m:sty m:val="p"/>
          </m:rPr>
          <m:t>=</m:t>
        </m:r>
        <m:d>
          <m:dPr>
            <m:begChr m:val="("/>
            <m:endChr m:val=")"/>
            <m:sepChr m:val=""/>
            <m:grow/>
          </m:dPr>
          <m:e>
            <m:r>
              <m:rPr>
                <m:sty m:val="p"/>
              </m:rPr>
              <m:t>{</m:t>
            </m:r>
            <m:sSub>
              <m:e>
                <m:r>
                  <m:t>c</m:t>
                </m:r>
              </m:e>
              <m:sub>
                <m:r>
                  <m:t>1</m:t>
                </m:r>
              </m:sub>
            </m:sSub>
            <m:r>
              <m:rPr>
                <m:sty m:val="p"/>
              </m:rPr>
              <m:t>,</m:t>
            </m:r>
            <m:sSub>
              <m:e>
                <m:r>
                  <m:t>c</m:t>
                </m:r>
              </m:e>
              <m:sub>
                <m:r>
                  <m:t>2</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t xml:space="preserve">，预测</w:t>
      </w:r>
      <w:r>
        <w:t xml:space="preserve"> </w:t>
      </w:r>
      <m:oMath>
        <m:d>
          <m:dPr>
            <m:begChr m:val="("/>
            <m:endChr m:val=")"/>
            <m:sepChr m:val=""/>
            <m:grow/>
          </m:dPr>
          <m:e>
            <m:r>
              <m:rPr>
                <m:sty m:val="p"/>
              </m:rPr>
              <m:t>{</m:t>
            </m:r>
            <m:sSub>
              <m:e>
                <m:r>
                  <m:t>c</m:t>
                </m:r>
              </m:e>
              <m:sub>
                <m:r>
                  <m:t>1</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t xml:space="preserve"> </w:t>
      </w:r>
      <w:r>
        <w:t xml:space="preserve">就是不同对象，不能匹配该金标。但是完整联合理由成立，不推出单一成员在语义上既不支持也不反对目标。</w:t>
      </w:r>
    </w:p>
    <w:p>
      <w:pPr>
        <w:pStyle w:val="Normal"/>
        <w:spacing w:after="60" w:line="274" w:lineRule="auto"/>
      </w:pPr>
      <w:r>
        <w:t xml:space="preserve">为此，训练语义头另定义未知集合</w:t>
      </w:r>
      <w:r>
        <w:t xml:space="preserve"> </w:t>
      </w:r>
      <m:oMath>
        <m:sSub>
          <m:e>
            <m:r>
              <m:rPr>
                <m:sty m:val="p"/>
                <m:scr m:val="script"/>
              </m:rPr>
              <m:t>U</m:t>
            </m:r>
          </m:e>
          <m:sub>
            <m:r>
              <m:t>s</m:t>
            </m:r>
            <m:r>
              <m:t>e</m:t>
            </m:r>
            <m:r>
              <m:t>m</m:t>
            </m:r>
          </m:sub>
        </m:sSub>
      </m:oMath>
      <w:r>
        <w:t xml:space="preserve">：对已标注联合源，若同目标的非空真子集没有任何单独正关系标注，则将该端点因素列为语义未知。显式正标注优先，不屏蔽已有单源正关系。</w:t>
      </w:r>
      <m:oMath>
        <m:sSub>
          <m:e>
            <m:r>
              <m:t>Ω</m:t>
            </m:r>
          </m:e>
          <m:sub>
            <m:r>
              <m:t>s</m:t>
            </m:r>
            <m:r>
              <m:t>e</m:t>
            </m:r>
            <m:r>
              <m:t>m</m:t>
            </m:r>
          </m:sub>
        </m:sSub>
        <m:r>
          <m:rPr>
            <m:sty m:val="p"/>
          </m:rPr>
          <m:t>=</m:t>
        </m:r>
        <m:r>
          <m:t>Ω</m:t>
        </m:r>
        <m:r>
          <m:rPr>
            <m:sty m:val="p"/>
          </m:rPr>
          <m:t>∖</m:t>
        </m:r>
        <m:sSub>
          <m:e>
            <m:r>
              <m:rPr>
                <m:sty m:val="p"/>
                <m:scr m:val="script"/>
              </m:rPr>
              <m:t>U</m:t>
            </m:r>
          </m:e>
          <m:sub>
            <m:r>
              <m:t>s</m:t>
            </m:r>
            <m:r>
              <m:t>e</m:t>
            </m:r>
            <m:r>
              <m:t>m</m:t>
            </m:r>
          </m:sub>
        </m:sSub>
      </m:oMath>
      <w:r>
        <w:t xml:space="preserve"> </w:t>
      </w:r>
      <w:r>
        <w:t xml:space="preserve">为可审核因素宇宙，完整影响域与抽样集合均在该宇宙内定义。完整筛选的“全部”指这里已声明的可审核域，未知项另计数量，不称为已经通过。</w:t>
      </w:r>
    </w:p>
    <w:p>
      <w:pPr>
        <w:pStyle w:val="Normal"/>
        <w:spacing w:after="60" w:line="274" w:lineRule="auto"/>
      </w:pPr>
      <w:r>
        <w:t xml:space="preserve">原文和变体的语义关系头均不把</w:t>
      </w:r>
      <w:r>
        <w:t xml:space="preserve"> </w:t>
      </w:r>
      <m:oMath>
        <m:sSub>
          <m:e>
            <m:r>
              <m:rPr>
                <m:sty m:val="p"/>
                <m:scr m:val="script"/>
              </m:rPr>
              <m:t>U</m:t>
            </m:r>
          </m:e>
          <m:sub>
            <m:r>
              <m:t>s</m:t>
            </m:r>
            <m:r>
              <m:t>e</m:t>
            </m:r>
            <m:r>
              <m:t>m</m:t>
            </m:r>
          </m:sub>
        </m:sSub>
      </m:oMath>
      <w:r>
        <w:t xml:space="preserve"> </w:t>
      </w:r>
      <w:r>
        <w:t xml:space="preserve">当作NONE负例；相应监督与对齐掩码都为0。原文完整生成目标仍保留原始超边，金标不删不改。第四章评分器预测的是“完整对象是否与标注精确匹配”，因此该真子集可作为完整对象不匹配的负例，其0标签不解释为语义上没有关系。推理NONE继续表示该槽位未选正关系。由此分开标注存在性、语义审核与推理决策三种用途。</w:t>
      </w:r>
    </w:p>
    <w:p>
      <w:pPr>
        <w:spacing w:after="60" w:line="274" w:lineRule="auto"/>
      </w:pPr>
      <w:r>
        <w:t>将通过审核且端点组件也通过检查的关系集合记为</w:t>
      </w:r>
      <m:oMath>
        <m:sSub>
          <m:e>
            <m:r>
              <m:t xml:space="preserve">R</m:t>
            </m:r>
          </m:e>
          <m:sub>
            <m:r>
              <m:t xml:space="preserve">A</m:t>
            </m:r>
          </m:sub>
        </m:sSub>
      </m:oMath>
      <w:r>
        <w:t>，则各层满足</w:t>
      </w:r>
    </w:p>
    <w:p>
      <w:pPr>
        <w:keepNext w:val="0"/>
        <w:keepLines/>
        <w:tabs>
          <w:tab w:pos="5046" w:val="center"/>
          <w:tab w:pos="10091" w:val="right"/>
        </w:tabs>
        <w:spacing w:after="120" w:line="276" w:lineRule="auto" w:before="120"/>
        <w:ind w:firstLine="0" w:left="0" w:right="0"/>
        <w:jc w:val="left"/>
      </w:pPr>
      <w:r>
        <w:rPr>
          <w:sz w:val="21"/>
        </w:rPr>
        <w:tab/>
      </w:r>
      <m:oMath>
        <m:sSub>
          <m:e>
            <m:r>
              <m:t xml:space="preserve">R</m:t>
            </m:r>
          </m:e>
          <m:sub>
            <m:r>
              <m:t xml:space="preserve">A</m:t>
            </m:r>
          </m:sub>
        </m:sSub>
        <m:r>
          <m:t xml:space="preserve">⊆</m:t>
        </m:r>
        <m:sSub>
          <m:e>
            <m:r>
              <m:t xml:space="preserve">J</m:t>
            </m:r>
          </m:e>
          <m:sub>
            <m:r>
              <m:t xml:space="preserve">A</m:t>
            </m:r>
          </m:sub>
        </m:sSub>
        <m:r>
          <m:t xml:space="preserve">⊆</m:t>
        </m:r>
        <m:sSub>
          <m:e>
            <m:r>
              <m:t xml:space="preserve">D</m:t>
            </m:r>
          </m:e>
          <m:sub>
            <m:r>
              <m:t xml:space="preserve">A</m:t>
            </m:r>
          </m:sub>
        </m:sSub>
        <m:r>
          <m:t xml:space="preserve">⊆</m:t>
        </m:r>
        <m:sSub>
          <m:e>
            <m:r>
              <m:t xml:space="preserve">Ω</m:t>
            </m:r>
          </m:e>
          <m:sub>
            <m:r>
              <m:t xml:space="preserve">s</m:t>
            </m:r>
            <m:r>
              <m:t xml:space="preserve">e</m:t>
            </m:r>
            <m:r>
              <m:t xml:space="preserve">m</m:t>
            </m:r>
          </m:sub>
        </m:sSub>
        <m:r>
          <m:t xml:space="preserve">,</m:t>
        </m:r>
        <m:r>
          <m:t xml:space="preserve">  </m:t>
        </m:r>
        <m:sSub>
          <m:e>
            <m:r>
              <m:t xml:space="preserve">Ω</m:t>
            </m:r>
          </m:e>
          <m:sub>
            <m:r>
              <m:t xml:space="preserve">s</m:t>
            </m:r>
            <m:r>
              <m:t xml:space="preserve">e</m:t>
            </m:r>
            <m:r>
              <m:t xml:space="preserve">m</m:t>
            </m:r>
          </m:sub>
        </m:sSub>
        <m:r>
          <m:t xml:space="preserve">=</m:t>
        </m:r>
        <m:r>
          <m:t xml:space="preserve">Ω</m:t>
        </m:r>
        <m:r>
          <m:t xml:space="preserve">∖</m:t>
        </m:r>
        <m:sSub>
          <m:e>
            <m:r>
              <m:t xml:space="preserve">U</m:t>
            </m:r>
          </m:e>
          <m:sub>
            <m:r>
              <m:t xml:space="preserve">s</m:t>
            </m:r>
            <m:r>
              <m:t xml:space="preserve">e</m:t>
            </m:r>
            <m:r>
              <m:t xml:space="preserve">m</m:t>
            </m:r>
          </m:sub>
        </m:sSub>
        <m:r>
          <m:t xml:space="preserve">.</m:t>
        </m:r>
      </m:oMath>
      <w:r>
        <w:rPr>
          <w:sz w:val="21"/>
        </w:rPr>
        <w:tab/>
      </w:r>
      <w:bookmarkStart w:id="2015" w:name="Equation_3_6"/>
      <w:r>
        <w:rPr>
          <w:sz w:val="21"/>
        </w:rPr>
        <w:t>（3-</w:t>
      </w:r>
      <w:fldSimple w:instr=" SEQ Equation3 \* ARABIC ">
        <w:r>
          <w:t>6</w:t>
        </w:r>
      </w:fldSimple>
      <w:r>
        <w:rPr>
          <w:sz w:val="21"/>
        </w:rPr>
        <w:t>）</w:t>
      </w:r>
      <w:bookmarkEnd w:id="2015"/>
    </w:p>
    <w:p>
      <w:pPr>
        <w:spacing w:after="60" w:line="274" w:lineRule="auto"/>
      </w:pPr>
      <w:r>
        <w:t xml:space="preserve">式</w:t>
      </w:r>
      <w:fldSimple w:instr=" REF Equation_3_4 \h ">
        <w:r>
          <w:t>（3-4）</w:t>
        </w:r>
      </w:fldSimple>
      <w:r>
        <w:t xml:space="preserve">的完整影响域</w:t>
      </w:r>
      <m:oMath>
        <m:sSub>
          <m:e>
            <m:r>
              <m:t xml:space="preserve">D</m:t>
            </m:r>
          </m:e>
          <m:sub>
            <m:r>
              <m:t xml:space="preserve">A</m:t>
            </m:r>
          </m:sub>
        </m:sSub>
      </m:oMath>
      <w:r>
        <w:t>是定义范围，</w:t>
      </w:r>
      <m:oMath>
        <m:sSub>
          <m:e>
            <m:r>
              <m:t xml:space="preserve">J</m:t>
            </m:r>
          </m:e>
          <m:sub>
            <m:r>
              <m:t xml:space="preserve">A</m:t>
            </m:r>
          </m:sub>
        </m:sSub>
      </m:oMath>
      <w:r>
        <w:t>是实际审核范围，</w:t>
      </w:r>
      <m:oMath>
        <m:sSub>
          <m:e>
            <m:r>
              <m:t xml:space="preserve">R</m:t>
            </m:r>
          </m:e>
          <m:sub>
            <m:r>
              <m:t xml:space="preserve">A</m:t>
            </m:r>
          </m:sub>
        </m:sSub>
      </m:oMath>
      <w:r>
        <w:t>才是增强关系损失的入口。默认</w:t>
      </w:r>
      <m:oMath>
        <m:sSub>
          <m:e>
            <m:r>
              <m:t xml:space="preserve">J</m:t>
            </m:r>
          </m:e>
          <m:sub>
            <m:r>
              <m:t xml:space="preserve">A</m:t>
            </m:r>
          </m:sub>
        </m:sSub>
      </m:oMath>
      <w:r>
        <w:t>通常小于</w:t>
      </w:r>
      <m:oMath>
        <m:sSub>
          <m:e>
            <m:r>
              <m:t xml:space="preserve">D</m:t>
            </m:r>
          </m:e>
          <m:sub>
            <m:r>
              <m:t xml:space="preserve">A</m:t>
            </m:r>
          </m:sub>
        </m:sSub>
      </m:oMath>
      <w:r>
        <w:t>；完整筛选才令</w:t>
      </w:r>
      <m:oMath>
        <m:sSub>
          <m:e>
            <m:r>
              <m:t xml:space="preserve">J</m:t>
            </m:r>
          </m:e>
          <m:sub>
            <m:r>
              <m:t xml:space="preserve">A</m:t>
            </m:r>
          </m:sub>
        </m:sSub>
        <m:r>
          <m:t xml:space="preserve">=</m:t>
        </m:r>
        <m:sSub>
          <m:e>
            <m:r>
              <m:t xml:space="preserve">D</m:t>
            </m:r>
          </m:e>
          <m:sub>
            <m:r>
              <m:t xml:space="preserve">A</m:t>
            </m:r>
          </m:sub>
        </m:sSub>
      </m:oMath>
      <w:r>
        <w:t>，语义未知</w:t>
      </w:r>
      <m:oMath>
        <m:sSub>
          <m:e>
            <m:r>
              <m:t xml:space="preserve">U</m:t>
            </m:r>
          </m:e>
          <m:sub>
            <m:r>
              <m:t xml:space="preserve">s</m:t>
            </m:r>
            <m:r>
              <m:t xml:space="preserve">e</m:t>
            </m:r>
            <m:r>
              <m:t xml:space="preserve">m</m:t>
            </m:r>
          </m:sub>
        </m:sSub>
      </m:oMath>
      <w:r>
        <w:t>始终在两者之外。图3-1的两个分支应按这一集合关系理解。</w:t>
      </w:r>
    </w:p>
    <w:p>
      <w:pPr>
        <w:pStyle w:val="Heading3"/>
      </w:pPr>
      <w:r>
        <w:rPr>
          <w:rFonts w:ascii="Arial Unicode MS" w:hAnsi="Arial Unicode MS" w:eastAsia="Arial Unicode MS"/>
        </w:rPr>
        <w:t>3.3.4 从改写到训练的完整示例</w:t>
      </w:r>
    </w:p>
    <w:p>
      <w:pPr>
        <w:spacing w:after="60" w:line="274" w:lineRule="auto"/>
      </w:pPr>
      <w:r>
        <w:t>以下为构造的教学文档，审核状态也按教学目的设定；它不来自目标模型调用。用a、b、c、d追踪四个组件，原始正关系为b→a、c→b，均标为supports，b→d与c→d为NONE。为便于手算，本例声明的因素宇宙仅含这四项，不作为AAEC全量因素枚举的实例。给定中心a，一跳完整入源规则得到A={a,b}；影响域含前三项，c→b是跨边界正因素，c→d位于域外。</w:t>
      </w:r>
    </w:p>
    <w:p>
      <w:pPr>
        <w:pStyle w:val="Caption"/>
        <w:keepNext/>
        <w:spacing w:after="60" w:line="274" w:lineRule="auto"/>
        <w:ind w:firstLine="0"/>
        <w:jc w:val="center"/>
      </w:pPr>
      <w:r>
        <w:rPr>
          <w:rFonts w:ascii="Arial Unicode MS" w:hAnsi="Arial Unicode MS" w:eastAsia="Arial Unicode MS"/>
        </w:rPr>
        <w:t>表3-2 教学示例的原文 改写与全部组件迁移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3"/>
        <w:gridCol w:w="3822"/>
        <w:gridCol w:w="4038"/>
      </w:tblGrid>
      <w:tr>
        <w:trPr>
          <w:cantSplit/>
          <w:tblHeader/>
        </w:trPr>
        <w:tc>
          <w:tcPr>
            <w:tcW w:type="dxa" w:w="1803"/>
            <w:vAlign w:val="center"/>
            <w:tcMar>
              <w:top w:w="65" w:type="dxa"/>
              <w:bottom w:w="65" w:type="dxa"/>
              <w:left w:w="65" w:type="dxa"/>
              <w:right w:w="65" w:type="dxa"/>
            </w:tcMar>
            <w:shd w:fill="E7E6E6"/>
          </w:tcPr>
          <w:p>
            <w:pPr>
              <w:spacing w:after="0" w:line="259" w:lineRule="auto"/>
              <w:ind w:firstLine="0"/>
              <w:jc w:val="center"/>
            </w:pPr>
            <w:r>
              <w:rPr>
                <w:b/>
                <w:sz w:val="18"/>
              </w:rPr>
              <w:t>ID及类型</w:t>
            </w:r>
          </w:p>
        </w:tc>
        <w:tc>
          <w:tcPr>
            <w:tcW w:type="dxa" w:w="3822"/>
            <w:vAlign w:val="center"/>
            <w:tcMar>
              <w:top w:w="65" w:type="dxa"/>
              <w:bottom w:w="65" w:type="dxa"/>
              <w:left w:w="65" w:type="dxa"/>
              <w:right w:w="65" w:type="dxa"/>
            </w:tcMar>
            <w:shd w:fill="E7E6E6"/>
          </w:tcPr>
          <w:p>
            <w:pPr>
              <w:spacing w:after="0" w:line="259" w:lineRule="auto"/>
              <w:ind w:firstLine="0"/>
              <w:jc w:val="center"/>
            </w:pPr>
            <w:r>
              <w:rPr>
                <w:b/>
                <w:sz w:val="18"/>
              </w:rPr>
              <w:t>原字符区间与文字</w:t>
            </w:r>
          </w:p>
        </w:tc>
        <w:tc>
          <w:tcPr>
            <w:tcW w:type="dxa" w:w="4038"/>
            <w:vAlign w:val="center"/>
            <w:tcMar>
              <w:top w:w="65" w:type="dxa"/>
              <w:bottom w:w="65" w:type="dxa"/>
              <w:left w:w="65" w:type="dxa"/>
              <w:right w:w="65" w:type="dxa"/>
            </w:tcMar>
            <w:shd w:fill="E7E6E6"/>
          </w:tcPr>
          <w:p>
            <w:pPr>
              <w:spacing w:after="0" w:line="259" w:lineRule="auto"/>
              <w:ind w:firstLine="0"/>
              <w:jc w:val="center"/>
            </w:pPr>
            <w:r>
              <w:rPr>
                <w:b/>
                <w:sz w:val="18"/>
              </w:rPr>
              <w:t>新字符区间与文字</w:t>
            </w:r>
          </w:p>
        </w:tc>
      </w:tr>
      <w:tr>
        <w:trPr>
          <w:cantSplit/>
        </w:trPr>
        <w:tc>
          <w:tcPr>
            <w:tcW w:type="dxa" w:w="1803"/>
            <w:vAlign w:val="center"/>
            <w:tcMar>
              <w:top w:w="65" w:type="dxa"/>
              <w:bottom w:w="65" w:type="dxa"/>
              <w:left w:w="65" w:type="dxa"/>
              <w:right w:w="65" w:type="dxa"/>
            </w:tcMar>
          </w:tcPr>
          <w:p>
            <w:pPr>
              <w:spacing w:after="0" w:line="259" w:lineRule="auto"/>
              <w:ind w:firstLine="0"/>
              <w:jc w:val="center"/>
            </w:pPr>
            <w:r>
              <w:rPr>
                <w:b w:val="0"/>
                <w:sz w:val="18"/>
              </w:rPr>
              <w:t>a / Claim</w:t>
            </w:r>
          </w:p>
        </w:tc>
        <w:tc>
          <w:tcPr>
            <w:tcW w:type="dxa" w:w="3822"/>
            <w:vAlign w:val="center"/>
            <w:tcMar>
              <w:top w:w="65" w:type="dxa"/>
              <w:bottom w:w="65" w:type="dxa"/>
              <w:left w:w="65" w:type="dxa"/>
              <w:right w:w="65" w:type="dxa"/>
            </w:tcMar>
          </w:tcPr>
          <w:p>
            <w:pPr>
              <w:spacing w:after="0" w:line="259" w:lineRule="auto"/>
              <w:ind w:firstLine="0"/>
              <w:jc w:val="left"/>
            </w:pPr>
            <w:r>
              <w:rPr>
                <w:b w:val="0"/>
                <w:sz w:val="18"/>
              </w:rPr>
              <w:t>[0,44) Teamwork helps children learn social skills.</w:t>
            </w:r>
          </w:p>
        </w:tc>
        <w:tc>
          <w:tcPr>
            <w:tcW w:type="dxa" w:w="4038"/>
            <w:vAlign w:val="center"/>
            <w:tcMar>
              <w:top w:w="65" w:type="dxa"/>
              <w:bottom w:w="65" w:type="dxa"/>
              <w:left w:w="65" w:type="dxa"/>
              <w:right w:w="65" w:type="dxa"/>
            </w:tcMar>
          </w:tcPr>
          <w:p>
            <w:pPr>
              <w:spacing w:after="0" w:line="259" w:lineRule="auto"/>
              <w:ind w:firstLine="0"/>
              <w:jc w:val="left"/>
            </w:pPr>
            <w:r>
              <w:rPr>
                <w:b w:val="0"/>
                <w:sz w:val="18"/>
              </w:rPr>
              <w:t>[0,49) Cooperation helps children develop social skills.</w:t>
            </w:r>
          </w:p>
        </w:tc>
      </w:tr>
      <w:tr>
        <w:trPr>
          <w:cantSplit/>
        </w:trPr>
        <w:tc>
          <w:tcPr>
            <w:tcW w:type="dxa" w:w="1803"/>
            <w:vAlign w:val="center"/>
            <w:tcMar>
              <w:top w:w="65" w:type="dxa"/>
              <w:bottom w:w="65" w:type="dxa"/>
              <w:left w:w="65" w:type="dxa"/>
              <w:right w:w="65" w:type="dxa"/>
            </w:tcMar>
          </w:tcPr>
          <w:p>
            <w:pPr>
              <w:spacing w:after="0" w:line="259" w:lineRule="auto"/>
              <w:ind w:firstLine="0"/>
              <w:jc w:val="center"/>
            </w:pPr>
            <w:r>
              <w:rPr>
                <w:b w:val="0"/>
                <w:sz w:val="18"/>
              </w:rPr>
              <w:t>b / Premise</w:t>
            </w:r>
          </w:p>
        </w:tc>
        <w:tc>
          <w:tcPr>
            <w:tcW w:type="dxa" w:w="3822"/>
            <w:vAlign w:val="center"/>
            <w:tcMar>
              <w:top w:w="65" w:type="dxa"/>
              <w:bottom w:w="65" w:type="dxa"/>
              <w:left w:w="65" w:type="dxa"/>
              <w:right w:w="65" w:type="dxa"/>
            </w:tcMar>
          </w:tcPr>
          <w:p>
            <w:pPr>
              <w:spacing w:after="0" w:line="259" w:lineRule="auto"/>
              <w:ind w:firstLine="0"/>
              <w:jc w:val="left"/>
            </w:pPr>
            <w:r>
              <w:rPr>
                <w:b w:val="0"/>
                <w:sz w:val="18"/>
              </w:rPr>
              <w:t>[45,94) Working together teaches children to communicate.</w:t>
            </w:r>
          </w:p>
        </w:tc>
        <w:tc>
          <w:tcPr>
            <w:tcW w:type="dxa" w:w="4038"/>
            <w:vAlign w:val="center"/>
            <w:tcMar>
              <w:top w:w="65" w:type="dxa"/>
              <w:bottom w:w="65" w:type="dxa"/>
              <w:left w:w="65" w:type="dxa"/>
              <w:right w:w="65" w:type="dxa"/>
            </w:tcMar>
          </w:tcPr>
          <w:p>
            <w:pPr>
              <w:spacing w:after="0" w:line="259" w:lineRule="auto"/>
              <w:ind w:firstLine="0"/>
              <w:jc w:val="left"/>
            </w:pPr>
            <w:r>
              <w:rPr>
                <w:b w:val="0"/>
                <w:sz w:val="18"/>
              </w:rPr>
              <w:t>[50,100) Children learn to communicate by working together.</w:t>
            </w:r>
          </w:p>
        </w:tc>
      </w:tr>
      <w:tr>
        <w:trPr>
          <w:cantSplit/>
        </w:trPr>
        <w:tc>
          <w:tcPr>
            <w:tcW w:type="dxa" w:w="1803"/>
            <w:vAlign w:val="center"/>
            <w:tcMar>
              <w:top w:w="65" w:type="dxa"/>
              <w:bottom w:w="65" w:type="dxa"/>
              <w:left w:w="65" w:type="dxa"/>
              <w:right w:w="65" w:type="dxa"/>
            </w:tcMar>
          </w:tcPr>
          <w:p>
            <w:pPr>
              <w:spacing w:after="0" w:line="259" w:lineRule="auto"/>
              <w:ind w:firstLine="0"/>
              <w:jc w:val="center"/>
            </w:pPr>
            <w:r>
              <w:rPr>
                <w:b w:val="0"/>
                <w:sz w:val="18"/>
              </w:rPr>
              <w:t>c / Premise</w:t>
            </w:r>
          </w:p>
        </w:tc>
        <w:tc>
          <w:tcPr>
            <w:tcW w:type="dxa" w:w="3822"/>
            <w:vAlign w:val="center"/>
            <w:tcMar>
              <w:top w:w="65" w:type="dxa"/>
              <w:bottom w:w="65" w:type="dxa"/>
              <w:left w:w="65" w:type="dxa"/>
              <w:right w:w="65" w:type="dxa"/>
            </w:tcMar>
          </w:tcPr>
          <w:p>
            <w:pPr>
              <w:spacing w:after="0" w:line="259" w:lineRule="auto"/>
              <w:ind w:firstLine="0"/>
              <w:jc w:val="left"/>
            </w:pPr>
            <w:r>
              <w:rPr>
                <w:b w:val="0"/>
                <w:sz w:val="18"/>
              </w:rPr>
              <w:t>[95,143) Team tasks require children to listen to others.</w:t>
            </w:r>
          </w:p>
        </w:tc>
        <w:tc>
          <w:tcPr>
            <w:tcW w:type="dxa" w:w="4038"/>
            <w:vAlign w:val="center"/>
            <w:tcMar>
              <w:top w:w="65" w:type="dxa"/>
              <w:bottom w:w="65" w:type="dxa"/>
              <w:left w:w="65" w:type="dxa"/>
              <w:right w:w="65" w:type="dxa"/>
            </w:tcMar>
          </w:tcPr>
          <w:p>
            <w:pPr>
              <w:spacing w:after="0" w:line="259" w:lineRule="auto"/>
              <w:ind w:firstLine="0"/>
              <w:jc w:val="left"/>
            </w:pPr>
            <w:r>
              <w:rPr>
                <w:b w:val="0"/>
                <w:sz w:val="18"/>
              </w:rPr>
              <w:t>[101,149) Team tasks require children to listen to others.</w:t>
            </w:r>
          </w:p>
        </w:tc>
      </w:tr>
      <w:tr>
        <w:trPr>
          <w:cantSplit/>
        </w:trPr>
        <w:tc>
          <w:tcPr>
            <w:tcW w:type="dxa" w:w="1803"/>
            <w:vAlign w:val="center"/>
            <w:tcMar>
              <w:top w:w="65" w:type="dxa"/>
              <w:bottom w:w="65" w:type="dxa"/>
              <w:left w:w="65" w:type="dxa"/>
              <w:right w:w="65" w:type="dxa"/>
            </w:tcMar>
          </w:tcPr>
          <w:p>
            <w:pPr>
              <w:spacing w:after="0" w:line="259" w:lineRule="auto"/>
              <w:ind w:firstLine="0"/>
              <w:jc w:val="center"/>
            </w:pPr>
            <w:r>
              <w:rPr>
                <w:b w:val="0"/>
                <w:sz w:val="18"/>
              </w:rPr>
              <w:t>d / Claim</w:t>
            </w:r>
          </w:p>
        </w:tc>
        <w:tc>
          <w:tcPr>
            <w:tcW w:type="dxa" w:w="3822"/>
            <w:vAlign w:val="center"/>
            <w:tcMar>
              <w:top w:w="65" w:type="dxa"/>
              <w:bottom w:w="65" w:type="dxa"/>
              <w:left w:w="65" w:type="dxa"/>
              <w:right w:w="65" w:type="dxa"/>
            </w:tcMar>
          </w:tcPr>
          <w:p>
            <w:pPr>
              <w:spacing w:after="0" w:line="259" w:lineRule="auto"/>
              <w:ind w:firstLine="0"/>
              <w:jc w:val="left"/>
            </w:pPr>
            <w:r>
              <w:rPr>
                <w:b w:val="0"/>
                <w:sz w:val="18"/>
              </w:rPr>
              <w:t>[144,179) Competition can improve efficiency.</w:t>
            </w:r>
          </w:p>
        </w:tc>
        <w:tc>
          <w:tcPr>
            <w:tcW w:type="dxa" w:w="4038"/>
            <w:vAlign w:val="center"/>
            <w:tcMar>
              <w:top w:w="65" w:type="dxa"/>
              <w:bottom w:w="65" w:type="dxa"/>
              <w:left w:w="65" w:type="dxa"/>
              <w:right w:w="65" w:type="dxa"/>
            </w:tcMar>
          </w:tcPr>
          <w:p>
            <w:pPr>
              <w:spacing w:after="0" w:line="259" w:lineRule="auto"/>
              <w:ind w:firstLine="0"/>
              <w:jc w:val="left"/>
            </w:pPr>
            <w:r>
              <w:rPr>
                <w:b w:val="0"/>
                <w:sz w:val="18"/>
              </w:rPr>
              <w:t>[150,185) Competition can improve efficiency.</w:t>
            </w:r>
          </w:p>
        </w:tc>
      </w:tr>
    </w:tbl>
    <w:p>
      <w:pPr>
        <w:spacing w:after="60" w:line="274" w:lineRule="auto"/>
      </w:pPr>
      <w:r>
        <w:t>四段组件文字以一个ASCII空格连接，坐标从0开始，使用半开区间。新文本仅改写a、b；c、d的文字保持不变，其坐标仍随前文长度变化更新。φ分别把原文版本demo_aug下的四个规范键映射至demo_aug_v1下的新键，关系的每一个端点同步迁移。坐标与字符切片的往返计算保存在augmentation_example.json。</w:t>
      </w:r>
    </w:p>
    <w:p>
      <w:pPr>
        <w:pStyle w:val="Caption"/>
        <w:keepNext/>
        <w:spacing w:after="60" w:line="274" w:lineRule="auto"/>
        <w:ind w:firstLine="0"/>
        <w:jc w:val="center"/>
      </w:pPr>
      <w:r>
        <w:rPr>
          <w:rFonts w:ascii="Arial Unicode MS" w:hAnsi="Arial Unicode MS" w:eastAsia="Arial Unicode MS"/>
        </w:rPr>
        <w:t>表3-3 教学示例的审核状态与损失入口</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528"/>
        <w:gridCol w:w="2304"/>
        <w:gridCol w:w="2174"/>
      </w:tblGrid>
      <w:tr>
        <w:trPr>
          <w:cantSplit/>
          <w:tblHeader/>
        </w:trPr>
        <w:tc>
          <w:tcPr>
            <w:tcW w:type="dxa" w:w="1656"/>
            <w:vAlign w:val="center"/>
            <w:tcMar>
              <w:top w:w="65" w:type="dxa"/>
              <w:bottom w:w="65" w:type="dxa"/>
              <w:left w:w="65" w:type="dxa"/>
              <w:right w:w="65" w:type="dxa"/>
            </w:tcMar>
            <w:shd w:fill="E7E6E6"/>
          </w:tcPr>
          <w:p>
            <w:pPr>
              <w:spacing w:after="0" w:line="259" w:lineRule="auto"/>
              <w:ind w:firstLine="0"/>
              <w:jc w:val="center"/>
            </w:pPr>
            <w:r>
              <w:rPr>
                <w:b/>
                <w:sz w:val="18"/>
              </w:rPr>
              <w:t>监督对象</w:t>
            </w:r>
          </w:p>
        </w:tc>
        <w:tc>
          <w:tcPr>
            <w:tcW w:type="dxa" w:w="3528"/>
            <w:vAlign w:val="center"/>
            <w:tcMar>
              <w:top w:w="65" w:type="dxa"/>
              <w:bottom w:w="65" w:type="dxa"/>
              <w:left w:w="65" w:type="dxa"/>
              <w:right w:w="65" w:type="dxa"/>
            </w:tcMar>
            <w:shd w:fill="E7E6E6"/>
          </w:tcPr>
          <w:p>
            <w:pPr>
              <w:spacing w:after="0" w:line="259" w:lineRule="auto"/>
              <w:ind w:firstLine="0"/>
              <w:jc w:val="center"/>
            </w:pPr>
            <w:r>
              <w:rPr>
                <w:b/>
                <w:sz w:val="18"/>
              </w:rPr>
              <w:t>构造审核状态</w:t>
            </w:r>
          </w:p>
        </w:tc>
        <w:tc>
          <w:tcPr>
            <w:tcW w:type="dxa" w:w="2304"/>
            <w:vAlign w:val="center"/>
            <w:tcMar>
              <w:top w:w="65" w:type="dxa"/>
              <w:bottom w:w="65" w:type="dxa"/>
              <w:left w:w="65" w:type="dxa"/>
              <w:right w:w="65" w:type="dxa"/>
            </w:tcMar>
            <w:shd w:fill="E7E6E6"/>
          </w:tcPr>
          <w:p>
            <w:pPr>
              <w:spacing w:after="0" w:line="259" w:lineRule="auto"/>
              <w:ind w:firstLine="0"/>
              <w:jc w:val="center"/>
            </w:pPr>
            <w:r>
              <w:rPr>
                <w:b/>
                <w:sz w:val="18"/>
              </w:rPr>
              <w:t>掩码</w:t>
            </w:r>
          </w:p>
        </w:tc>
        <w:tc>
          <w:tcPr>
            <w:tcW w:type="dxa" w:w="2174"/>
            <w:vAlign w:val="center"/>
            <w:tcMar>
              <w:top w:w="65" w:type="dxa"/>
              <w:bottom w:w="65" w:type="dxa"/>
              <w:left w:w="65" w:type="dxa"/>
              <w:right w:w="65" w:type="dxa"/>
            </w:tcMar>
            <w:shd w:fill="E7E6E6"/>
          </w:tcPr>
          <w:p>
            <w:pPr>
              <w:spacing w:after="0" w:line="259" w:lineRule="auto"/>
              <w:ind w:firstLine="0"/>
              <w:jc w:val="center"/>
            </w:pPr>
            <w:r>
              <w:rPr>
                <w:b/>
                <w:sz w:val="18"/>
              </w:rPr>
              <w:t>增强侧用途</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a b c d组件</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含义与角色均通过</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mC=1</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全部参与头监督；a b c参与组件对齐</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b→a supports</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原新标签一致</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mR=1</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正关系监督与成对项</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c→b supports</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关系待定</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mR=0</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不进入增强关系监督或对齐，不改成NONE</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b→d NONE</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原新标签一致</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mR=1</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NONE监督与成对项</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域外c→d NONE</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不在影响域</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mR=0</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保留原文监督 不进入增强侧关系损失</w:t>
            </w:r>
          </w:p>
        </w:tc>
      </w:tr>
    </w:tbl>
    <w:p>
      <w:pPr>
        <w:spacing w:after="60" w:line="274" w:lineRule="auto"/>
      </w:pPr>
      <w:r>
        <w:t xml:space="preserve">该视图通过组件一致性检查，虽有一项关系待定，仍由默认因素掩码策略接纳。设这篇源文档仅有一个接受视图，则md=1，头监督为(S原文+Sm增强)/2。组件对齐集合A+={a,b,c}，每项先取1/3；d只参与可靠NONE端点，不因此进入组件对齐。关系对齐的正关系组和NONE组各有一项，组权重各为1/2；乘默认λR=0.5后，两项各占0.25。原文完整生成及句子监督的权重不变，增强输运图不作为完整生成答案。</w:t>
      </w:r>
    </w:p>
    <w:p>
      <w:pPr>
        <w:spacing w:after="60" w:line="274" w:lineRule="auto"/>
      </w:pPr>
      <w:r>
        <w:t xml:space="preserve">再考虑第二次构造尝试，将a改为“Teamwork does not help children learn social skills.”。新增否定改变原组件含义，整视图在组件一致性检查被拒绝，不进入Views，不增加md，也不参与任何增强损失；原文监督及第一条已接受视图保留。如果随后另有一个真实接受视图，md才增至2，头监督的每视图权重变为1/3，成对项再按两个接受视图平均。</w:t>
      </w:r>
    </w:p>
    <w:p>
      <w:pPr>
        <w:spacing w:after="60" w:line="274" w:lineRule="auto"/>
      </w:pPr>
      <w:r>
        <w:t>该示例使坐标、掩码与权重可被复算，却不验证模型生成或语义审核的实际可靠性。真实机制验证仍需提供相同字段的目标流程原始输出，尤其是“部分掩码接纳”与“语义变化拒绝”各一条。</w:t>
      </w:r>
    </w:p>
    <w:p>
      <w:pPr>
        <w:pStyle w:val="Heading2"/>
      </w:pPr>
      <w:r>
        <w:rPr>
          <w:rFonts w:ascii="Arial Unicode MS" w:hAnsi="Arial Unicode MS" w:eastAsia="Arial Unicode MS"/>
        </w:rPr>
        <w:t>3.4 成对组件与关系学习</w:t>
      </w:r>
    </w:p>
    <w:p>
      <w:pPr>
        <w:spacing w:after="60" w:line="274" w:lineRule="auto"/>
      </w:pPr>
      <w:r>
        <w:t xml:space="preserve">增强视图通过检查后，训练还需利用“不同表达对应相同论辩功能”的可靠对应。以表3-1为例，若T4被改写且通过组件检查，其Premise标签可以参与增强侧监督；T4→T3的supports与T4→T7的NONE则须各自通过关系检查，不能由组件通过推定二者都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Normal"/>
        <w:spacing w:after="60" w:line="274" w:lineRule="auto"/>
      </w:pPr>
      <w:r>
        <w:t xml:space="preserve">图3-2给出从增强样本到参数更新的训练架构。原文与增强文经过同一个生成器，组件对应</w:t>
      </w:r>
      <w:r>
        <w:t xml:space="preserve"> </w:t>
      </w:r>
      <m:oMath>
        <m:r>
          <m:t>ϕ</m:t>
        </m:r>
      </m:oMath>
      <w:r>
        <w:t xml:space="preserve"> </w:t>
      </w:r>
      <w:r>
        <w:t xml:space="preserve">将两个视图的类型分布和关系状态分布连接起来；生成目标、句子监督与新增辅助目标共同作用于可训练表示。基础模型权重保持冻结，辅助头仅在训练阶段使用。</w:t>
      </w:r>
    </w:p>
    <w:p>
      <w:pPr>
        <w:keepNext/>
        <w:ind w:firstLine="0"/>
        <w:jc w:val="center"/>
      </w:pPr>
      <w:r>
        <w:drawing>
          <wp:inline>
            <wp:extent cx="6120000" cy="4513565"/>
            <wp:docPr id="5" name="Picture 149" descr="图3-2 关系影响域约束的可靠成对学习模型；内嵌SVG矢量图，并保留PNG兼容预览。"/>
            <wp:cNvGraphicFramePr>
              <a:graphicFrameLocks noChangeAspect="1"/>
            </wp:cNvGraphicFramePr>
            <a:graphic>
              <a:graphicData uri="http://schemas.openxmlformats.org/drawingml/2006/picture">
                <pic:pic>
                  <pic:nvPicPr>
                    <pic:cNvPr id="0" name="02_可靠成对学习模型_可编辑.png"/>
                    <pic:cNvPicPr/>
                  </pic:nvPicPr>
                  <pic:blipFill>
                    <a:blip r:embed="rId11">
                      <a:extLst>
                        <a:ext uri="{96DAC541-7B7A-43D3-8B79-37D633B846F1}">
                          <asvg:svgBlip xmlns:asvg="http://schemas.microsoft.com/office/drawing/2016/SVG/main" r:embed="rId12"/>
                        </a:ext>
                      </a:extLst>
                    </a:blip>
                    <a:stretch>
                      <a:fillRect/>
                    </a:stretch>
                  </pic:blipFill>
                  <pic:spPr>
                    <a:xfrm>
                      <a:off x="0" y="0"/>
                      <a:ext cx="6120000" cy="4513565"/>
                    </a:xfrm>
                    <a:prstGeom prst="rect"/>
                  </pic:spPr>
                </pic:pic>
              </a:graphicData>
            </a:graphic>
          </wp:inline>
        </w:drawing>
      </w:r>
    </w:p>
    <w:p>
      <w:pPr>
        <w:pStyle w:val="Caption"/>
        <w:keepNext w:val="0"/>
        <w:spacing w:after="60" w:line="274" w:lineRule="auto"/>
        <w:ind w:firstLine="0"/>
        <w:jc w:val="center"/>
      </w:pPr>
      <w:r>
        <w:rPr>
          <w:rFonts w:ascii="Arial Unicode MS" w:hAnsi="Arial Unicode MS" w:eastAsia="Arial Unicode MS"/>
        </w:rPr>
        <w:t xml:space="preserve">图3-2 关系影响域约束的可靠成对学习模型</w:t>
      </w:r>
    </w:p>
    <w:p>
      <w:pPr>
        <w:pStyle w:val="Normal"/>
        <w:spacing w:after="60" w:line="274" w:lineRule="auto"/>
      </w:pPr>
      <w:r>
        <w:t xml:space="preserve">图3-2区分原文生成路径、变体可靠监督与成对学习；具体梯度来源在3.4.2节说明。图中改写全文进入共享表示，但未审核标签不进入增强侧损失。</w:t>
      </w:r>
    </w:p>
    <w:p>
      <w:pPr>
        <w:pStyle w:val="Heading3"/>
      </w:pPr>
      <w:r>
        <w:rPr>
          <w:rFonts w:ascii="Arial Unicode MS" w:hAnsi="Arial Unicode MS" w:eastAsia="Arial Unicode MS"/>
        </w:rPr>
        <w:t>3.4.1 辅助预测与可靠因素对齐</w:t>
      </w:r>
    </w:p>
    <w:p>
      <w:pPr>
        <w:pStyle w:val="Normal"/>
        <w:spacing w:after="60" w:line="274" w:lineRule="auto"/>
      </w:pPr>
      <w:r>
        <w:t xml:space="preserve">组件类型头和关系状态头是读取生成器隐藏表示的辅助分类器，以共享生成器的输入表示为基础，使用金标跨度定位训练因素。下游生成器只接收任务指令及原文或增强文；增强构造阶段使用的金标槽位、类型与关系条件仅用于监督，不进入该模型的输入。</w:t>
      </w:r>
    </w:p>
    <w:p>
      <w:pPr>
        <w:pStyle w:val="Normal"/>
        <w:spacing w:after="60" w:line="274" w:lineRule="auto"/>
      </w:pPr>
      <w:r>
        <w:t xml:space="preserve">令</w:t>
      </w:r>
      <w:r>
        <w:t xml:space="preserve"> </w:t>
      </w:r>
      <m:oMath>
        <m:sSubSup>
          <m:e>
            <m:r>
              <m:t>h</m:t>
            </m:r>
          </m:e>
          <m:sub>
            <m:r>
              <m:t>i</m:t>
            </m:r>
          </m:sub>
          <m:sup>
            <m:r>
              <m:t>x</m:t>
            </m:r>
          </m:sup>
        </m:sSubSup>
      </m:oMath>
      <w:r>
        <w:t xml:space="preserve"> </w:t>
      </w:r>
      <w:r>
        <w:t xml:space="preserve">为输入子词隐藏状态，</w:t>
      </w:r>
      <m:oMath>
        <m:sSub>
          <m:e>
            <m:r>
              <m:t>B</m:t>
            </m:r>
          </m:e>
          <m:sub>
            <m:r>
              <m:t>x</m:t>
            </m:r>
          </m:sub>
        </m:sSub>
        <m:d>
          <m:dPr>
            <m:begChr m:val="("/>
            <m:endChr m:val=")"/>
            <m:sepChr m:val=""/>
            <m:grow/>
          </m:dPr>
          <m:e>
            <m:r>
              <m:t>c</m:t>
            </m:r>
          </m:e>
        </m:d>
      </m:oMath>
      <w:r>
        <w:t xml:space="preserve"> </w:t>
      </w:r>
      <w:r>
        <w:t xml:space="preserve">为组件字符跨度对应的输入子词集合，</w:t>
      </w:r>
      <m:oMath>
        <m:sSubSup>
          <m:e>
            <m:r>
              <m:t>h</m:t>
            </m:r>
          </m:e>
          <m:sub>
            <m:r>
              <m:t>e</m:t>
            </m:r>
            <m:r>
              <m:t>n</m:t>
            </m:r>
            <m:r>
              <m:t>d</m:t>
            </m:r>
          </m:sub>
          <m:sup>
            <m:r>
              <m:t>x</m:t>
            </m:r>
          </m:sup>
        </m:sSubSup>
      </m:oMath>
      <w:r>
        <w:t xml:space="preserve"> </w:t>
      </w:r>
      <w:r>
        <w:t xml:space="preserve">为全文输入结束且回答尚未开始处的隐藏状态。坐标映射和输入隔离的实现验收要求见附录F.2。组件表示与类型分布定义为</w:t>
      </w:r>
    </w:p>
    <w:p>
      <w:pPr>
        <w:pStyle w:val="Normal"/>
        <w:keepNext w:val="0"/>
        <w:keepLines/>
        <w:tabs>
          <w:tab w:pos="5046" w:val="center"/>
          <w:tab w:pos="10091" w:val="right"/>
        </w:tabs>
        <w:spacing w:line="276" w:lineRule="auto" w:before="120" w:after="120"/>
        <w:ind w:firstLine="0" w:left="0" w:right="0"/>
        <w:jc w:val="left"/>
      </w:pPr>
      <w:r>
        <w:rPr>
          <w:sz w:val="21"/>
        </w:rPr>
        <w:tab/>
      </w:r>
      <m:oMath>
        <m:sSubSup>
          <m:e>
            <m:r>
              <m:t>u</m:t>
            </m:r>
          </m:e>
          <m:sub>
            <m:r>
              <m:t>c</m:t>
            </m:r>
          </m:sub>
          <m:sup>
            <m:r>
              <m:t>x</m:t>
            </m:r>
          </m:sup>
        </m:sSubSup>
        <m:r>
          <m:rPr>
            <m:sty m:val="p"/>
          </m:rPr>
          <m:t>=</m:t>
        </m:r>
        <m:sSub>
          <m:e>
            <m:r>
              <m:rPr>
                <m:sty m:val="p"/>
              </m:rPr>
              <m:t>MeanPool</m:t>
            </m:r>
          </m:e>
          <m:sub>
            <m:r>
              <m:t>i</m:t>
            </m:r>
            <m:r>
              <m:rPr>
                <m:sty m:val="p"/>
              </m:rPr>
              <m:t>∈</m:t>
            </m:r>
            <m:sSub>
              <m:e>
                <m:r>
                  <m:t>B</m:t>
                </m:r>
              </m:e>
              <m:sub>
                <m:r>
                  <m:t>x</m:t>
                </m:r>
              </m:sub>
            </m:sSub>
            <m:d>
              <m:dPr>
                <m:begChr m:val="("/>
                <m:endChr m:val=")"/>
                <m:sepChr m:val=""/>
                <m:grow/>
              </m:dPr>
              <m:e>
                <m:r>
                  <m:t>c</m:t>
                </m:r>
              </m:e>
            </m:d>
          </m:sub>
        </m:sSub>
        <m:sSubSup>
          <m:e>
            <m:r>
              <m:t>h</m:t>
            </m:r>
          </m:e>
          <m:sub>
            <m:r>
              <m:t>i</m:t>
            </m:r>
          </m:sub>
          <m:sup>
            <m:r>
              <m:t>x</m:t>
            </m:r>
          </m:sup>
        </m:sSubSup>
        <m:r>
          <m:rPr>
            <m:sty m:val="p"/>
          </m:rPr>
          <m:t>,</m:t>
        </m:r>
        <m:r>
          <m:t>  </m:t>
        </m:r>
        <m:sSubSup>
          <m:e>
            <m:r>
              <m:t>p</m:t>
            </m:r>
          </m:e>
          <m:sub>
            <m:r>
              <m:t>C</m:t>
            </m:r>
          </m:sub>
          <m:sup>
            <m:r>
              <m:t>x</m:t>
            </m:r>
          </m:sup>
        </m:sSubSup>
        <m:d>
          <m:dPr>
            <m:begChr m:val="("/>
            <m:endChr m:val=")"/>
            <m:sepChr m:val=""/>
            <m:grow/>
          </m:dPr>
          <m:e>
            <m:r>
              <m:t>c</m:t>
            </m:r>
          </m:e>
        </m:d>
        <m:r>
          <m:rPr>
            <m:sty m:val="p"/>
          </m:rPr>
          <m:t>=</m:t>
        </m:r>
        <m:r>
          <m:rPr>
            <m:sty m:val="p"/>
          </m:rPr>
          <m:t>softmax</m:t>
        </m:r>
        <m:sSub>
          <m:e>
            <m:r>
              <m:t>f</m:t>
            </m:r>
          </m:e>
          <m:sub>
            <m:r>
              <m:t>C</m:t>
            </m:r>
          </m:sub>
        </m:sSub>
        <m:d>
          <m:dPr>
            <m:begChr m:val="("/>
            <m:endChr m:val=")"/>
            <m:sepChr m:val=""/>
            <m:grow/>
          </m:dPr>
          <m:e>
            <m:d>
              <m:dPr>
                <m:begChr m:val="["/>
                <m:endChr m:val="]"/>
                <m:sepChr m:val=""/>
                <m:grow/>
              </m:dPr>
              <m:e>
                <m:sSubSup>
                  <m:e>
                    <m:r>
                      <m:t>u</m:t>
                    </m:r>
                  </m:e>
                  <m:sub>
                    <m:r>
                      <m:t>c</m:t>
                    </m:r>
                  </m:sub>
                  <m:sup>
                    <m:r>
                      <m:t>x</m:t>
                    </m:r>
                  </m:sup>
                </m:sSubSup>
                <m:r>
                  <m:rPr>
                    <m:sty m:val="p"/>
                  </m:rPr>
                  <m:t>;</m:t>
                </m:r>
                <m:sSubSup>
                  <m:e>
                    <m:r>
                      <m:t>h</m:t>
                    </m:r>
                  </m:e>
                  <m:sub>
                    <m:r>
                      <m:t>e</m:t>
                    </m:r>
                    <m:r>
                      <m:t>n</m:t>
                    </m:r>
                    <m:r>
                      <m:t>d</m:t>
                    </m:r>
                  </m:sub>
                  <m:sup>
                    <m:r>
                      <m:t>x</m:t>
                    </m:r>
                  </m:sup>
                </m:sSubSup>
              </m:e>
            </m:d>
          </m:e>
        </m:d>
        <m:r>
          <m:rPr>
            <m:sty m:val="p"/>
          </m:rPr>
          <m:t>.</m:t>
        </m:r>
      </m:oMath>
      <w:r>
        <w:rPr>
          <w:sz w:val="21"/>
        </w:rPr>
        <w:tab/>
      </w:r>
      <w:bookmarkStart w:id="2016" w:name="Equation_3_7"/>
      <w:r>
        <w:rPr>
          <w:sz w:val="21"/>
        </w:rPr>
        <w:t>（3-</w:t>
      </w:r>
      <w:fldSimple w:instr=" SEQ Equation3 \* ARABIC ">
        <w:r>
          <w:t>7</w:t>
        </w:r>
      </w:fldSimple>
      <w:r>
        <w:rPr>
          <w:sz w:val="21"/>
        </w:rPr>
        <w:t>）</w:t>
      </w:r>
      <w:bookmarkEnd w:id="2016"/>
    </w:p>
    <w:p>
      <w:pPr>
        <w:pStyle w:val="Normal"/>
        <w:spacing w:after="60" w:line="274" w:lineRule="auto"/>
      </w:pPr>
      <w:r>
        <w:t xml:space="preserve">因果模型的早期 token 只能访问左侧上下文。拼接</w:t>
      </w:r>
      <w:r>
        <w:t xml:space="preserve"> </w:t>
      </w:r>
      <m:oMath>
        <m:sSubSup>
          <m:e>
            <m:r>
              <m:t>h</m:t>
            </m:r>
          </m:e>
          <m:sub>
            <m:r>
              <m:t>e</m:t>
            </m:r>
            <m:r>
              <m:t>n</m:t>
            </m:r>
            <m:r>
              <m:t>d</m:t>
            </m:r>
          </m:sub>
          <m:sup>
            <m:r>
              <m:t>x</m:t>
            </m:r>
          </m:sup>
        </m:sSubSup>
      </m:oMath>
      <w:r>
        <w:t xml:space="preserve"> </w:t>
      </w:r>
      <w:r>
        <w:t xml:space="preserve">为跨度表示补充全文上下文通道，并不改变模型的因果注意力结构；组件头不输入待预测的金标类型。</w:t>
      </w:r>
    </w:p>
    <w:p>
      <w:pPr>
        <w:pStyle w:val="Normal"/>
        <w:spacing w:after="60" w:line="274" w:lineRule="auto"/>
      </w:pPr>
      <w:r>
        <w:t xml:space="preserve">式</w:t>
      </w:r>
      <w:fldSimple w:instr=" REF Equation_3_7 \h ">
        <w:r>
          <w:t>（3-7）</w:t>
        </w:r>
      </w:fldSimple>
      <w:r>
        <w:t xml:space="preserve">中的MeanPool对组件覆盖的输入子词表示取算术均值；方括号及分号表示向量拼接。组件头输出类型分布，式</w:t>
      </w:r>
      <w:fldSimple w:instr=" REF Equation_3_8 \h ">
        <w:r>
          <w:t>（3-8）</w:t>
        </w:r>
      </w:fldSimple>
      <w:r>
        <w:t xml:space="preserve">的关系头则输出完整端点组合的关系状态分布。</w:t>
      </w:r>
    </w:p>
    <w:p>
      <w:pPr>
        <w:pStyle w:val="Normal"/>
        <w:spacing w:after="60" w:line="274" w:lineRule="auto"/>
      </w:pPr>
      <w:r>
        <w:t xml:space="preserve">关系头显式区分源和目标，写为</w:t>
      </w:r>
    </w:p>
    <w:p>
      <w:pPr>
        <w:pStyle w:val="Normal"/>
        <w:keepNext w:val="0"/>
        <w:keepLines/>
        <w:tabs>
          <w:tab w:pos="5046" w:val="center"/>
          <w:tab w:pos="10091" w:val="right"/>
        </w:tabs>
        <w:spacing w:line="276" w:lineRule="auto" w:before="120" w:after="120"/>
        <w:ind w:firstLine="0" w:left="0" w:right="0"/>
        <w:jc w:val="left"/>
      </w:pPr>
      <w:r>
        <w:rPr>
          <w:sz w:val="21"/>
        </w:rPr>
        <w:tab/>
      </w:r>
      <m:oMath>
        <m:sSubSup>
          <m:e>
            <m:r>
              <m:t>p</m:t>
            </m:r>
          </m:e>
          <m:sub>
            <m:r>
              <m:t>R</m:t>
            </m:r>
          </m:sub>
          <m:sup>
            <m:r>
              <m:t>x</m:t>
            </m:r>
          </m:sup>
        </m:sSubSup>
        <m:d>
          <m:dPr>
            <m:begChr m:val="("/>
            <m:endChr m:val=")"/>
            <m:sepChr m:val=""/>
            <m:grow/>
          </m:dPr>
          <m:e>
            <m:r>
              <m:t>S</m:t>
            </m:r>
            <m:r>
              <m:rPr>
                <m:sty m:val="p"/>
              </m:rPr>
              <m:t>,</m:t>
            </m:r>
            <m:r>
              <m:t>v</m:t>
            </m:r>
          </m:e>
        </m:d>
        <m:r>
          <m:rPr>
            <m:sty m:val="p"/>
          </m:rPr>
          <m:t>=</m:t>
        </m:r>
        <m:r>
          <m:rPr>
            <m:sty m:val="p"/>
          </m:rPr>
          <m:t>softmax</m:t>
        </m:r>
        <m:sSub>
          <m:e>
            <m:r>
              <m:t>f</m:t>
            </m:r>
          </m:e>
          <m:sub>
            <m:r>
              <m:t>R</m:t>
            </m:r>
          </m:sub>
        </m:sSub>
        <m:d>
          <m:dPr>
            <m:begChr m:val="("/>
            <m:endChr m:val=")"/>
            <m:sepChr m:val=""/>
            <m:grow/>
          </m:dPr>
          <m:e>
            <m:d>
              <m:dPr>
                <m:begChr m:val="["/>
                <m:endChr m:val="]"/>
                <m:sepChr m:val=""/>
                <m:grow/>
              </m:dPr>
              <m:e>
                <m:r>
                  <m:rPr>
                    <m:sty m:val="p"/>
                  </m:rPr>
                  <m:t>Pool</m:t>
                </m:r>
                <m:d>
                  <m:dPr>
                    <m:begChr m:val="("/>
                    <m:endChr m:val=")"/>
                    <m:sepChr m:val=""/>
                    <m:grow/>
                  </m:dPr>
                  <m:e>
                    <m:r>
                      <m:rPr>
                        <m:sty m:val="p"/>
                      </m:rPr>
                      <m:t>{</m:t>
                    </m:r>
                    <m:sSubSup>
                      <m:e>
                        <m:r>
                          <m:t>u</m:t>
                        </m:r>
                      </m:e>
                      <m:sub>
                        <m:r>
                          <m:t>c</m:t>
                        </m:r>
                      </m:sub>
                      <m:sup>
                        <m:r>
                          <m:t>x</m:t>
                        </m:r>
                      </m:sup>
                    </m:sSubSup>
                    <m:r>
                      <m:rPr>
                        <m:sty m:val="p"/>
                      </m:rPr>
                      <m:t>:</m:t>
                    </m:r>
                    <m:r>
                      <m:t>c</m:t>
                    </m:r>
                    <m:r>
                      <m:rPr>
                        <m:sty m:val="p"/>
                      </m:rPr>
                      <m:t>∈</m:t>
                    </m:r>
                    <m:r>
                      <m:t>S</m:t>
                    </m:r>
                    <m:r>
                      <m:rPr>
                        <m:sty m:val="p"/>
                      </m:rPr>
                      <m:t>}</m:t>
                    </m:r>
                  </m:e>
                </m:d>
                <m:r>
                  <m:rPr>
                    <m:sty m:val="p"/>
                  </m:rPr>
                  <m:t>;</m:t>
                </m:r>
                <m:sSubSup>
                  <m:e>
                    <m:r>
                      <m:t>u</m:t>
                    </m:r>
                  </m:e>
                  <m:sub>
                    <m:r>
                      <m:t>v</m:t>
                    </m:r>
                  </m:sub>
                  <m:sup>
                    <m:r>
                      <m:t>x</m:t>
                    </m:r>
                  </m:sup>
                </m:sSubSup>
                <m:r>
                  <m:rPr>
                    <m:sty m:val="p"/>
                  </m:rPr>
                  <m:t>;</m:t>
                </m:r>
                <m:sSubSup>
                  <m:e>
                    <m:r>
                      <m:t>h</m:t>
                    </m:r>
                  </m:e>
                  <m:sub>
                    <m:r>
                      <m:t>e</m:t>
                    </m:r>
                    <m:r>
                      <m:t>n</m:t>
                    </m:r>
                    <m:r>
                      <m:t>d</m:t>
                    </m:r>
                  </m:sub>
                  <m:sup>
                    <m:r>
                      <m:t>x</m:t>
                    </m:r>
                  </m:sup>
                </m:sSubSup>
                <m:r>
                  <m:rPr>
                    <m:sty m:val="p"/>
                  </m:rPr>
                  <m:t>;</m:t>
                </m:r>
                <m:r>
                  <m:t>η</m:t>
                </m:r>
                <m:d>
                  <m:dPr>
                    <m:begChr m:val="("/>
                    <m:endChr m:val=")"/>
                    <m:sepChr m:val=""/>
                    <m:grow/>
                  </m:dPr>
                  <m:e>
                    <m:r>
                      <m:t>S</m:t>
                    </m:r>
                    <m:r>
                      <m:rPr>
                        <m:sty m:val="p"/>
                      </m:rPr>
                      <m:t>,</m:t>
                    </m:r>
                    <m:r>
                      <m:t>v</m:t>
                    </m:r>
                  </m:e>
                </m:d>
              </m:e>
            </m:d>
          </m:e>
        </m:d>
        <m:r>
          <m:rPr>
            <m:sty m:val="p"/>
          </m:rPr>
          <m:t>,</m:t>
        </m:r>
      </m:oMath>
      <w:r>
        <w:rPr>
          <w:sz w:val="21"/>
        </w:rPr>
        <w:tab/>
      </w:r>
      <w:bookmarkStart w:id="2017" w:name="Equation_3_8"/>
      <w:r>
        <w:rPr>
          <w:sz w:val="21"/>
        </w:rPr>
        <w:t>（3-</w:t>
      </w:r>
      <w:fldSimple w:instr=" SEQ Equation3 \* ARABIC ">
        <w:r>
          <w:t>8</w:t>
        </w:r>
      </w:fldSimple>
      <w:r>
        <w:rPr>
          <w:sz w:val="21"/>
        </w:rPr>
        <w:t>）</w:t>
      </w:r>
      <w:bookmarkEnd w:id="2017"/>
    </w:p>
    <w:p>
      <w:pPr>
        <w:spacing w:after="60" w:line="274" w:lineRule="auto"/>
      </w:pPr>
      <w:r>
        <w:t>其中fC、fR为两层感知机，Pool为源成员表示的算术均值。η包含源成员数、源起点的最小值和均值、源终点的最大值和均值，以及目标起止位置；这里的位置是由规范字符区间派生的评价token坐标，并除以文档token数。它们仅为输入特征，不参与规范对象去重，亦不替代字符残差。η不包含待预测的关系标签；二元关系使用单一源表示，超边以完整源集合和目标作为监督对象，状态包含NONE。两个辅助头在开发评价和测试时移除。</w:t>
      </w:r>
    </w:p>
    <w:p>
      <w:pPr>
        <w:pStyle w:val="Normal"/>
        <w:spacing w:after="60" w:line="274" w:lineRule="auto"/>
      </w:pPr>
      <w:r>
        <w:t xml:space="preserve">组件对齐应覆盖被改写的组件及其正关系所连接的只读端点，定义</w:t>
      </w:r>
    </w:p>
    <w:p>
      <w:pPr>
        <w:pStyle w:val="Normal"/>
        <w:keepNext w:val="0"/>
        <w:keepLines/>
        <w:tabs>
          <w:tab w:pos="5046" w:val="center"/>
          <w:tab w:pos="10091" w:val="right"/>
        </w:tabs>
        <w:spacing w:line="276" w:lineRule="auto" w:before="120" w:after="120"/>
        <w:ind w:firstLine="0" w:left="0" w:right="0"/>
        <w:jc w:val="left"/>
      </w:pPr>
      <w:r>
        <w:rPr>
          <w:sz w:val="21"/>
        </w:rPr>
        <w:tab/>
      </w:r>
      <m:oMath>
        <m:sSup>
          <m:e>
            <m:r>
              <m:t>A</m:t>
            </m:r>
          </m:e>
          <m:sup>
            <m:r>
              <m:rPr>
                <m:sty m:val="p"/>
              </m:rPr>
              <m:t>+</m:t>
            </m:r>
          </m:sup>
        </m:sSup>
        <m:r>
          <m:rPr>
            <m:sty m:val="p"/>
          </m:rPr>
          <m:t>=</m:t>
        </m:r>
        <m:r>
          <m:t>A</m:t>
        </m:r>
        <m:r>
          <m:rPr>
            <m:sty m:val="p"/>
          </m:rPr>
          <m:t>∪</m:t>
        </m:r>
        <m:limLow>
          <m:e>
            <m:r>
              <m:rPr>
                <m:sty m:val="p"/>
              </m:rPr>
              <m:t>⋃</m:t>
            </m:r>
          </m:e>
          <m:lim>
            <m:m>
              <m:mPr>
                <m:baseJc m:val="center"/>
                <m:plcHide m:val="on"/>
                <m:mcs>
                  <m:mc>
                    <m:mcPr>
                      <m:mcJc m:val="center"/>
                      <m:count m:val="1"/>
                    </m:mcPr>
                  </m:mc>
                </m:mcs>
              </m:mPr>
              <m:mr>
                <m:e>
                  <m:r>
                    <m:t>ω</m:t>
                  </m:r>
                  <m:r>
                    <m:rPr>
                      <m:sty m:val="p"/>
                    </m:rPr>
                    <m:t>∈</m:t>
                  </m:r>
                  <m:sSub>
                    <m:e>
                      <m:r>
                        <m:rPr>
                          <m:sty m:val="p"/>
                          <m:scr m:val="script"/>
                        </m:rPr>
                        <m:t>D</m:t>
                      </m:r>
                    </m:e>
                    <m:sub>
                      <m:r>
                        <m:t>A</m:t>
                      </m:r>
                    </m:sub>
                  </m:sSub>
                </m:e>
              </m:mr>
              <m:mr>
                <m:e>
                  <m:sSub>
                    <m:e>
                      <m:r>
                        <m:t>y</m:t>
                      </m:r>
                    </m:e>
                    <m:sub>
                      <m:r>
                        <m:t>ω</m:t>
                      </m:r>
                    </m:sub>
                  </m:sSub>
                  <m:r>
                    <m:rPr>
                      <m:sty m:val="p"/>
                    </m:rPr>
                    <m:t>≠</m:t>
                  </m:r>
                  <m:r>
                    <m:rPr>
                      <m:sty m:val="p"/>
                    </m:rPr>
                    <m:t>N</m:t>
                  </m:r>
                  <m:r>
                    <m:rPr>
                      <m:sty m:val="p"/>
                    </m:rPr>
                    <m:t>O</m:t>
                  </m:r>
                  <m:r>
                    <m:rPr>
                      <m:sty m:val="p"/>
                    </m:rPr>
                    <m:t>N</m:t>
                  </m:r>
                  <m:r>
                    <m:rPr>
                      <m:sty m:val="p"/>
                    </m:rPr>
                    <m:t>E</m:t>
                  </m:r>
                </m:e>
              </m:mr>
            </m:m>
          </m:lim>
        </m:limLow>
        <m:r>
          <m:t>V</m:t>
        </m:r>
        <m:d>
          <m:dPr>
            <m:begChr m:val="("/>
            <m:endChr m:val=")"/>
            <m:sepChr m:val=""/>
            <m:grow/>
          </m:dPr>
          <m:e>
            <m:r>
              <m:t>ω</m:t>
            </m:r>
          </m:e>
        </m:d>
        <m:r>
          <m:rPr>
            <m:sty m:val="p"/>
          </m:rPr>
          <m:t>.</m:t>
        </m:r>
      </m:oMath>
      <w:r>
        <w:rPr>
          <w:sz w:val="21"/>
        </w:rPr>
        <w:tab/>
      </w:r>
      <w:bookmarkStart w:id="2018" w:name="Equation_3_9"/>
      <w:r>
        <w:rPr>
          <w:sz w:val="21"/>
        </w:rPr>
        <w:t>（3-</w:t>
      </w:r>
      <w:fldSimple w:instr=" SEQ Equation3 \* ARABIC ">
        <w:r>
          <w:t>9</w:t>
        </w:r>
      </w:fldSimple>
      <w:r>
        <w:rPr>
          <w:sz w:val="21"/>
        </w:rPr>
        <w:t>）</w:t>
      </w:r>
      <w:bookmarkEnd w:id="2018"/>
    </w:p>
    <w:p>
      <w:pPr>
        <w:pStyle w:val="Normal"/>
        <w:spacing w:after="60" w:line="274" w:lineRule="auto"/>
      </w:pPr>
      <w:r>
        <w:t xml:space="preserve">即改写组件以及通过正边或超边相连的只读端点。NONE 因素进入关系项，但不因此把全部远处组件都纳入组件对齐。对通过组件检查的视图</w:t>
      </w:r>
      <w:r>
        <w:t xml:space="preserve"> </w:t>
      </w:r>
      <m:oMath>
        <m:r>
          <m:t>x</m:t>
        </m:r>
        <m:r>
          <m:rPr>
            <m:sty m:val="p"/>
          </m:rPr>
          <m:t>′</m:t>
        </m:r>
      </m:oMath>
      <w:r>
        <w:t xml:space="preserve">，以下公式中的</w:t>
      </w:r>
      <w:r>
        <w:t xml:space="preserve"> </w:t>
      </w:r>
      <m:oMath>
        <m:sSup>
          <m:e>
            <m:r>
              <m:t>A</m:t>
            </m:r>
          </m:e>
          <m:sup>
            <m:r>
              <m:rPr>
                <m:sty m:val="p"/>
              </m:rPr>
              <m:t>+</m:t>
            </m:r>
          </m:sup>
        </m:sSup>
      </m:oMath>
      <w:r>
        <w:t xml:space="preserve"> </w:t>
      </w:r>
      <w:r>
        <w:t xml:space="preserve">进一步与</w:t>
      </w:r>
      <w:r>
        <w:t xml:space="preserve"> </w:t>
      </w:r>
      <m:oMath>
        <m:r>
          <m:rPr>
            <m:sty m:val="p"/>
          </m:rPr>
          <m:t>{</m:t>
        </m:r>
        <m:r>
          <m:t>c</m:t>
        </m:r>
        <m:r>
          <m:rPr>
            <m:sty m:val="p"/>
          </m:rPr>
          <m:t>:</m:t>
        </m:r>
        <m:sSub>
          <m:e>
            <m:r>
              <m:t>m</m:t>
            </m:r>
          </m:e>
          <m:sub>
            <m:r>
              <m:t>C</m:t>
            </m:r>
          </m:sub>
        </m:sSub>
        <m:d>
          <m:dPr>
            <m:begChr m:val="("/>
            <m:endChr m:val=")"/>
            <m:sepChr m:val=""/>
            <m:grow/>
          </m:dPr>
          <m:e>
            <m:r>
              <m:t>c</m:t>
            </m:r>
          </m:e>
        </m:d>
        <m:r>
          <m:rPr>
            <m:sty m:val="p"/>
          </m:rPr>
          <m:t>=</m:t>
        </m:r>
        <m:r>
          <m:t>1</m:t>
        </m:r>
        <m:r>
          <m:rPr>
            <m:sty m:val="p"/>
          </m:rPr>
          <m:t>}</m:t>
        </m:r>
      </m:oMath>
      <w:r>
        <w:t xml:space="preserve"> </w:t>
      </w:r>
      <w:r>
        <w:t xml:space="preserve">取交集，组件对齐为</w:t>
      </w:r>
    </w:p>
    <w:p>
      <w:pPr>
        <w:pStyle w:val="Normal"/>
        <w:keepNext w:val="0"/>
        <w:keepLines/>
        <w:tabs>
          <w:tab w:pos="5046" w:val="center"/>
          <w:tab w:pos="10091" w:val="right"/>
        </w:tabs>
        <w:spacing w:line="276" w:lineRule="auto" w:before="120" w:after="120"/>
        <w:ind w:firstLine="0" w:left="0" w:right="0"/>
        <w:jc w:val="left"/>
      </w:pPr>
      <w:r>
        <w:rPr>
          <w:sz w:val="21"/>
        </w:rPr>
        <w:tab/>
      </w:r>
      <m:oMath>
        <m:sSubSup>
          <m:e>
            <m:r>
              <m:t>L</m:t>
            </m:r>
          </m:e>
          <m:sub>
            <m:r>
              <m:t>C</m:t>
            </m:r>
          </m:sub>
          <m:sup>
            <m:r>
              <m:t>a</m:t>
            </m:r>
            <m:r>
              <m:t>l</m:t>
            </m:r>
            <m:r>
              <m:t>i</m:t>
            </m:r>
            <m:r>
              <m:t>g</m:t>
            </m:r>
            <m:r>
              <m:t>n</m:t>
            </m:r>
          </m:sup>
        </m:sSubSup>
        <m:d>
          <m:dPr>
            <m:begChr m:val="("/>
            <m:endChr m:val=")"/>
            <m:sepChr m:val=""/>
            <m:grow/>
          </m:dPr>
          <m:e>
            <m:r>
              <m:t>x</m:t>
            </m:r>
            <m:r>
              <m:rPr>
                <m:sty m:val="p"/>
              </m:rPr>
              <m:t>,</m:t>
            </m:r>
            <m:r>
              <m:t>x</m:t>
            </m:r>
            <m:r>
              <m:rPr>
                <m:sty m:val="p"/>
              </m:rPr>
              <m:t>′</m:t>
            </m:r>
          </m:e>
        </m:d>
        <m:r>
          <m:rPr>
            <m:sty m:val="p"/>
          </m:rPr>
          <m:t>=</m:t>
        </m:r>
        <m:f>
          <m:fPr>
            <m:type m:val="bar"/>
          </m:fPr>
          <m:num>
            <m:r>
              <m:t>1</m:t>
            </m:r>
          </m:num>
          <m:den>
            <m:d>
              <m:dPr>
                <m:begChr m:val="|"/>
                <m:endChr m:val="|"/>
                <m:sepChr m:val=""/>
                <m:grow/>
              </m:dPr>
              <m:e>
                <m:sSup>
                  <m:e>
                    <m:r>
                      <m:t>A</m:t>
                    </m:r>
                  </m:e>
                  <m:sup>
                    <m:r>
                      <m:rPr>
                        <m:sty m:val="p"/>
                      </m:rPr>
                      <m:t>+</m:t>
                    </m:r>
                  </m:sup>
                </m:sSup>
              </m:e>
            </m:d>
          </m:den>
        </m:f>
        <m:nary>
          <m:naryPr>
            <m:chr m:val="∑"/>
            <m:limLoc m:val="undOvr"/>
            <m:subHide m:val="off"/>
            <m:supHide m:val="on"/>
          </m:naryPr>
          <m:sub>
            <m:r>
              <m:t>c</m:t>
            </m:r>
            <m:r>
              <m:rPr>
                <m:sty m:val="p"/>
              </m:rPr>
              <m:t>∈</m:t>
            </m:r>
            <m:sSup>
              <m:e>
                <m:r>
                  <m:t>A</m:t>
                </m:r>
              </m:e>
              <m:sup>
                <m:r>
                  <m:rPr>
                    <m:sty m:val="p"/>
                  </m:rPr>
                  <m:t>+</m:t>
                </m:r>
              </m:sup>
            </m:sSup>
          </m:sub>
          <m:sup>
            <m:r>
              <m:t>​</m:t>
            </m:r>
          </m:sup>
          <m:e>
            <m:r>
              <m:rPr>
                <m:sty m:val="p"/>
              </m:rPr>
              <m:t>JS</m:t>
            </m:r>
          </m:e>
        </m:nary>
        <m:d>
          <m:dPr>
            <m:begChr m:val="("/>
            <m:endChr m:val=")"/>
            <m:sepChr m:val=""/>
            <m:grow/>
          </m:dPr>
          <m:e>
            <m:sSubSup>
              <m:e>
                <m:r>
                  <m:t>p</m:t>
                </m:r>
              </m:e>
              <m:sub>
                <m:r>
                  <m:t>C</m:t>
                </m:r>
              </m:sub>
              <m:sup>
                <m:r>
                  <m:t>x</m:t>
                </m:r>
              </m:sup>
            </m:sSubSup>
            <m:d>
              <m:dPr>
                <m:begChr m:val="("/>
                <m:endChr m:val=")"/>
                <m:sepChr m:val=""/>
                <m:grow/>
              </m:dPr>
              <m:e>
                <m:r>
                  <m:t>c</m:t>
                </m:r>
              </m:e>
            </m:d>
            <m:r>
              <m:rPr>
                <m:sty m:val="p"/>
              </m:rPr>
              <m:t>,</m:t>
            </m:r>
            <m:sSubSup>
              <m:e>
                <m:r>
                  <m:t>p</m:t>
                </m:r>
              </m:e>
              <m:sub>
                <m:r>
                  <m:t>C</m:t>
                </m:r>
              </m:sub>
              <m:sup>
                <m:r>
                  <m:t>x</m:t>
                </m:r>
                <m:r>
                  <m:rPr>
                    <m:sty m:val="p"/>
                  </m:rPr>
                  <m:t>′</m:t>
                </m:r>
              </m:sup>
            </m:sSubSup>
            <m:d>
              <m:dPr>
                <m:begChr m:val="("/>
                <m:endChr m:val=")"/>
                <m:sepChr m:val=""/>
                <m:grow/>
              </m:dPr>
              <m:e>
                <m:r>
                  <m:t>ϕ</m:t>
                </m:r>
                <m:d>
                  <m:dPr>
                    <m:begChr m:val="("/>
                    <m:endChr m:val=")"/>
                    <m:sepChr m:val=""/>
                    <m:grow/>
                  </m:dPr>
                  <m:e>
                    <m:r>
                      <m:t>c</m:t>
                    </m:r>
                  </m:e>
                </m:d>
              </m:e>
            </m:d>
          </m:e>
        </m:d>
        <m:r>
          <m:rPr>
            <m:sty m:val="p"/>
          </m:rPr>
          <m:t>,</m:t>
        </m:r>
      </m:oMath>
      <w:r>
        <w:rPr>
          <w:sz w:val="21"/>
        </w:rPr>
        <w:tab/>
      </w:r>
      <w:bookmarkStart w:id="2019" w:name="Equation_3_10"/>
      <w:r>
        <w:rPr>
          <w:sz w:val="21"/>
        </w:rPr>
        <w:t>（3-</w:t>
      </w:r>
      <w:fldSimple w:instr=" SEQ Equation3 \* ARABIC ">
        <w:r>
          <w:t>10</w:t>
        </w:r>
      </w:fldSimple>
      <w:r>
        <w:rPr>
          <w:sz w:val="21"/>
        </w:rPr>
        <w:t>）</w:t>
      </w:r>
      <w:bookmarkEnd w:id="2019"/>
    </w:p>
    <w:p>
      <w:pPr>
        <w:pStyle w:val="Normal"/>
        <w:spacing w:after="60" w:line="274" w:lineRule="auto"/>
      </w:pPr>
      <w:r>
        <w:t xml:space="preserve">式</w:t>
      </w:r>
      <w:fldSimple w:instr=" REF Equation_3_10 \h ">
        <w:r>
          <w:t>（3-10）</w:t>
        </w:r>
      </w:fldSimple>
      <w:r>
        <w:t xml:space="preserve">中的JS散度沿用第二章式</w:t>
      </w:r>
      <w:fldSimple w:instr=" REF Equation_2_7 \h ">
        <w:r>
          <w:t>（2-7）</w:t>
        </w:r>
      </w:fldSimple>
      <w:r>
        <w:t xml:space="preserve">，用于衡量两个视图的预测分布差异；两侧均保留梯度，不将任一视图视为固定目标。</w:t>
      </w:r>
    </w:p>
    <w:p>
      <w:pPr>
        <w:pStyle w:val="Normal"/>
        <w:spacing w:after="60" w:line="274" w:lineRule="auto"/>
      </w:pPr>
      <w:r>
        <w:t xml:space="preserve">将通过检查的集合</w:t>
      </w:r>
      <w:r>
        <w:t xml:space="preserve"> </w:t>
      </w:r>
      <m:oMath>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oMath>
      <w:r>
        <w:t xml:space="preserve"> </w:t>
      </w:r>
      <w:r>
        <w:t xml:space="preserve">划分为正关系组</w:t>
      </w:r>
      <w:r>
        <w:t xml:space="preserve"> </w:t>
      </w:r>
      <m:oMath>
        <m:sSub>
          <m:e>
            <m:r>
              <m:t>D</m:t>
            </m:r>
          </m:e>
          <m:sub>
            <m:r>
              <m:rPr>
                <m:sty m:val="p"/>
              </m:rPr>
              <m:t>+</m:t>
            </m:r>
          </m:sub>
        </m:sSub>
      </m:oMath>
      <w:r>
        <w:t xml:space="preserve"> </w:t>
      </w:r>
      <w:r>
        <w:t xml:space="preserve">和 NONE 组</w:t>
      </w:r>
      <w:r>
        <w:t xml:space="preserve"> </w:t>
      </w:r>
      <m:oMath>
        <m:sSub>
          <m:e>
            <m:r>
              <m:t>D</m:t>
            </m:r>
          </m:e>
          <m:sub>
            <m:r>
              <m:t>0</m:t>
            </m:r>
          </m:sub>
        </m:sSub>
      </m:oMath>
      <w:r>
        <w:t xml:space="preserve">，令</w:t>
      </w:r>
      <w:r>
        <w:t xml:space="preserve"> </w:t>
      </w:r>
      <m:oMath>
        <m:r>
          <m:rPr>
            <m:sty m:val="p"/>
            <m:scr m:val="script"/>
          </m:rPr>
          <m:t>B</m:t>
        </m:r>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
              <m:e>
                <m:r>
                  <m:t>D</m:t>
                </m:r>
              </m:e>
              <m:sub>
                <m:r>
                  <m:t>b</m:t>
                </m:r>
              </m:sub>
            </m:sSub>
          </m:e>
        </m:d>
        <m:r>
          <m:rPr>
            <m:sty m:val="p"/>
          </m:rPr>
          <m:t>&gt;</m:t>
        </m:r>
        <m:r>
          <m:t>0</m:t>
        </m:r>
        <m:r>
          <m:rPr>
            <m:sty m:val="p"/>
          </m:rPr>
          <m:t>}</m:t>
        </m:r>
      </m:oMath>
      <w:r>
        <w:t xml:space="preserve">。关系对齐采用组间、组内两级平均：</w:t>
      </w:r>
    </w:p>
    <w:p>
      <w:pPr>
        <w:pStyle w:val="Normal"/>
        <w:keepNext w:val="0"/>
        <w:keepLines/>
        <w:tabs>
          <w:tab w:pos="5046" w:val="center"/>
          <w:tab w:pos="10091" w:val="right"/>
        </w:tabs>
        <w:spacing w:line="276" w:lineRule="auto" w:before="120" w:after="120"/>
        <w:ind w:firstLine="0" w:left="0" w:right="0"/>
        <w:jc w:val="left"/>
      </w:pPr>
      <w:r>
        <w:rPr>
          <w:sz w:val="21"/>
        </w:rPr>
        <w:tab/>
      </w:r>
      <m:oMath>
        <m:sSubSup>
          <m:e>
            <m:r>
              <m:t>L</m:t>
            </m:r>
          </m:e>
          <m:sub>
            <m:r>
              <m:t>R</m:t>
            </m:r>
          </m:sub>
          <m:sup>
            <m:r>
              <m:t>a</m:t>
            </m:r>
            <m:r>
              <m:t>l</m:t>
            </m:r>
            <m:r>
              <m:t>i</m:t>
            </m:r>
            <m:r>
              <m:t>g</m:t>
            </m:r>
            <m:r>
              <m:t>n</m:t>
            </m:r>
          </m:sup>
        </m:sSubSup>
        <m:d>
          <m:dPr>
            <m:begChr m:val="("/>
            <m:endChr m:val=")"/>
            <m:sepChr m:val=""/>
            <m:grow/>
          </m:dPr>
          <m:e>
            <m:r>
              <m:t>x</m:t>
            </m:r>
            <m:r>
              <m:rPr>
                <m:sty m:val="p"/>
              </m:rPr>
              <m:t>,</m:t>
            </m:r>
            <m:r>
              <m:t>x</m:t>
            </m:r>
            <m:r>
              <m:rPr>
                <m:sty m:val="p"/>
              </m:rPr>
              <m:t>′</m:t>
            </m:r>
          </m:e>
        </m:d>
        <m:r>
          <m:rPr>
            <m:sty m:val="p"/>
          </m:rPr>
          <m:t>=</m:t>
        </m:r>
        <m:f>
          <m:fPr>
            <m:type m:val="bar"/>
          </m:fPr>
          <m:num>
            <m:r>
              <m:t>1</m:t>
            </m:r>
          </m:num>
          <m:den>
            <m:d>
              <m:dPr>
                <m:begChr m:val="|"/>
                <m:endChr m:val="|"/>
                <m:sepChr m:val=""/>
                <m:grow/>
              </m:dPr>
              <m:e>
                <m:r>
                  <m:rPr>
                    <m:sty m:val="p"/>
                    <m:scr m:val="script"/>
                  </m:rPr>
                  <m:t>B</m:t>
                </m:r>
              </m:e>
            </m:d>
          </m:den>
        </m:f>
        <m:nary>
          <m:naryPr>
            <m:chr m:val="∑"/>
            <m:limLoc m:val="undOvr"/>
            <m:subHide m:val="off"/>
            <m:supHide m:val="on"/>
          </m:naryPr>
          <m:sub>
            <m:r>
              <m:t>b</m:t>
            </m:r>
            <m:r>
              <m:rPr>
                <m:sty m:val="p"/>
              </m:rPr>
              <m:t>∈</m:t>
            </m:r>
            <m:r>
              <m:rPr>
                <m:sty m:val="p"/>
                <m:scr m:val="script"/>
              </m:rPr>
              <m:t>B</m:t>
            </m:r>
          </m:sub>
          <m:sup>
            <m:r>
              <m:t>​</m:t>
            </m:r>
          </m:sup>
          <m:e>
            <m:f>
              <m:fPr>
                <m:type m:val="bar"/>
              </m:fPr>
              <m:num>
                <m:r>
                  <m:t>1</m:t>
                </m:r>
              </m:num>
              <m:den>
                <m:d>
                  <m:dPr>
                    <m:begChr m:val="|"/>
                    <m:endChr m:val="|"/>
                    <m:sepChr m:val=""/>
                    <m:grow/>
                  </m:dPr>
                  <m:e>
                    <m:sSub>
                      <m:e>
                        <m:r>
                          <m:t>D</m:t>
                        </m:r>
                      </m:e>
                      <m:sub>
                        <m:r>
                          <m:t>b</m:t>
                        </m:r>
                      </m:sub>
                    </m:sSub>
                  </m:e>
                </m:d>
              </m:den>
            </m:f>
          </m:e>
        </m:nary>
        <m:nary>
          <m:naryPr>
            <m:chr m:val="∑"/>
            <m:limLoc m:val="undOvr"/>
            <m:subHide m:val="off"/>
            <m:supHide m:val="on"/>
          </m:naryPr>
          <m:sub>
            <m:r>
              <m:t>ω</m:t>
            </m:r>
            <m:r>
              <m:rPr>
                <m:sty m:val="p"/>
              </m:rPr>
              <m:t>∈</m:t>
            </m:r>
            <m:sSub>
              <m:e>
                <m:r>
                  <m:t>D</m:t>
                </m:r>
              </m:e>
              <m:sub>
                <m:r>
                  <m:t>b</m:t>
                </m:r>
              </m:sub>
            </m:sSub>
          </m:sub>
          <m:sup>
            <m:r>
              <m:t>​</m:t>
            </m:r>
          </m:sup>
          <m:e>
            <m:r>
              <m:rPr>
                <m:sty m:val="p"/>
              </m:rPr>
              <m:t>JS</m:t>
            </m:r>
          </m:e>
        </m:nary>
        <m:d>
          <m:dPr>
            <m:begChr m:val="("/>
            <m:endChr m:val=")"/>
            <m:sepChr m:val=""/>
            <m:grow/>
          </m:dPr>
          <m:e>
            <m:sSubSup>
              <m:e>
                <m:r>
                  <m:t>p</m:t>
                </m:r>
              </m:e>
              <m:sub>
                <m:r>
                  <m:t>R</m:t>
                </m:r>
              </m:sub>
              <m:sup>
                <m:r>
                  <m:t>x</m:t>
                </m:r>
              </m:sup>
            </m:sSubSup>
            <m:d>
              <m:dPr>
                <m:begChr m:val="("/>
                <m:endChr m:val=")"/>
                <m:sepChr m:val=""/>
                <m:grow/>
              </m:dPr>
              <m:e>
                <m:r>
                  <m:t>ω</m:t>
                </m:r>
              </m:e>
            </m:d>
            <m:r>
              <m:rPr>
                <m:sty m:val="p"/>
              </m:rPr>
              <m:t>,</m:t>
            </m:r>
            <m:sSubSup>
              <m:e>
                <m:r>
                  <m:t>p</m:t>
                </m:r>
              </m:e>
              <m:sub>
                <m:r>
                  <m:t>R</m:t>
                </m:r>
              </m:sub>
              <m:sup>
                <m:r>
                  <m:t>x</m:t>
                </m:r>
                <m:r>
                  <m:rPr>
                    <m:sty m:val="p"/>
                  </m:rPr>
                  <m:t>′</m:t>
                </m:r>
              </m:sup>
            </m:sSubSup>
            <m:d>
              <m:dPr>
                <m:begChr m:val="("/>
                <m:endChr m:val=")"/>
                <m:sepChr m:val=""/>
                <m:grow/>
              </m:dPr>
              <m:e>
                <m:r>
                  <m:t>ϕ</m:t>
                </m:r>
                <m:d>
                  <m:dPr>
                    <m:begChr m:val="("/>
                    <m:endChr m:val=")"/>
                    <m:sepChr m:val=""/>
                    <m:grow/>
                  </m:dPr>
                  <m:e>
                    <m:r>
                      <m:t>ω</m:t>
                    </m:r>
                  </m:e>
                </m:d>
              </m:e>
            </m:d>
          </m:e>
        </m:d>
        <m:r>
          <m:rPr>
            <m:sty m:val="p"/>
          </m:rPr>
          <m:t>.</m:t>
        </m:r>
      </m:oMath>
      <w:r>
        <w:rPr>
          <w:sz w:val="21"/>
        </w:rPr>
        <w:tab/>
      </w:r>
      <w:bookmarkStart w:id="2020" w:name="Equation_3_11"/>
      <w:r>
        <w:rPr>
          <w:sz w:val="21"/>
        </w:rPr>
        <w:t>（3-</w:t>
      </w:r>
      <w:fldSimple w:instr=" SEQ Equation3 \* ARABIC ">
        <w:r>
          <w:t>11</w:t>
        </w:r>
      </w:fldSimple>
      <w:r>
        <w:rPr>
          <w:sz w:val="21"/>
        </w:rPr>
        <w:t>）</w:t>
      </w:r>
      <w:bookmarkEnd w:id="2020"/>
    </w:p>
    <w:p>
      <w:pPr>
        <w:pStyle w:val="Normal"/>
        <w:spacing w:after="60" w:line="274" w:lineRule="auto"/>
      </w:pPr>
      <w:r>
        <w:t xml:space="preserve">这样可避免数量较多的 NONE 因素仅凭数量淹没正关系。当可靠关系集合为空时，该项置零，不人为添加关系；原文全部关系的生成监督仍保留。</w:t>
      </w:r>
      <m:oMath>
        <m:sSup>
          <m:e>
            <m:r>
              <m:t>A</m:t>
            </m:r>
          </m:e>
          <m:sup>
            <m:r>
              <m:rPr>
                <m:sty m:val="p"/>
              </m:rPr>
              <m:t>+</m:t>
            </m:r>
          </m:sup>
        </m:sSup>
      </m:oMath>
      <w:r>
        <w:t xml:space="preserve"> </w:t>
      </w:r>
      <w:r>
        <w:t xml:space="preserve">为空时组件对齐也置零。</w:t>
      </w:r>
    </w:p>
    <w:p>
      <w:pPr>
        <w:pStyle w:val="Normal"/>
        <w:spacing w:after="60" w:line="274" w:lineRule="auto"/>
      </w:pPr>
      <w:r>
        <w:t xml:space="preserve">低JS可能来自两个视图一起预测错误，故同时保留标签锚定。对视图</w:t>
      </w:r>
      <w:r>
        <w:t xml:space="preserve"> </w:t>
      </w:r>
      <m:oMath>
        <m:r>
          <m:t>x</m:t>
        </m:r>
      </m:oMath>
      <w:r>
        <w:t xml:space="preserve">、受监督组件集合</w:t>
      </w:r>
      <w:r>
        <w:t xml:space="preserve"> </w:t>
      </w:r>
      <m:oMath>
        <m:sSub>
          <m:e>
            <m:r>
              <m:t>M</m:t>
            </m:r>
          </m:e>
          <m:sub>
            <m:r>
              <m:t>C</m:t>
            </m:r>
          </m:sub>
        </m:sSub>
      </m:oMath>
      <w:r>
        <w:t xml:space="preserve"> </w:t>
      </w:r>
      <w:r>
        <w:t xml:space="preserve">和受监督关系因素集合</w:t>
      </w:r>
      <w:r>
        <w:t xml:space="preserve"> </w:t>
      </w:r>
      <m:oMath>
        <m:sSub>
          <m:e>
            <m:r>
              <m:t>M</m:t>
            </m:r>
          </m:e>
          <m:sub>
            <m:r>
              <m:t>R</m:t>
            </m:r>
          </m:sub>
        </m:sSub>
      </m:oMath>
      <w:r>
        <w:t xml:space="preserve">，令</w:t>
      </w:r>
      <w:r>
        <w:t xml:space="preserve"> </w:t>
      </w:r>
      <m:oMath>
        <m:sSubSup>
          <m:e>
            <m:r>
              <m:t>M</m:t>
            </m:r>
          </m:e>
          <m:sub>
            <m:r>
              <m:t>R</m:t>
            </m:r>
          </m:sub>
          <m:sup>
            <m:r>
              <m:rPr>
                <m:sty m:val="p"/>
              </m:rPr>
              <m:t>+</m:t>
            </m:r>
          </m:sup>
        </m:sSubSup>
      </m:oMath>
      <w:r>
        <w:t xml:space="preserve">、</w:t>
      </w:r>
      <m:oMath>
        <m:sSubSup>
          <m:e>
            <m:r>
              <m:t>M</m:t>
            </m:r>
          </m:e>
          <m:sub>
            <m:r>
              <m:t>R</m:t>
            </m:r>
          </m:sub>
          <m:sup>
            <m:r>
              <m:t>0</m:t>
            </m:r>
          </m:sup>
        </m:sSubSup>
      </m:oMath>
      <w:r>
        <w:t xml:space="preserve"> </w:t>
      </w:r>
      <w:r>
        <w:t xml:space="preserve">分别为其中的正关系与NONE因素，</w:t>
      </w:r>
      <m:oMath>
        <m:sSub>
          <m:e>
            <m:r>
              <m:rPr>
                <m:sty m:val="p"/>
                <m:scr m:val="script"/>
              </m:rPr>
              <m:t>B</m:t>
            </m:r>
          </m:e>
          <m:sub>
            <m:r>
              <m:t>M</m:t>
            </m:r>
          </m:sub>
        </m:sSub>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Sup>
              <m:e>
                <m:r>
                  <m:t>M</m:t>
                </m:r>
              </m:e>
              <m:sub>
                <m:r>
                  <m:t>R</m:t>
                </m:r>
              </m:sub>
              <m:sup>
                <m:r>
                  <m:t>b</m:t>
                </m:r>
              </m:sup>
            </m:sSubSup>
          </m:e>
        </m:d>
        <m:r>
          <m:rPr>
            <m:sty m:val="p"/>
          </m:rPr>
          <m:t>&gt;</m:t>
        </m:r>
        <m:r>
          <m:t>0</m:t>
        </m:r>
        <m:r>
          <m:rPr>
            <m:sty m:val="p"/>
          </m:rPr>
          <m:t>}</m:t>
        </m:r>
      </m:oMath>
      <w:r>
        <w:t xml:space="preserve">。辅助监督完整定义为</w:t>
      </w:r>
    </w:p>
    <w:p>
      <w:pPr>
        <w:pStyle w:val="Normal"/>
        <w:keepNext w:val="0"/>
        <w:keepLines/>
        <w:tabs>
          <w:tab w:pos="5046" w:val="center"/>
          <w:tab w:pos="10091" w:val="right"/>
        </w:tabs>
        <w:spacing w:line="276" w:lineRule="auto" w:before="120" w:after="120"/>
        <w:ind w:firstLine="0" w:left="0" w:right="0"/>
        <w:jc w:val="left"/>
      </w:pPr>
      <w:r>
        <w:rPr>
          <w:sz w:val="21"/>
        </w:rPr>
        <w:tab/>
      </w:r>
      <m:oMath>
        <m:r>
          <m:t>S</m:t>
        </m:r>
        <m:d>
          <m:dPr>
            <m:begChr m:val="("/>
            <m:endChr m:val=")"/>
            <m:sepChr m:val=""/>
            <m:grow/>
          </m:dPr>
          <m:e>
            <m:r>
              <m:t>x</m:t>
            </m:r>
            <m:r>
              <m:rPr>
                <m:sty m:val="p"/>
              </m:rPr>
              <m:t>;</m:t>
            </m:r>
            <m:sSub>
              <m:e>
                <m:r>
                  <m:t>M</m:t>
                </m:r>
              </m:e>
              <m:sub>
                <m:r>
                  <m:t>C</m:t>
                </m:r>
              </m:sub>
            </m:sSub>
            <m:r>
              <m:rPr>
                <m:sty m:val="p"/>
              </m:rPr>
              <m:t>,</m:t>
            </m:r>
            <m:sSub>
              <m:e>
                <m:r>
                  <m:t>M</m:t>
                </m:r>
              </m:e>
              <m:sub>
                <m:r>
                  <m:t>R</m:t>
                </m:r>
              </m:sub>
            </m:sSub>
          </m:e>
        </m:d>
        <m:r>
          <m:rPr>
            <m:sty m:val="p"/>
          </m:rPr>
          <m:t>=</m:t>
        </m:r>
        <m:f>
          <m:fPr>
            <m:type m:val="bar"/>
          </m:fPr>
          <m:num>
            <m:r>
              <m:t>1</m:t>
            </m:r>
          </m:num>
          <m:den>
            <m:d>
              <m:dPr>
                <m:begChr m:val="|"/>
                <m:endChr m:val="|"/>
                <m:sepChr m:val=""/>
                <m:grow/>
              </m:dPr>
              <m:e>
                <m:sSub>
                  <m:e>
                    <m:r>
                      <m:t>M</m:t>
                    </m:r>
                  </m:e>
                  <m:sub>
                    <m:r>
                      <m:t>C</m:t>
                    </m:r>
                  </m:sub>
                </m:sSub>
              </m:e>
            </m:d>
          </m:den>
        </m:f>
        <m:nary>
          <m:naryPr>
            <m:chr m:val="∑"/>
            <m:limLoc m:val="undOvr"/>
            <m:subHide m:val="off"/>
            <m:supHide m:val="on"/>
          </m:naryPr>
          <m:sub>
            <m:r>
              <m:t>c</m:t>
            </m:r>
            <m:r>
              <m:rPr>
                <m:sty m:val="p"/>
              </m:rPr>
              <m:t>∈</m:t>
            </m:r>
            <m:sSub>
              <m:e>
                <m:r>
                  <m:t>M</m:t>
                </m:r>
              </m:e>
              <m:sub>
                <m:r>
                  <m:t>C</m:t>
                </m:r>
              </m:sub>
            </m:sSub>
          </m:sub>
          <m:sup>
            <m:r>
              <m:t>​</m:t>
            </m:r>
          </m:sup>
          <m:e>
            <m:r>
              <m:rPr>
                <m:sty m:val="p"/>
              </m:rPr>
              <m:t>CE</m:t>
            </m:r>
          </m:e>
        </m:nary>
        <m:d>
          <m:dPr>
            <m:begChr m:val="("/>
            <m:endChr m:val=")"/>
            <m:sepChr m:val=""/>
            <m:grow/>
          </m:dPr>
          <m:e>
            <m:sSubSup>
              <m:e>
                <m:r>
                  <m:t>p</m:t>
                </m:r>
              </m:e>
              <m:sub>
                <m:r>
                  <m:t>C</m:t>
                </m:r>
              </m:sub>
              <m:sup>
                <m:r>
                  <m:t>x</m:t>
                </m:r>
              </m:sup>
            </m:sSubSup>
            <m:d>
              <m:dPr>
                <m:begChr m:val="("/>
                <m:endChr m:val=")"/>
                <m:sepChr m:val=""/>
                <m:grow/>
              </m:dPr>
              <m:e>
                <m:r>
                  <m:t>c</m:t>
                </m:r>
              </m:e>
            </m:d>
            <m:r>
              <m:rPr>
                <m:sty m:val="p"/>
              </m:rPr>
              <m:t>,</m:t>
            </m:r>
            <m:sSub>
              <m:e>
                <m:r>
                  <m:t>t</m:t>
                </m:r>
              </m:e>
              <m:sub>
                <m:r>
                  <m:t>c</m:t>
                </m:r>
              </m:sub>
            </m:sSub>
          </m:e>
        </m:d>
        <m:r>
          <m:rPr>
            <m:sty m:val="p"/>
          </m:rPr>
          <m:t>+</m:t>
        </m:r>
        <m:f>
          <m:fPr>
            <m:type m:val="bar"/>
          </m:fPr>
          <m:num>
            <m:r>
              <m:t>1</m:t>
            </m:r>
          </m:num>
          <m:den>
            <m:d>
              <m:dPr>
                <m:begChr m:val="|"/>
                <m:endChr m:val="|"/>
                <m:sepChr m:val=""/>
                <m:grow/>
              </m:dPr>
              <m:e>
                <m:sSub>
                  <m:e>
                    <m:r>
                      <m:rPr>
                        <m:sty m:val="p"/>
                        <m:scr m:val="script"/>
                      </m:rPr>
                      <m:t>B</m:t>
                    </m:r>
                  </m:e>
                  <m:sub>
                    <m:r>
                      <m:t>M</m:t>
                    </m:r>
                  </m:sub>
                </m:sSub>
              </m:e>
            </m:d>
          </m:den>
        </m:f>
        <m:nary>
          <m:naryPr>
            <m:chr m:val="∑"/>
            <m:limLoc m:val="undOvr"/>
            <m:subHide m:val="off"/>
            <m:supHide m:val="on"/>
          </m:naryPr>
          <m:sub>
            <m:r>
              <m:t>b</m:t>
            </m:r>
            <m:r>
              <m:rPr>
                <m:sty m:val="p"/>
              </m:rPr>
              <m:t>∈</m:t>
            </m:r>
            <m:sSub>
              <m:e>
                <m:r>
                  <m:rPr>
                    <m:sty m:val="p"/>
                    <m:scr m:val="script"/>
                  </m:rPr>
                  <m:t>B</m:t>
                </m:r>
              </m:e>
              <m:sub>
                <m:r>
                  <m:t>M</m:t>
                </m:r>
              </m:sub>
            </m:sSub>
          </m:sub>
          <m:sup>
            <m:r>
              <m:t>​</m:t>
            </m:r>
          </m:sup>
          <m:e>
            <m:f>
              <m:fPr>
                <m:type m:val="bar"/>
              </m:fPr>
              <m:num>
                <m:r>
                  <m:t>1</m:t>
                </m:r>
              </m:num>
              <m:den>
                <m:d>
                  <m:dPr>
                    <m:begChr m:val="|"/>
                    <m:endChr m:val="|"/>
                    <m:sepChr m:val=""/>
                    <m:grow/>
                  </m:dPr>
                  <m:e>
                    <m:sSubSup>
                      <m:e>
                        <m:r>
                          <m:t>M</m:t>
                        </m:r>
                      </m:e>
                      <m:sub>
                        <m:r>
                          <m:t>R</m:t>
                        </m:r>
                      </m:sub>
                      <m:sup>
                        <m:r>
                          <m:t>b</m:t>
                        </m:r>
                      </m:sup>
                    </m:sSubSup>
                  </m:e>
                </m:d>
              </m:den>
            </m:f>
          </m:e>
        </m:nary>
        <m:nary>
          <m:naryPr>
            <m:chr m:val="∑"/>
            <m:limLoc m:val="undOvr"/>
            <m:subHide m:val="off"/>
            <m:supHide m:val="on"/>
          </m:naryPr>
          <m:sub>
            <m:r>
              <m:t>ω</m:t>
            </m:r>
            <m:r>
              <m:rPr>
                <m:sty m:val="p"/>
              </m:rPr>
              <m:t>∈</m:t>
            </m:r>
            <m:sSubSup>
              <m:e>
                <m:r>
                  <m:t>M</m:t>
                </m:r>
              </m:e>
              <m:sub>
                <m:r>
                  <m:t>R</m:t>
                </m:r>
              </m:sub>
              <m:sup>
                <m:r>
                  <m:t>b</m:t>
                </m:r>
              </m:sup>
            </m:sSubSup>
          </m:sub>
          <m:sup>
            <m:r>
              <m:t>​</m:t>
            </m:r>
          </m:sup>
          <m:e>
            <m:r>
              <m:rPr>
                <m:sty m:val="p"/>
              </m:rPr>
              <m:t>CE</m:t>
            </m:r>
          </m:e>
        </m:nary>
        <m:d>
          <m:dPr>
            <m:begChr m:val="("/>
            <m:endChr m:val=")"/>
            <m:sepChr m:val=""/>
            <m:grow/>
          </m:dPr>
          <m:e>
            <m:sSubSup>
              <m:e>
                <m:r>
                  <m:t>p</m:t>
                </m:r>
              </m:e>
              <m:sub>
                <m:r>
                  <m:t>R</m:t>
                </m:r>
              </m:sub>
              <m:sup>
                <m:r>
                  <m:t>x</m:t>
                </m:r>
              </m:sup>
            </m:sSubSup>
            <m:d>
              <m:dPr>
                <m:begChr m:val="("/>
                <m:endChr m:val=")"/>
                <m:sepChr m:val=""/>
                <m:grow/>
              </m:dPr>
              <m:e>
                <m:r>
                  <m:t>ω</m:t>
                </m:r>
              </m:e>
            </m:d>
            <m:r>
              <m:rPr>
                <m:sty m:val="p"/>
              </m:rPr>
              <m:t>,</m:t>
            </m:r>
            <m:sSub>
              <m:e>
                <m:r>
                  <m:t>y</m:t>
                </m:r>
              </m:e>
              <m:sub>
                <m:r>
                  <m:t>ω</m:t>
                </m:r>
              </m:sub>
            </m:sSub>
          </m:e>
        </m:d>
        <m:r>
          <m:rPr>
            <m:sty m:val="p"/>
          </m:rPr>
          <m:t>,</m:t>
        </m:r>
      </m:oMath>
      <w:r>
        <w:rPr>
          <w:sz w:val="21"/>
        </w:rPr>
        <w:tab/>
      </w:r>
      <w:bookmarkStart w:id="2021" w:name="Equation_3_12"/>
      <w:r>
        <w:rPr>
          <w:sz w:val="21"/>
        </w:rPr>
        <w:t>（3-</w:t>
      </w:r>
      <w:fldSimple w:instr=" SEQ Equation3 \* ARABIC ">
        <w:r>
          <w:t>12</w:t>
        </w:r>
      </w:fldSimple>
      <w:r>
        <w:rPr>
          <w:sz w:val="21"/>
        </w:rPr>
        <w:t>）</w:t>
      </w:r>
      <w:bookmarkEnd w:id="2021"/>
    </w:p>
    <w:p>
      <w:pPr>
        <w:pStyle w:val="Normal"/>
        <w:spacing w:after="60" w:line="274" w:lineRule="auto"/>
      </w:pPr>
      <w:r>
        <w:t xml:space="preserve">其中</w:t>
      </w:r>
      <w:r>
        <w:t xml:space="preserve"> </w:t>
      </w:r>
      <m:oMath>
        <m:r>
          <m:rPr>
            <m:sty m:val="p"/>
          </m:rPr>
          <m:t>CE</m:t>
        </m:r>
      </m:oMath>
      <w:r>
        <w:t xml:space="preserve"> </w:t>
      </w:r>
      <w:r>
        <w:t xml:space="preserve">为交叉熵，</w:t>
      </w:r>
      <m:oMath>
        <m:sSub>
          <m:e>
            <m:r>
              <m:t>t</m:t>
            </m:r>
          </m:e>
          <m:sub>
            <m:r>
              <m:t>c</m:t>
            </m:r>
          </m:sub>
        </m:sSub>
      </m:oMath>
      <w:r>
        <w:t xml:space="preserve"> </w:t>
      </w:r>
      <w:r>
        <w:t xml:space="preserve">为组件原生类型；组件项在</w:t>
      </w:r>
      <w:r>
        <w:t xml:space="preserve"> </w:t>
      </w:r>
      <m:oMath>
        <m:sSub>
          <m:e>
            <m:r>
              <m:t>M</m:t>
            </m:r>
          </m:e>
          <m:sub>
            <m:r>
              <m:t>C</m:t>
            </m:r>
          </m:sub>
        </m:sSub>
        <m:r>
          <m:rPr>
            <m:sty m:val="p"/>
          </m:rPr>
          <m:t>=</m:t>
        </m:r>
        <m:r>
          <m:rPr>
            <m:sty m:val="p"/>
          </m:rPr>
          <m:t>⌀</m:t>
        </m:r>
      </m:oMath>
      <w:r>
        <w:t xml:space="preserve"> </w:t>
      </w:r>
      <w:r>
        <w:t xml:space="preserve">时取0，关系项在</w:t>
      </w:r>
      <w:r>
        <w:t xml:space="preserve"> </w:t>
      </w:r>
      <m:oMath>
        <m:sSub>
          <m:e>
            <m:r>
              <m:rPr>
                <m:sty m:val="p"/>
                <m:scr m:val="script"/>
              </m:rPr>
              <m:t>B</m:t>
            </m:r>
          </m:e>
          <m:sub>
            <m:r>
              <m:t>M</m:t>
            </m:r>
          </m:sub>
        </m:sSub>
        <m:r>
          <m:rPr>
            <m:sty m:val="p"/>
          </m:rPr>
          <m:t>=</m:t>
        </m:r>
        <m:r>
          <m:rPr>
            <m:sty m:val="p"/>
          </m:rPr>
          <m:t>⌀</m:t>
        </m:r>
      </m:oMath>
      <w:r>
        <w:t xml:space="preserve"> </w:t>
      </w:r>
      <w:r>
        <w:t xml:space="preserve">时取0，两项等权相加。原文取</w:t>
      </w:r>
      <w:r>
        <w:t xml:space="preserve"> </w:t>
      </w:r>
      <m:oMath>
        <m:r>
          <m:t>S</m:t>
        </m:r>
        <m:d>
          <m:dPr>
            <m:begChr m:val="("/>
            <m:endChr m:val=")"/>
            <m:sepChr m:val=""/>
            <m:grow/>
          </m:dPr>
          <m:e>
            <m:r>
              <m:t>x</m:t>
            </m:r>
            <m:r>
              <m:rPr>
                <m:sty m:val="p"/>
              </m:rPr>
              <m:t>,</m:t>
            </m:r>
            <m:r>
              <m:t>G</m:t>
            </m:r>
          </m:e>
        </m:d>
        <m:r>
          <m:rPr>
            <m:sty m:val="p"/>
          </m:rPr>
          <m:t>=</m:t>
        </m:r>
        <m:r>
          <m:t>S</m:t>
        </m:r>
        <m:d>
          <m:dPr>
            <m:begChr m:val="("/>
            <m:endChr m:val=")"/>
            <m:sepChr m:val=""/>
            <m:grow/>
          </m:dPr>
          <m:e>
            <m:r>
              <m:t>x</m:t>
            </m:r>
            <m:r>
              <m:rPr>
                <m:sty m:val="p"/>
              </m:rPr>
              <m:t>;</m:t>
            </m:r>
            <m:r>
              <m:t>C</m:t>
            </m:r>
            <m:r>
              <m:rPr>
                <m:sty m:val="p"/>
              </m:rPr>
              <m:t>,</m:t>
            </m:r>
            <m:sSub>
              <m:e>
                <m:r>
                  <m:t>Ω</m:t>
                </m:r>
              </m:e>
              <m:sub>
                <m:r>
                  <m:t>s</m:t>
                </m:r>
                <m:r>
                  <m:t>e</m:t>
                </m:r>
                <m:r>
                  <m:t>m</m:t>
                </m:r>
              </m:sub>
            </m:sSub>
            <m:d>
              <m:dPr>
                <m:begChr m:val="("/>
                <m:endChr m:val=")"/>
                <m:sepChr m:val=""/>
                <m:grow/>
              </m:dPr>
              <m:e>
                <m:r>
                  <m:t>C</m:t>
                </m:r>
              </m:e>
            </m:d>
          </m:e>
        </m:d>
      </m:oMath>
      <w:r>
        <w:t xml:space="preserve">，即全部原生组件及可审核因素，语义未知集合不参与关系头监督；变体取</w:t>
      </w:r>
      <w:r>
        <w:t xml:space="preserve"> </w:t>
      </w:r>
      <m:oMath>
        <m:sSub>
          <m:e>
            <m:r>
              <m:t>S</m:t>
            </m:r>
          </m:e>
          <m:sub>
            <m:r>
              <m:t>m</m:t>
            </m:r>
          </m:sub>
        </m:sSub>
        <m:d>
          <m:dPr>
            <m:begChr m:val="("/>
            <m:endChr m:val=")"/>
            <m:sepChr m:val=""/>
            <m:grow/>
          </m:dPr>
          <m:e>
            <m:r>
              <m:t>x</m:t>
            </m:r>
            <m:r>
              <m:rPr>
                <m:sty m:val="p"/>
              </m:rPr>
              <m:t>′</m:t>
            </m:r>
            <m:r>
              <m:rPr>
                <m:sty m:val="p"/>
              </m:rPr>
              <m:t>,</m:t>
            </m:r>
            <m:r>
              <m:t>ϕ</m:t>
            </m:r>
            <m:d>
              <m:dPr>
                <m:begChr m:val="("/>
                <m:endChr m:val=")"/>
                <m:sepChr m:val=""/>
                <m:grow/>
              </m:dPr>
              <m:e>
                <m:r>
                  <m:t>G</m:t>
                </m:r>
              </m:e>
            </m:d>
          </m:e>
        </m:d>
        <m:r>
          <m:rPr>
            <m:sty m:val="p"/>
          </m:rPr>
          <m:t>=</m:t>
        </m:r>
        <m:r>
          <m:t>S</m:t>
        </m:r>
        <m:d>
          <m:dPr>
            <m:begChr m:val="("/>
            <m:endChr m:val=")"/>
            <m:sepChr m:val=""/>
            <m:grow/>
          </m:dPr>
          <m:e>
            <m:r>
              <m:t>x</m:t>
            </m:r>
            <m:r>
              <m:rPr>
                <m:sty m:val="p"/>
              </m:rPr>
              <m:t>′</m:t>
            </m:r>
            <m:r>
              <m:rPr>
                <m:sty m:val="p"/>
              </m:rPr>
              <m:t>;</m:t>
            </m:r>
            <m:r>
              <m:rPr>
                <m:sty m:val="p"/>
              </m:rPr>
              <m:t>{</m:t>
            </m:r>
            <m:r>
              <m:t>ϕ</m:t>
            </m:r>
            <m:d>
              <m:dPr>
                <m:begChr m:val="("/>
                <m:endChr m:val=")"/>
                <m:sepChr m:val=""/>
                <m:grow/>
              </m:dPr>
              <m:e>
                <m:r>
                  <m:t>c</m:t>
                </m:r>
              </m:e>
            </m:d>
            <m:r>
              <m:rPr>
                <m:sty m:val="p"/>
              </m:rPr>
              <m:t>:</m:t>
            </m:r>
            <m:sSub>
              <m:e>
                <m:r>
                  <m:t>m</m:t>
                </m:r>
              </m:e>
              <m:sub>
                <m:r>
                  <m:t>C</m:t>
                </m:r>
              </m:sub>
            </m:sSub>
            <m:d>
              <m:dPr>
                <m:begChr m:val="("/>
                <m:endChr m:val=")"/>
                <m:sepChr m:val=""/>
                <m:grow/>
              </m:dPr>
              <m:e>
                <m:r>
                  <m:t>c</m:t>
                </m:r>
              </m:e>
            </m:d>
            <m:r>
              <m:rPr>
                <m:sty m:val="p"/>
              </m:rPr>
              <m:t>=</m:t>
            </m:r>
            <m:r>
              <m:t>1</m:t>
            </m:r>
            <m:r>
              <m:rPr>
                <m:sty m:val="p"/>
              </m:rPr>
              <m:t>}</m:t>
            </m:r>
            <m:r>
              <m:rPr>
                <m:sty m:val="p"/>
              </m:rPr>
              <m:t>,</m:t>
            </m:r>
            <m:r>
              <m:rPr>
                <m:sty m:val="p"/>
              </m:rPr>
              <m:t>{</m:t>
            </m:r>
            <m:r>
              <m:t>ϕ</m:t>
            </m:r>
            <m:d>
              <m:dPr>
                <m:begChr m:val="("/>
                <m:endChr m:val=")"/>
                <m:sepChr m:val=""/>
                <m:grow/>
              </m:dPr>
              <m:e>
                <m:r>
                  <m:t>ω</m:t>
                </m:r>
              </m:e>
            </m:d>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e>
        </m:d>
      </m:oMath>
      <w:r>
        <w:t xml:space="preserve">，即只对掩码为1的组件和关系归一化。未审核关系既不作为正例，也不作为NONE负例；金标锚定仍不构成排除全部退化解的保证。</w:t>
      </w:r>
    </w:p>
    <w:p>
      <w:pPr>
        <w:pStyle w:val="Heading3"/>
      </w:pPr>
      <w:r>
        <w:rPr>
          <w:rFonts w:ascii="Arial Unicode MS" w:hAnsi="Arial Unicode MS" w:eastAsia="Arial Unicode MS"/>
        </w:rPr>
        <w:t>3.4.2 源文档归一化与参数更新</w:t>
      </w:r>
    </w:p>
    <w:p>
      <w:pPr>
        <w:pStyle w:val="Normal"/>
        <w:spacing w:after="60" w:line="274" w:lineRule="auto"/>
      </w:pPr>
      <w:r>
        <w:t xml:space="preserve">设源文档</w:t>
      </w:r>
      <w:r>
        <w:t xml:space="preserve"> </w:t>
      </w:r>
      <m:oMath>
        <m:r>
          <m:t>d</m:t>
        </m:r>
      </m:oMath>
      <w:r>
        <w:t xml:space="preserve"> </w:t>
      </w:r>
      <w:r>
        <w:t xml:space="preserve">接受</w:t>
      </w:r>
      <w:r>
        <w:t xml:space="preserve"> </w:t>
      </w:r>
      <m:oMath>
        <m:sSub>
          <m:e>
            <m:r>
              <m:t>m</m:t>
            </m:r>
          </m:e>
          <m:sub>
            <m:r>
              <m:t>d</m:t>
            </m:r>
          </m:sub>
        </m:sSub>
      </m:oMath>
      <w:r>
        <w:t xml:space="preserve"> </w:t>
      </w:r>
      <w:r>
        <w:t xml:space="preserve">个视图。原文承担完整图生成及继承句子监督；增强文只作为输入视图，不将含未审核关系的输运图作为完整生成答案。头监督定义为</w:t>
      </w:r>
    </w:p>
    <w:p>
      <w:pPr>
        <w:pStyle w:val="Normal"/>
        <w:keepNext w:val="0"/>
        <w:keepLines/>
        <w:tabs>
          <w:tab w:pos="5046" w:val="center"/>
          <w:tab w:pos="10091" w:val="right"/>
        </w:tabs>
        <w:spacing w:line="276" w:lineRule="auto" w:before="120" w:after="120"/>
        <w:ind w:firstLine="0" w:left="0" w:right="0"/>
        <w:jc w:val="left"/>
      </w:pPr>
      <w:r>
        <w:rPr>
          <w:sz w:val="21"/>
        </w:rPr>
        <w:tab/>
      </w:r>
      <m:oMath>
        <m:sSubSup>
          <m:e>
            <m:r>
              <m:t>L</m:t>
            </m:r>
          </m:e>
          <m:sub>
            <m:r>
              <m:t>h</m:t>
            </m:r>
            <m:r>
              <m:t>e</m:t>
            </m:r>
            <m:r>
              <m:t>a</m:t>
            </m:r>
            <m:r>
              <m:t>d</m:t>
            </m:r>
            <m:r>
              <m:t>s</m:t>
            </m:r>
            <m:r>
              <m:rPr>
                <m:sty m:val="p"/>
              </m:rPr>
              <m:t>,</m:t>
            </m:r>
            <m:r>
              <m:t>d</m:t>
            </m:r>
          </m:sub>
          <m:sup>
            <m:r>
              <m:t>s</m:t>
            </m:r>
            <m:r>
              <m:t>u</m:t>
            </m:r>
            <m:r>
              <m:t>p</m:t>
            </m:r>
          </m:sup>
        </m:sSubSup>
        <m:r>
          <m:rPr>
            <m:sty m:val="p"/>
          </m:rPr>
          <m:t>=</m:t>
        </m:r>
        <m:f>
          <m:fPr>
            <m:type m:val="bar"/>
          </m:fPr>
          <m:num>
            <m:r>
              <m:t>S</m:t>
            </m:r>
            <m:d>
              <m:dPr>
                <m:begChr m:val="("/>
                <m:endChr m:val=")"/>
                <m:sepChr m:val=""/>
                <m:grow/>
              </m:dPr>
              <m:e>
                <m:sSub>
                  <m:e>
                    <m:r>
                      <m:t>x</m:t>
                    </m:r>
                  </m:e>
                  <m:sub>
                    <m:r>
                      <m:t>d</m:t>
                    </m:r>
                  </m:sub>
                </m:sSub>
                <m:r>
                  <m:rPr>
                    <m:sty m:val="p"/>
                  </m:rPr>
                  <m:t>,</m:t>
                </m:r>
                <m:sSub>
                  <m:e>
                    <m:r>
                      <m:t>G</m:t>
                    </m:r>
                  </m:e>
                  <m:sub>
                    <m:r>
                      <m:t>d</m:t>
                    </m:r>
                  </m:sub>
                </m:sSub>
              </m:e>
            </m:d>
            <m:r>
              <m:rPr>
                <m:sty m:val="p"/>
              </m:rPr>
              <m:t>+</m:t>
            </m:r>
            <m:nary>
              <m:naryPr>
                <m:chr m:val="∑"/>
                <m:limLoc m:val="undOvr"/>
                <m:subHide m:val="off"/>
                <m:supHide m:val="off"/>
              </m:naryPr>
              <m:sub>
                <m:r>
                  <m:t>j</m:t>
                </m:r>
                <m:r>
                  <m:rPr>
                    <m:sty m:val="p"/>
                  </m:rPr>
                  <m:t>=</m:t>
                </m:r>
                <m:r>
                  <m:t>1</m:t>
                </m:r>
              </m:sub>
              <m:sup>
                <m:sSub>
                  <m:e>
                    <m:r>
                      <m:t>m</m:t>
                    </m:r>
                  </m:e>
                  <m:sub>
                    <m:r>
                      <m:t>d</m:t>
                    </m:r>
                  </m:sub>
                </m:sSub>
              </m:sup>
              <m:e>
                <m:sSub>
                  <m:e>
                    <m:r>
                      <m:t>S</m:t>
                    </m:r>
                  </m:e>
                  <m:sub>
                    <m:sSub>
                      <m:e>
                        <m:r>
                          <m:t>m</m:t>
                        </m:r>
                      </m:e>
                      <m:sub>
                        <m:r>
                          <m:t>j</m:t>
                        </m:r>
                      </m:sub>
                    </m:sSub>
                  </m:sub>
                </m:sSub>
              </m:e>
            </m:nary>
            <m:d>
              <m:dPr>
                <m:begChr m:val="("/>
                <m:endChr m:val=")"/>
                <m:sepChr m:val=""/>
                <m:grow/>
              </m:dPr>
              <m:e>
                <m:r>
                  <m:t>x</m:t>
                </m:r>
                <m:sSub>
                  <m:e>
                    <m:r>
                      <m:rPr>
                        <m:sty m:val="p"/>
                      </m:rPr>
                      <m:t>′</m:t>
                    </m:r>
                  </m:e>
                  <m:sub>
                    <m:r>
                      <m:t>d</m:t>
                    </m:r>
                    <m:r>
                      <m:t>j</m:t>
                    </m:r>
                  </m:sub>
                </m:sSub>
                <m:r>
                  <m:rPr>
                    <m:sty m:val="p"/>
                  </m:rPr>
                  <m:t>,</m:t>
                </m:r>
                <m:sSub>
                  <m:e>
                    <m:r>
                      <m:t>ϕ</m:t>
                    </m:r>
                  </m:e>
                  <m:sub>
                    <m:r>
                      <m:t>j</m:t>
                    </m:r>
                  </m:sub>
                </m:sSub>
                <m:d>
                  <m:dPr>
                    <m:begChr m:val="("/>
                    <m:endChr m:val=")"/>
                    <m:sepChr m:val=""/>
                    <m:grow/>
                  </m:dPr>
                  <m:e>
                    <m:sSub>
                      <m:e>
                        <m:r>
                          <m:t>G</m:t>
                        </m:r>
                      </m:e>
                      <m:sub>
                        <m:r>
                          <m:t>d</m:t>
                        </m:r>
                      </m:sub>
                    </m:sSub>
                  </m:e>
                </m:d>
              </m:e>
            </m:d>
          </m:num>
          <m:den>
            <m:r>
              <m:t>1</m:t>
            </m:r>
            <m:r>
              <m:rPr>
                <m:sty m:val="p"/>
              </m:rPr>
              <m:t>+</m:t>
            </m:r>
            <m:sSub>
              <m:e>
                <m:r>
                  <m:t>m</m:t>
                </m:r>
              </m:e>
              <m:sub>
                <m:r>
                  <m:t>d</m:t>
                </m:r>
              </m:sub>
            </m:sSub>
          </m:den>
        </m:f>
        <m:r>
          <m:rPr>
            <m:sty m:val="p"/>
          </m:rPr>
          <m:t>.</m:t>
        </m:r>
      </m:oMath>
      <w:r>
        <w:rPr>
          <w:sz w:val="21"/>
        </w:rPr>
        <w:tab/>
      </w:r>
      <w:bookmarkStart w:id="2022" w:name="Equation_3_13"/>
      <w:r>
        <w:rPr>
          <w:sz w:val="21"/>
        </w:rPr>
        <w:t>（3-</w:t>
      </w:r>
      <w:fldSimple w:instr=" SEQ Equation3 \* ARABIC ">
        <w:r>
          <w:t>13</w:t>
        </w:r>
      </w:fldSimple>
      <w:r>
        <w:rPr>
          <w:sz w:val="21"/>
        </w:rPr>
        <w:t>）</w:t>
      </w:r>
      <w:bookmarkEnd w:id="2022"/>
    </w:p>
    <w:p>
      <w:pPr>
        <w:pStyle w:val="Normal"/>
        <w:spacing w:after="60" w:line="274" w:lineRule="auto"/>
      </w:pPr>
      <w:r>
        <w:t xml:space="preserve">成对项先在每个非空因素组内平均，再按同源接受视图平均。总损失见式</w:t>
      </w:r>
      <w:fldSimple w:instr=" REF Equation_3_14 \h ">
        <w:r>
          <w:t>（3-14）</w:t>
        </w:r>
      </w:fldSimple>
      <w:r>
        <w:t xml:space="preserve">：</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L</m:t>
            </m:r>
          </m:e>
          <m:sub>
            <m:r>
              <m:t>d</m:t>
            </m:r>
          </m:sub>
        </m:sSub>
        <m:r>
          <m:rPr>
            <m:sty m:val="p"/>
          </m:rPr>
          <m:t>=</m:t>
        </m:r>
        <m:sSub>
          <m:e>
            <m:r>
              <m:t>L</m:t>
            </m:r>
          </m:e>
          <m:sub>
            <m:r>
              <m:t>I</m:t>
            </m:r>
            <m:r>
              <m:t>C</m:t>
            </m:r>
            <m:r>
              <m:t>I</m:t>
            </m:r>
            <m:r>
              <m:t>C</m:t>
            </m:r>
          </m:sub>
        </m:sSub>
        <m:d>
          <m:dPr>
            <m:begChr m:val="("/>
            <m:endChr m:val=")"/>
            <m:sepChr m:val=""/>
            <m:grow/>
          </m:dPr>
          <m:e>
            <m:sSub>
              <m:e>
                <m:r>
                  <m:t>x</m:t>
                </m:r>
              </m:e>
              <m:sub>
                <m:r>
                  <m:t>d</m:t>
                </m:r>
              </m:sub>
            </m:sSub>
            <m:r>
              <m:rPr>
                <m:sty m:val="p"/>
              </m:rPr>
              <m:t>,</m:t>
            </m:r>
            <m:sSub>
              <m:e>
                <m:r>
                  <m:t>G</m:t>
                </m:r>
              </m:e>
              <m:sub>
                <m:r>
                  <m:t>d</m:t>
                </m:r>
              </m:sub>
            </m:sSub>
          </m:e>
        </m:d>
        <m:r>
          <m:rPr>
            <m:sty m:val="p"/>
          </m:rPr>
          <m:t>+</m:t>
        </m:r>
        <m:sSub>
          <m:e>
            <m:r>
              <m:t>λ</m:t>
            </m:r>
          </m:e>
          <m:sub>
            <m:r>
              <m:t>s</m:t>
            </m:r>
            <m:r>
              <m:t>u</m:t>
            </m:r>
            <m:r>
              <m:t>p</m:t>
            </m:r>
          </m:sub>
        </m:sSub>
        <m:sSubSup>
          <m:e>
            <m:r>
              <m:t>L</m:t>
            </m:r>
          </m:e>
          <m:sub>
            <m:r>
              <m:t>h</m:t>
            </m:r>
            <m:r>
              <m:t>e</m:t>
            </m:r>
            <m:r>
              <m:t>a</m:t>
            </m:r>
            <m:r>
              <m:t>d</m:t>
            </m:r>
            <m:r>
              <m:t>s</m:t>
            </m:r>
            <m:r>
              <m:rPr>
                <m:sty m:val="p"/>
              </m:rPr>
              <m:t>,</m:t>
            </m:r>
            <m:r>
              <m:t>d</m:t>
            </m:r>
          </m:sub>
          <m:sup>
            <m:r>
              <m:t>s</m:t>
            </m:r>
            <m:r>
              <m:t>u</m:t>
            </m:r>
            <m:r>
              <m:t>p</m:t>
            </m:r>
          </m:sup>
        </m:sSubSup>
        <m:r>
          <m:rPr>
            <m:sty m:val="p"/>
          </m:rPr>
          <m:t>+</m:t>
        </m:r>
        <m:sSub>
          <m:e>
            <m:r>
              <m:t>λ</m:t>
            </m:r>
          </m:e>
          <m:sub>
            <m:r>
              <m:t>C</m:t>
            </m:r>
          </m:sub>
        </m:sSub>
        <m:sSubSup>
          <m:e>
            <m:acc>
              <m:accPr>
                <m:chr m:val="‾"/>
              </m:accPr>
              <m:e>
                <m:r>
                  <m:t>L</m:t>
                </m:r>
              </m:e>
            </m:acc>
          </m:e>
          <m:sub>
            <m:r>
              <m:t>C</m:t>
            </m:r>
            <m:r>
              <m:rPr>
                <m:sty m:val="p"/>
              </m:rPr>
              <m:t>,</m:t>
            </m:r>
            <m:r>
              <m:t>d</m:t>
            </m:r>
          </m:sub>
          <m:sup>
            <m:r>
              <m:t>a</m:t>
            </m:r>
            <m:r>
              <m:t>l</m:t>
            </m:r>
            <m:r>
              <m:t>i</m:t>
            </m:r>
            <m:r>
              <m:t>g</m:t>
            </m:r>
            <m:r>
              <m:t>n</m:t>
            </m:r>
          </m:sup>
        </m:sSubSup>
        <m:r>
          <m:rPr>
            <m:sty m:val="p"/>
          </m:rPr>
          <m:t>+</m:t>
        </m:r>
        <m:sSub>
          <m:e>
            <m:r>
              <m:t>λ</m:t>
            </m:r>
          </m:e>
          <m:sub>
            <m:r>
              <m:t>R</m:t>
            </m:r>
          </m:sub>
        </m:sSub>
        <m:sSubSup>
          <m:e>
            <m:acc>
              <m:accPr>
                <m:chr m:val="‾"/>
              </m:accPr>
              <m:e>
                <m:r>
                  <m:t>L</m:t>
                </m:r>
              </m:e>
            </m:acc>
          </m:e>
          <m:sub>
            <m:r>
              <m:t>R</m:t>
            </m:r>
            <m:r>
              <m:rPr>
                <m:sty m:val="p"/>
              </m:rPr>
              <m:t>,</m:t>
            </m:r>
            <m:r>
              <m:t>d</m:t>
            </m:r>
          </m:sub>
          <m:sup>
            <m:r>
              <m:t>a</m:t>
            </m:r>
            <m:r>
              <m:t>l</m:t>
            </m:r>
            <m:r>
              <m:t>i</m:t>
            </m:r>
            <m:r>
              <m:t>g</m:t>
            </m:r>
            <m:r>
              <m:t>n</m:t>
            </m:r>
          </m:sup>
        </m:sSubSup>
        <m:r>
          <m:rPr>
            <m:sty m:val="p"/>
          </m:rPr>
          <m:t>.</m:t>
        </m:r>
      </m:oMath>
      <w:r>
        <w:rPr>
          <w:sz w:val="21"/>
        </w:rPr>
        <w:tab/>
      </w:r>
      <w:bookmarkStart w:id="2023" w:name="Equation_3_14"/>
      <w:r>
        <w:rPr>
          <w:sz w:val="21"/>
        </w:rPr>
        <w:t>（3-</w:t>
      </w:r>
      <w:fldSimple w:instr=" SEQ Equation3 \* ARABIC ">
        <w:r>
          <w:t>14</w:t>
        </w:r>
      </w:fldSimple>
      <w:r>
        <w:rPr>
          <w:sz w:val="21"/>
        </w:rPr>
        <w:t>）</w:t>
      </w:r>
      <w:bookmarkEnd w:id="2023"/>
    </w:p>
    <w:p>
      <w:pPr>
        <w:pStyle w:val="Normal"/>
        <w:spacing w:after="60" w:line="274" w:lineRule="auto"/>
      </w:pPr>
      <w:r>
        <w:t xml:space="preserve">默认</w:t>
      </w:r>
      <w:r>
        <w:t xml:space="preserve"> </w:t>
      </w:r>
      <m:oMath>
        <m:sSub>
          <m:e>
            <m:r>
              <m:t>λ</m:t>
            </m:r>
          </m:e>
          <m:sub>
            <m:r>
              <m:t>s</m:t>
            </m:r>
            <m:r>
              <m:t>u</m:t>
            </m:r>
            <m:r>
              <m:t>p</m:t>
            </m:r>
          </m:sub>
        </m:sSub>
        <m:r>
          <m:rPr>
            <m:sty m:val="p"/>
          </m:rPr>
          <m:t>=</m:t>
        </m:r>
        <m:r>
          <m:t>1</m:t>
        </m:r>
      </m:oMath>
      <w:r>
        <w:t xml:space="preserve">、</w:t>
      </w:r>
      <m:oMath>
        <m:sSub>
          <m:e>
            <m:r>
              <m:t>λ</m:t>
            </m:r>
          </m:e>
          <m:sub>
            <m:r>
              <m:t>C</m:t>
            </m:r>
          </m:sub>
        </m:sSub>
        <m:r>
          <m:rPr>
            <m:sty m:val="p"/>
          </m:rPr>
          <m:t>=</m:t>
        </m:r>
        <m:sSub>
          <m:e>
            <m:r>
              <m:t>λ</m:t>
            </m:r>
          </m:e>
          <m:sub>
            <m:r>
              <m:t>R</m:t>
            </m:r>
          </m:sub>
        </m:sSub>
        <m:r>
          <m:rPr>
            <m:sty m:val="p"/>
          </m:rPr>
          <m:t>=</m:t>
        </m:r>
        <m:r>
          <m:t>0.5</m:t>
        </m:r>
      </m:oMath>
      <w:r>
        <w:t xml:space="preserve">。无变体时只保留原文对应项；有变体但无可靠关系时，关系对齐置零，组件学习仍可进行。接受视图已通过组件检查，被改写组件的</w:t>
      </w:r>
      <w:r>
        <w:t xml:space="preserve"> </w:t>
      </w:r>
      <m:oMath>
        <m:sSub>
          <m:e>
            <m:r>
              <m:t>m</m:t>
            </m:r>
          </m:e>
          <m:sub>
            <m:r>
              <m:t>C</m:t>
            </m:r>
          </m:sub>
        </m:sSub>
      </m:oMath>
      <w:r>
        <w:t xml:space="preserve"> </w:t>
      </w:r>
      <w:r>
        <w:t xml:space="preserve">均为1，因此计入</w:t>
      </w:r>
      <w:r>
        <w:t xml:space="preserve"> </w:t>
      </w:r>
      <m:oMath>
        <m:sSub>
          <m:e>
            <m:r>
              <m:t>m</m:t>
            </m:r>
          </m:e>
          <m:sub>
            <m:r>
              <m:t>d</m:t>
            </m:r>
          </m:sub>
        </m:sSub>
      </m:oMath>
      <w:r>
        <w:t xml:space="preserve"> </w:t>
      </w:r>
      <w:r>
        <w:t xml:space="preserve">的视图不会出现空组件项。批内按源文档平均，梯度累积末批按实际文档数归一化，不把接受变体多的源文档自动赋予更高权重。</w:t>
      </w:r>
    </w:p>
    <w:p>
      <w:pPr>
        <w:pStyle w:val="Normal"/>
        <w:spacing w:after="60" w:line="274" w:lineRule="auto"/>
      </w:pPr>
      <w:r>
        <w:t xml:space="preserve">按</w:t>
      </w:r>
      <w:r>
        <w:t xml:space="preserve"> </w:t>
      </w:r>
      <m:oMath>
        <m:r>
          <m:t>1</m:t>
        </m:r>
        <m:r>
          <m:rPr>
            <m:sty m:val="p"/>
          </m:rPr>
          <m:t>+</m:t>
        </m:r>
        <m:sSub>
          <m:e>
            <m:r>
              <m:t>m</m:t>
            </m:r>
          </m:e>
          <m:sub>
            <m:r>
              <m:t>d</m:t>
            </m:r>
          </m:sub>
        </m:sSub>
      </m:oMath>
      <w:r>
        <w:t xml:space="preserve"> </w:t>
      </w:r>
      <w:r>
        <w:t xml:space="preserve">平均使每篇源文档的头监督总权重固定，代价是原文在头监督中的占比随接受视图数变为</w:t>
      </w:r>
      <w:r>
        <w:t xml:space="preserve"> </w:t>
      </w:r>
      <m:oMath>
        <m:r>
          <m:t>1</m:t>
        </m:r>
        <m:r>
          <m:rPr>
            <m:sty m:val="p"/>
          </m:rPr>
          <m:t>/</m:t>
        </m:r>
        <m:d>
          <m:dPr>
            <m:begChr m:val="("/>
            <m:endChr m:val=")"/>
            <m:sepChr m:val=""/>
            <m:grow/>
          </m:dPr>
          <m:e>
            <m:r>
              <m:t>1</m:t>
            </m:r>
            <m:r>
              <m:rPr>
                <m:sty m:val="p"/>
              </m:rPr>
              <m:t>+</m:t>
            </m:r>
            <m:sSub>
              <m:e>
                <m:r>
                  <m:t>m</m:t>
                </m:r>
              </m:e>
              <m:sub>
                <m:r>
                  <m:t>d</m:t>
                </m:r>
              </m:sub>
            </m:sSub>
          </m:e>
        </m:d>
      </m:oMath>
      <w:r>
        <w:t xml:space="preserve">；原文完整生成损失</w:t>
      </w:r>
      <w:r>
        <w:t xml:space="preserve"> </w:t>
      </w:r>
      <m:oMath>
        <m:sSub>
          <m:e>
            <m:r>
              <m:t>L</m:t>
            </m:r>
          </m:e>
          <m:sub>
            <m:r>
              <m:t>I</m:t>
            </m:r>
            <m:r>
              <m:t>C</m:t>
            </m:r>
            <m:r>
              <m:t>I</m:t>
            </m:r>
            <m:r>
              <m:t>C</m:t>
            </m:r>
          </m:sub>
        </m:sSub>
      </m:oMath>
      <w:r>
        <w:t xml:space="preserve"> </w:t>
      </w:r>
      <w:r>
        <w:t xml:space="preserve">不受影响。完整筛选与因素掩码通常接受不同数量的视图，二者的比较因此同时包含这一占比差异，这是数据策略的一部分。成对学习消融固定同一批视图与掩码，不受该差异影响。</w:t>
      </w:r>
    </w:p>
    <w:p>
      <w:pPr>
        <w:pStyle w:val="Normal"/>
        <w:spacing w:after="60" w:line="274" w:lineRule="auto"/>
      </w:pPr>
      <w:r>
        <w:t xml:space="preserve">两个视图均保留梯度。生成和句子损失更新继承模块，组件与关系头及成对项通过输入表示更新全局LoRA；类型前缀门控的结论专项分支只由相应生成路径更新。基础权重冻结，辅助头在评价时移除。推理评分器另行训练，不使用这些辅助头的类别概率冒充完整对象正确率。</w:t>
      </w:r>
    </w:p>
    <w:p>
      <w:pPr>
        <w:pStyle w:val="Normal"/>
        <w:spacing w:after="60" w:line="274" w:lineRule="auto"/>
      </w:pPr>
      <w:r>
        <w:t xml:space="preserve">全文改写后所有标签都被确认的额外版本可以计算增强图生成损失，但须独立命名并控制更新量。本文默认不采用该版本，以免将未审核监督重新从生成目标引入。</w:t>
      </w:r>
    </w:p>
    <w:p>
      <w:pPr>
        <w:pStyle w:val="Heading2"/>
      </w:pPr>
      <w:r>
        <w:rPr>
          <w:rFonts w:ascii="Arial Unicode MS" w:hAnsi="Arial Unicode MS" w:eastAsia="Arial Unicode MS"/>
        </w:rPr>
        <w:t>3.5 算法及性质</w:t>
      </w:r>
    </w:p>
    <w:p>
      <w:pPr>
        <w:pStyle w:val="Normal"/>
        <w:spacing w:after="60" w:line="274" w:lineRule="auto"/>
      </w:pPr>
      <w:r>
        <w:t xml:space="preserve">算法3-1将增强构造和参数学习分为两个阶段。前一阶段在固定预算内生成并筛选文本变体，后一阶段按源文档归一化训练。两阶段的数据构造及损失计算均只访问训练划分；开发集的参数选择与停止规则按第二章2.5节执行，测试标签不参与上述过程。</w:t>
      </w:r>
    </w:p>
    <w:p>
      <w:pPr>
        <w:pStyle w:val="Normal"/>
        <w:keepNext/>
        <w:spacing w:after="60" w:line="274" w:lineRule="auto"/>
        <w:ind w:firstLine="0"/>
        <w:jc w:val="center"/>
      </w:pPr>
      <w:r>
        <w:t xml:space="preserve">算法3-1 关系影响域增强与成对学习</w:t>
      </w:r>
    </w:p>
    <w:p>
      <w:pPr>
        <w:pStyle w:val="SourceCode"/>
      </w:pPr>
      <w:r>
        <w:t>输入：训练文档及金标图 D_train，数据协议，固定增强与语义验证模型，</w:t>
      </w:r>
    </w:p>
    <w:p>
      <w:pPr>
        <w:pStyle w:val="SourceCode"/>
      </w:pPr>
      <w:r>
        <w:t xml:space="preserve">      每文档尝试上限 B_try、接受上限 B_accept，训练更新上限 U，</w:t>
      </w:r>
    </w:p>
    <w:p>
      <w:pPr>
        <w:pStyle w:val="SourceCode"/>
      </w:pPr>
      <w:r>
        <w:t xml:space="preserve">      审核模式 mode ∈ {FactorMask, FullFilter}。</w:t>
      </w:r>
    </w:p>
    <w:p>
      <w:pPr>
        <w:pStyle w:val="SourceCode"/>
      </w:pPr>
      <w:r>
        <w:t>输出：训练后的端到端生成器 θ，以及增强样本、组件映射和来源记录。</w:t>
      </w:r>
    </w:p>
    <w:p>
      <w:pPr>
        <w:pStyle w:val="SourceCode"/>
      </w:pPr>
      <w:r>
        <w:t>01  检查训练划分、全文哈希分组、坐标和标签协议</w:t>
      </w:r>
    </w:p>
    <w:p>
      <w:pPr>
        <w:pStyle w:val="SourceCode"/>
      </w:pPr>
      <w:r>
        <w:t>02  for 每篇源文档 d ∈ D_train do</w:t>
      </w:r>
    </w:p>
    <w:p>
      <w:pPr>
        <w:pStyle w:val="SourceCode"/>
      </w:pPr>
      <w:r>
        <w:t>03    保留原文 x_d 和完整金标图 G_d；令 Views_d = ∅</w:t>
      </w:r>
    </w:p>
    <w:p>
      <w:pPr>
        <w:pStyle w:val="SourceCode"/>
      </w:pPr>
      <w:r>
        <w:t>04    按3.3.1固定中心及完整入源；不可处理则记原因并继续下一文档</w:t>
      </w:r>
    </w:p>
    <w:p>
      <w:pPr>
        <w:pStyle w:val="SourceCode"/>
      </w:pPr>
      <w:r>
        <w:t>05    建立 Ω(C_d) 并排除语义未知集合得到 Ω_sem，构造改写集合 A</w:t>
      </w:r>
    </w:p>
    <w:p>
      <w:pPr>
        <w:pStyle w:val="SourceCode"/>
      </w:pPr>
      <w:r>
        <w:t>06    构造完整影响域 D_A；令 attempts = 0</w:t>
      </w:r>
    </w:p>
    <w:p>
      <w:pPr>
        <w:pStyle w:val="SourceCode"/>
      </w:pPr>
      <w:r>
        <w:t>07    while attempts &lt; B_try 且 |Views_d| &lt; B_accept do</w:t>
      </w:r>
    </w:p>
    <w:p>
      <w:pPr>
        <w:pStyle w:val="SourceCode"/>
      </w:pPr>
      <w:r>
        <w:t>08      attempts ← attempts + 1；生成组件槽位的替换文本</w:t>
      </w:r>
    </w:p>
    <w:p>
      <w:pPr>
        <w:pStyle w:val="SourceCode"/>
      </w:pPr>
      <w:r>
        <w:t>09      回填全文、重新分词，建立全部组件的双射 φ</w:t>
      </w:r>
    </w:p>
    <w:p>
      <w:pPr>
        <w:pStyle w:val="SourceCode"/>
      </w:pPr>
      <w:r>
        <w:t>10      if 格式、槽位、坐标或端点检查失败 then</w:t>
      </w:r>
    </w:p>
    <w:p>
      <w:pPr>
        <w:pStyle w:val="SourceCode"/>
      </w:pPr>
      <w:r>
        <w:t>11        拒绝整个变体，记录原因及成本</w:t>
      </w:r>
    </w:p>
    <w:p>
      <w:pPr>
        <w:pStyle w:val="SourceCode"/>
      </w:pPr>
      <w:r>
        <w:t>12        continue</w:t>
      </w:r>
    </w:p>
    <w:p>
      <w:pPr>
        <w:pStyle w:val="SourceCode"/>
      </w:pPr>
      <w:r>
        <w:t>13      end if</w:t>
      </w:r>
    </w:p>
    <w:p>
      <w:pPr>
        <w:pStyle w:val="SourceCode"/>
      </w:pPr>
      <w:r>
        <w:t>14      检查全文角色与表达退化</w:t>
      </w:r>
    </w:p>
    <w:p>
      <w:pPr>
        <w:pStyle w:val="SourceCode"/>
      </w:pPr>
      <w:r>
        <w:t>15      if D_A ≠ ∅ then</w:t>
      </w:r>
    </w:p>
    <w:p>
      <w:pPr>
        <w:pStyle w:val="SourceCode"/>
      </w:pPr>
      <w:r>
        <w:t>16        if mode = FullFilter then J_A ← D_A；不可完整审核则拒绝本次视图</w:t>
      </w:r>
    </w:p>
    <w:p>
      <w:pPr>
        <w:pStyle w:val="SourceCode"/>
      </w:pPr>
      <w:r>
        <w:t>16a       else J_A ← 全部受影响正关系 ∪ 固定抽样内部及边界 NONE</w:t>
      </w:r>
    </w:p>
    <w:p>
      <w:pPr>
        <w:pStyle w:val="SourceCode"/>
      </w:pPr>
      <w:r>
        <w:t>16b       在 J_A 中排除已定义的语义未知因素，逐项核查原／新状态并建立 m_R</w:t>
      </w:r>
    </w:p>
    <w:p>
      <w:pPr>
        <w:pStyle w:val="SourceCode"/>
      </w:pPr>
      <w:r>
        <w:t>17      end if</w:t>
      </w:r>
    </w:p>
    <w:p>
      <w:pPr>
        <w:pStyle w:val="SourceCode"/>
      </w:pPr>
      <w:r>
        <w:t>18      if 组件含义变化／待定、结构失败，或完整筛选版本任一因素失败 then</w:t>
      </w:r>
    </w:p>
    <w:p>
      <w:pPr>
        <w:pStyle w:val="SourceCode"/>
      </w:pPr>
      <w:r>
        <w:t>19        拒绝整个变体，记录原因及成本</w:t>
      </w:r>
    </w:p>
    <w:p>
      <w:pPr>
        <w:pStyle w:val="SourceCode"/>
      </w:pPr>
      <w:r>
        <w:t>20        continue</w:t>
      </w:r>
    </w:p>
    <w:p>
      <w:pPr>
        <w:pStyle w:val="SourceCode"/>
      </w:pPr>
      <w:r>
        <w:t>21      end if</w:t>
      </w:r>
    </w:p>
    <w:p>
      <w:pPr>
        <w:pStyle w:val="SourceCode"/>
      </w:pPr>
      <w:r>
        <w:t>22      将全文视图、φ(G_d)、φ、可靠因素掩码和来源加入 Views_d</w:t>
      </w:r>
    </w:p>
    <w:p>
      <w:pPr>
        <w:pStyle w:val="SourceCode"/>
      </w:pPr>
      <w:r>
        <w:t>23    end while</w:t>
      </w:r>
    </w:p>
    <w:p>
      <w:pPr>
        <w:pStyle w:val="SourceCode"/>
      </w:pPr>
      <w:r>
        <w:t>24    保存 Views_d；集合为空时仍保留原文</w:t>
      </w:r>
    </w:p>
    <w:p>
      <w:pPr>
        <w:pStyle w:val="SourceCode"/>
      </w:pPr>
      <w:r>
        <w:t>25  end for</w:t>
      </w:r>
    </w:p>
    <w:p>
      <w:pPr>
        <w:pStyle w:val="SourceCode"/>
      </w:pPr>
      <w:r>
        <w:t>26  for step = 1, …, U do</w:t>
      </w:r>
    </w:p>
    <w:p>
      <w:pPr>
        <w:pStyle w:val="SourceCode"/>
      </w:pPr>
      <w:r>
        <w:t>27    按源文档等频取训练批次；读取原文及其已接受视图</w:t>
      </w:r>
    </w:p>
    <w:p>
      <w:pPr>
        <w:pStyle w:val="SourceCode"/>
      </w:pPr>
      <w:r>
        <w:t>28    依可见前缀门控，仅计算原文完整生成损失及继承句子监督</w:t>
      </w:r>
    </w:p>
    <w:p>
      <w:pPr>
        <w:pStyle w:val="SourceCode"/>
      </w:pPr>
      <w:r>
        <w:t>29    从输入表示计算原文可审核因素的头监督及变体掩码内的头监督</w:t>
      </w:r>
    </w:p>
    <w:p>
      <w:pPr>
        <w:pStyle w:val="SourceCode"/>
      </w:pPr>
      <w:r>
        <w:t>30    依 φ 计算可靠因素上的成对损失；无变体或空可靠域时置零</w:t>
      </w:r>
    </w:p>
    <w:p>
      <w:pPr>
        <w:pStyle w:val="SourceCode"/>
      </w:pPr>
      <w:r>
        <w:t>31    保留两个视图的梯度，按同源变体及源文档两级归一化</w:t>
      </w:r>
    </w:p>
    <w:p>
      <w:pPr>
        <w:pStyle w:val="SourceCode"/>
      </w:pPr>
      <w:r>
        <w:t>32    按3.4.2节的梯度路径执行一次反向传播；基础模型权重冻结</w:t>
      </w:r>
    </w:p>
    <w:p>
      <w:pPr>
        <w:pStyle w:val="SourceCode"/>
      </w:pPr>
      <w:r>
        <w:t>33    if 达到2.5节预先确定的停止条件 then</w:t>
      </w:r>
    </w:p>
    <w:p>
      <w:pPr>
        <w:pStyle w:val="SourceCode"/>
      </w:pPr>
      <w:r>
        <w:t>34      break</w:t>
      </w:r>
    </w:p>
    <w:p>
      <w:pPr>
        <w:pStyle w:val="SourceCode"/>
      </w:pPr>
      <w:r>
        <w:t>35    end if</w:t>
      </w:r>
    </w:p>
    <w:p>
      <w:pPr>
        <w:pStyle w:val="SourceCode"/>
      </w:pPr>
      <w:r>
        <w:t>36  end for</w:t>
      </w:r>
    </w:p>
    <w:p>
      <w:pPr>
        <w:pStyle w:val="SourceCode"/>
      </w:pPr>
      <w:r>
        <w:t>37  返回生成器及来源记录；开发评价和测试时移除训练辅助头</w:t>
      </w:r>
    </w:p>
    <w:p>
      <w:pPr>
        <w:pStyle w:val="Normal"/>
        <w:spacing w:after="60" w:line="274" w:lineRule="auto"/>
      </w:pPr>
      <w:r>
        <w:t xml:space="preserve">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Normal"/>
        <w:spacing w:after="60" w:line="274" w:lineRule="auto"/>
      </w:pPr>
      <w:r>
        <w:t xml:space="preserve">性质一：标注输运保持。</w:t>
      </w:r>
      <w:r>
        <w:t xml:space="preserve"> </w:t>
      </w:r>
      <w:r>
        <w:t xml:space="preserve">若可改写槽位互不冲突、</w:t>
      </w:r>
      <m:oMath>
        <m:r>
          <m:t>ϕ</m:t>
        </m:r>
      </m:oMath>
      <w:r>
        <w:t xml:space="preserve"> </w:t>
      </w:r>
      <w:r>
        <w:t xml:space="preserve">为组件双射，且类型和每个完整关系因素均按</w:t>
      </w:r>
      <w:r>
        <w:t xml:space="preserve"> </w:t>
      </w:r>
      <m:oMath>
        <m:r>
          <m:t>ϕ</m:t>
        </m:r>
      </m:oMath>
      <w:r>
        <w:t xml:space="preserve"> </w:t>
      </w:r>
      <w:r>
        <w:t xml:space="preserve">输运，则</w:t>
      </w:r>
      <w:r>
        <w:t xml:space="preserve"> </w:t>
      </w:r>
      <m:oMath>
        <m:r>
          <m:t>G</m:t>
        </m:r>
      </m:oMath>
      <w:r>
        <w:t xml:space="preserve"> </w:t>
      </w:r>
      <w:r>
        <w:t xml:space="preserve">与</w:t>
      </w:r>
      <w:r>
        <w:t xml:space="preserve"> </w:t>
      </w:r>
      <m:oMath>
        <m:r>
          <m:t>ϕ</m:t>
        </m:r>
        <m:d>
          <m:dPr>
            <m:begChr m:val="("/>
            <m:endChr m:val=")"/>
            <m:sepChr m:val=""/>
            <m:grow/>
          </m:dPr>
          <m:e>
            <m:r>
              <m:t>G</m:t>
            </m:r>
          </m:e>
        </m:d>
      </m:oMath>
      <w:r>
        <w:t xml:space="preserve"> </w:t>
      </w:r>
      <w:r>
        <w:t xml:space="preserve">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Normal"/>
        <w:spacing w:after="60" w:line="274" w:lineRule="auto"/>
      </w:pPr>
      <w:r>
        <w:t xml:space="preserve">性质二：单因素预测稳定的充分条件。</w:t>
      </w:r>
      <w:r>
        <w:t xml:space="preserve"> </w:t>
      </w:r>
      <w:r>
        <w:t xml:space="preserve">对某一因素，设原视图正确类别为</w:t>
      </w:r>
      <w:r>
        <w:t xml:space="preserve"> </w:t>
      </w:r>
      <m:oMath>
        <m:r>
          <m:t>y</m:t>
        </m:r>
      </m:oMath>
      <w:r>
        <w:t xml:space="preserve">，分布</w:t>
      </w:r>
      <w:r>
        <w:t xml:space="preserve"> </w:t>
      </w:r>
      <m:oMath>
        <m:r>
          <m:t>p</m:t>
        </m:r>
      </m:oMath>
      <w:r>
        <w:t xml:space="preserve"> </w:t>
      </w:r>
      <w:r>
        <w:t xml:space="preserve">的间隔为</w:t>
      </w:r>
      <w:r>
        <w:t xml:space="preserve"> </w:t>
      </w:r>
      <m:oMath>
        <m:r>
          <m:t>δ</m:t>
        </m:r>
        <m:r>
          <m:rPr>
            <m:sty m:val="p"/>
          </m:rPr>
          <m:t>=</m:t>
        </m:r>
        <m:sSub>
          <m:e>
            <m:r>
              <m:t>p</m:t>
            </m:r>
          </m:e>
          <m:sub>
            <m:r>
              <m:t>y</m:t>
            </m:r>
          </m:sub>
        </m:sSub>
        <m:r>
          <m:rPr>
            <m:sty m:val="p"/>
          </m:rPr>
          <m:t>−</m:t>
        </m:r>
        <m:sSub>
          <m:e>
            <m:r>
              <m:rPr>
                <m:sty m:val="p"/>
              </m:rPr>
              <m:t>max</m:t>
            </m:r>
          </m:e>
          <m:sub>
            <m:r>
              <m:t>k</m:t>
            </m:r>
            <m:r>
              <m:rPr>
                <m:sty m:val="p"/>
              </m:rPr>
              <m:t>≠</m:t>
            </m:r>
            <m:r>
              <m:t>y</m:t>
            </m:r>
          </m:sub>
        </m:sSub>
        <m:sSub>
          <m:e>
            <m:r>
              <m:t>p</m:t>
            </m:r>
          </m:e>
          <m:sub>
            <m:r>
              <m:t>k</m:t>
            </m:r>
          </m:sub>
        </m:sSub>
        <m:r>
          <m:rPr>
            <m:sty m:val="p"/>
          </m:rPr>
          <m:t>&gt;</m:t>
        </m:r>
        <m:r>
          <m:t>0</m:t>
        </m:r>
      </m:oMath>
      <w:r>
        <w:t xml:space="preserve">。若增强视图分布</w:t>
      </w:r>
      <w:r>
        <w:t xml:space="preserve"> </w:t>
      </w:r>
      <m:oMath>
        <m:r>
          <m:t>q</m:t>
        </m:r>
      </m:oMath>
      <w:r>
        <w:t xml:space="preserve"> </w:t>
      </w:r>
      <w:r>
        <w:t xml:space="preserve">满足</w:t>
      </w:r>
      <w:r>
        <w:t xml:space="preserve"> </w:t>
      </w:r>
      <m:oMath>
        <m:r>
          <m:rPr>
            <m:sty m:val="p"/>
          </m:rPr>
          <m:t>∥</m:t>
        </m:r>
        <m:r>
          <m:t>p</m:t>
        </m:r>
        <m:r>
          <m:rPr>
            <m:sty m:val="p"/>
          </m:rPr>
          <m:t>−</m:t>
        </m:r>
        <m:r>
          <m:t>q</m:t>
        </m:r>
        <m:sSub>
          <m:e>
            <m:r>
              <m:rPr>
                <m:sty m:val="p"/>
              </m:rPr>
              <m:t>∥</m:t>
            </m:r>
          </m:e>
          <m:sub>
            <m:r>
              <m:rPr>
                <m:sty m:val="p"/>
              </m:rPr>
              <m:t>∞</m:t>
            </m:r>
          </m:sub>
        </m:sSub>
        <m:r>
          <m:rPr>
            <m:sty m:val="p"/>
          </m:rPr>
          <m:t>&lt;</m:t>
        </m:r>
        <m:r>
          <m:t>δ</m:t>
        </m:r>
        <m:r>
          <m:rPr>
            <m:sty m:val="p"/>
          </m:rPr>
          <m:t>/</m:t>
        </m:r>
        <m:r>
          <m:t>2</m:t>
        </m:r>
      </m:oMath>
      <w:r>
        <w:t xml:space="preserve">，则</w:t>
      </w:r>
      <w:r>
        <w:t xml:space="preserve"> </w:t>
      </w:r>
      <m:oMath>
        <m:r>
          <m:rPr>
            <m:sty m:val="p"/>
          </m:rPr>
          <m:t>arg</m:t>
        </m:r>
        <m:r>
          <m:rPr>
            <m:sty m:val="p"/>
          </m:rPr>
          <m:t>max</m:t>
        </m:r>
        <m:r>
          <m:t>q</m:t>
        </m:r>
        <m:r>
          <m:rPr>
            <m:sty m:val="p"/>
          </m:rPr>
          <m:t>=</m:t>
        </m:r>
        <m:r>
          <m:t>y</m:t>
        </m:r>
      </m:oMath>
      <w:r>
        <w:t xml:space="preserve">。因为对任意</w:t>
      </w:r>
      <w:r>
        <w:t xml:space="preserve"> </w:t>
      </w:r>
      <m:oMath>
        <m:r>
          <m:t>k</m:t>
        </m:r>
        <m:r>
          <m:rPr>
            <m:sty m:val="p"/>
          </m:rPr>
          <m:t>≠</m:t>
        </m:r>
        <m:r>
          <m:t>y</m:t>
        </m:r>
      </m:oMath>
      <w:r>
        <w:t xml:space="preserve">，</w:t>
      </w:r>
      <m:oMath>
        <m:sSub>
          <m:e>
            <m:r>
              <m:t>q</m:t>
            </m:r>
          </m:e>
          <m:sub>
            <m:r>
              <m:t>y</m:t>
            </m:r>
          </m:sub>
        </m:sSub>
        <m:r>
          <m:rPr>
            <m:sty m:val="p"/>
          </m:rPr>
          <m:t>−</m:t>
        </m:r>
        <m:sSub>
          <m:e>
            <m:r>
              <m:t>q</m:t>
            </m:r>
          </m:e>
          <m:sub>
            <m:r>
              <m:t>k</m:t>
            </m:r>
          </m:sub>
        </m:sSub>
        <m:r>
          <m:rPr>
            <m:sty m:val="p"/>
          </m:rPr>
          <m:t>&gt;</m:t>
        </m:r>
        <m:sSub>
          <m:e>
            <m:r>
              <m:t>p</m:t>
            </m:r>
          </m:e>
          <m:sub>
            <m:r>
              <m:t>y</m:t>
            </m:r>
          </m:sub>
        </m:sSub>
        <m:r>
          <m:rPr>
            <m:sty m:val="p"/>
          </m:rPr>
          <m:t>−</m:t>
        </m:r>
        <m:sSub>
          <m:e>
            <m:r>
              <m:t>p</m:t>
            </m:r>
          </m:e>
          <m:sub>
            <m:r>
              <m:t>k</m:t>
            </m:r>
          </m:sub>
        </m:sSub>
        <m:r>
          <m:rPr>
            <m:sty m:val="p"/>
          </m:rPr>
          <m:t>−</m:t>
        </m:r>
        <m:r>
          <m:t>δ</m:t>
        </m:r>
        <m:r>
          <m:rPr>
            <m:sty m:val="p"/>
          </m:rPr>
          <m:t>≥</m:t>
        </m:r>
        <m:r>
          <m:t>0</m:t>
        </m:r>
      </m:oMath>
      <w:r>
        <w:t xml:space="preserve">。这只是逐因素条件，平均 JS 降低不意味着每个因素均满足该界，也不能使原先错误的预测自动正确。</w:t>
      </w:r>
    </w:p>
    <w:p>
      <w:pPr>
        <w:pStyle w:val="Normal"/>
        <w:spacing w:after="60" w:line="274" w:lineRule="auto"/>
      </w:pPr>
      <w:r>
        <w:t xml:space="preserve">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rPr>
          <w:rFonts w:ascii="Arial Unicode MS" w:hAnsi="Arial Unicode MS" w:eastAsia="Arial Unicode MS"/>
        </w:rPr>
        <w:t>3.6 实验结果与分析</w:t>
      </w:r>
    </w:p>
    <w:p>
      <w:pPr>
        <w:pStyle w:val="Heading3"/>
      </w:pPr>
      <w:r>
        <w:rPr>
          <w:rFonts w:ascii="Arial Unicode MS" w:hAnsi="Arial Unicode MS" w:eastAsia="Arial Unicode MS"/>
        </w:rPr>
        <w:t>3.6.1 实验设置与受控比较</w:t>
      </w:r>
    </w:p>
    <w:p>
      <w:pPr>
        <w:pStyle w:val="Normal"/>
        <w:spacing w:after="60" w:line="274" w:lineRule="auto"/>
      </w:pPr>
      <w:r>
        <w:t xml:space="preserve">T0/I0为继承配置；Heads仅增加辅助头；Plain和QOS分别控制普通增强和槽位化增强；NoPair使用可靠因素监督但不对齐原文与变体；CompPair仅对齐组件；T1/I0对齐组件与关系。FullFilter与RandomCenter分别考察完整影响域筛选和匹配随机中心。九组均固定骨干、源文档访问和有效更新步数，推理统一I0。增强组按500／900个接受视图匹配规模，拒绝生成和审核成本不隐藏。</w:t>
      </w:r>
    </w:p>
    <w:p>
      <w:pPr>
        <w:pStyle w:val="Normal"/>
        <w:spacing w:after="60" w:line="274" w:lineRule="auto"/>
      </w:pPr>
      <w:r>
        <w:t xml:space="preserve">NoPair、CompPair、T1/I0复用同一视图与关系掩码，文件摘要列于附录A。因素总体来自原生标注及声明的有限NONE宇宙，CDCP已知联合源真子集不作为NONE。故成对差值不混入视图数量或监督掩码变化。</w:t>
      </w:r>
    </w:p>
    <w:p>
      <w:pPr>
        <w:pStyle w:val="Caption"/>
        <w:keepNext/>
        <w:spacing w:after="60" w:line="274" w:lineRule="auto"/>
        <w:ind w:firstLine="0"/>
        <w:jc w:val="center"/>
      </w:pPr>
      <w:r>
        <w:rPr>
          <w:rFonts w:ascii="Arial Unicode MS" w:hAnsi="Arial Unicode MS" w:eastAsia="Arial Unicode MS"/>
        </w:rPr>
        <w:t xml:space="preserve">表3-4 训练组的受控因素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0"/>
        <w:gridCol w:w="1610"/>
        <w:gridCol w:w="1610"/>
        <w:gridCol w:w="1610"/>
        <w:gridCol w:w="1610"/>
        <w:gridCol w:w="1610"/>
      </w:tblGrid>
      <w:tr>
        <w:trPr>
          <w:cantSplit/>
          <w:tblHeader/>
        </w:trPr>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配置</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增强</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可靠因素监督</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组件对齐</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关系对齐</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与成对主组共享输入</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T0I0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Heads</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原文</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Plain／QOS</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构造方法各自规则</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仅匹配规模</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NoPair</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是</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CompPair</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是</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是</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left"/>
            </w:pPr>
            <w:r>
              <w:rPr>
                <w:b w:val="0"/>
                <w:sz w:val="17"/>
              </w:rPr>
              <w:t xml:space="preserve">FullFilter／RandomCenter</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独立可选策略</w:t>
            </w:r>
          </w:p>
        </w:tc>
      </w:tr>
    </w:tbl>
    <w:p>
      <w:pPr>
        <w:pStyle w:val="Heading3"/>
      </w:pPr>
      <w:r>
        <w:rPr>
          <w:rFonts w:ascii="Arial Unicode MS" w:hAnsi="Arial Unicode MS" w:eastAsia="Arial Unicode MS"/>
        </w:rPr>
        <w:t>3.6.2 主结果与机制消融</w:t>
      </w:r>
    </w:p>
    <w:p>
      <w:pPr>
        <w:pStyle w:val="Caption"/>
        <w:keepNext/>
        <w:spacing w:after="60" w:line="274" w:lineRule="auto"/>
        <w:ind w:firstLine="0"/>
        <w:jc w:val="center"/>
      </w:pPr>
      <w:r>
        <w:rPr>
          <w:rFonts w:ascii="Arial Unicode MS" w:hAnsi="Arial Unicode MS" w:eastAsia="Arial Unicode MS"/>
        </w:rPr>
        <w:t xml:space="preserve">表3-5 相同I0下的训练比较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750"/>
        <w:gridCol w:w="1750"/>
        <w:gridCol w:w="1750"/>
        <w:gridCol w:w="1750"/>
      </w:tblGrid>
      <w:tr>
        <w:trPr>
          <w:cantSplit/>
          <w:tblHeader/>
        </w:trPr>
        <w:tc>
          <w:tcPr>
            <w:tcW w:type="dxa" w:w="2664"/>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配置</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AAEC组件F1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AAEC关系F1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CDCP组件F1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CDCP关系F1</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T0/I0：继承配置</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84.18 ± 0.79</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65.18 ± 3.43</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75.99 ± 1.61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38.76 ± 3.37</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继承配置＋辅助头</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84.36 ± 0.82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65.60 ± 3.21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76.25 ± 1.58</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39.02 ± 3.37</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普通增强</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84.76 ± 1.17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65.64 ± 2.59</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76.93 ± 1.45</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39.15 ± 2.39</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QOS式适配</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85.04 ± 1.08</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66.21 ± 3.37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77.49 ± 1.92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40.08 ± 2.78</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可靠对应，无成对</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85.49 ± 0.88</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66.83 ± 3.03</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77.97 ± 2.01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41.14 ± 2.70</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仅组件成对</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86.15 ± 0.78</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67.82 ± 2.60</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78.65 ± 1.51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42.06 ± 2.86</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T1/I0：完整成对</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86.73 ± 0.67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68.81 ± 2.05</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79.92 ± 1.51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43.65 ± 3.53</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完整筛选</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86.49 ± 0.88</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68.36 ± 2.35</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79.56 ± 1.76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43.92 ± 2.82</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匹配随机中心</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86.26 ± 0.97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67.99 ± 2.66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79.60 ± 1.32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44.05 ± 3.39</w:t>
            </w:r>
          </w:p>
        </w:tc>
      </w:tr>
    </w:tbl>
    <w:p>
      <w:pPr>
        <w:spacing w:after="60" w:line="274" w:lineRule="auto"/>
      </w:pPr>
      <w:r>
        <w:t>在表3-5的模拟结果中，T1/I0相对T0/I0的关系F1增加3.63 pp和4.89 pp，两项主要比较的Holm p均为0.0120。该比较评估整套训练配置，不能将全部差值归因于成对项。表内“±”表示三个种子条件下的样本标准差，反映该模拟条件中的跨种子离散程度，不能据此扩大到真实模型效果。</w:t>
      </w:r>
    </w:p>
    <w:p>
      <w:pPr>
        <w:pStyle w:val="Caption"/>
        <w:keepNext/>
        <w:spacing w:after="60" w:line="274" w:lineRule="auto"/>
        <w:ind w:firstLine="0"/>
        <w:jc w:val="center"/>
      </w:pPr>
      <w:r>
        <w:rPr>
          <w:rFonts w:ascii="Arial Unicode MS" w:hAnsi="Arial Unicode MS" w:eastAsia="Arial Unicode MS"/>
        </w:rPr>
        <w:t xml:space="preserve">表3-6 训练侧配对关系F1差值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2434"/>
        <w:gridCol w:w="749"/>
        <w:gridCol w:w="1483"/>
        <w:gridCol w:w="1613"/>
        <w:gridCol w:w="749"/>
        <w:gridCol w:w="1800"/>
      </w:tblGrid>
      <w:tr>
        <w:trPr>
          <w:cantSplit/>
          <w:tblHeader/>
        </w:trPr>
        <w:tc>
          <w:tcPr>
            <w:tcW w:type="dxa" w:w="835"/>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语料</w:t>
            </w:r>
          </w:p>
        </w:tc>
        <w:tc>
          <w:tcPr>
            <w:tcW w:type="dxa" w:w="2434"/>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比较</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差值/pp</w:t>
            </w:r>
          </w:p>
        </w:tc>
        <w:tc>
          <w:tcPr>
            <w:tcW w:type="dxa" w:w="148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95% CI</w:t>
            </w:r>
          </w:p>
        </w:tc>
        <w:tc>
          <w:tcPr>
            <w:tcW w:type="dxa" w:w="161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种子17 / 29 / 43</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p</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比较身份</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T0I0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3.63</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[1.78, 5.60]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1.85 / 4.45 / 4.57</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0.0120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NoPair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1.98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[0.69, 3.43]</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0.74 / 2.47 / 2.72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0.0600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CompPair − NoPair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0.99</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[0.24, 1.95]</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0.37 / 1.36 / 1.24</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0.0295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CompPair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0.99</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[0.20, 1.97]</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0.37 / 1.11 / 1.48</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0.0325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NoPair − QOS</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0.62</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1.80]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0.12 / 0.99 / 0.74</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0.1354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NoPair − Plain</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1.19</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[0.22, 2.51]</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1.48 / 1.61 / 0.49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0.0405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FullFilter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-0.45</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[-1.31, 0.08]</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-0.74 / -0.62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0.2039</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RandomCenter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-0.82</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[-1.84,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-0.12 / -0.99 / -1.36</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0.0775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T0I0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4.89</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[2.91, 7.23]</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5.95 / 4.37 / 4.37</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0.0120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NoPair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2.51</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[0.98, 4.39]</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2.78 / 3.17 / 1.59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0.0720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CompPair − NoPair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0.93</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[0.13, 1.94]</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0.79 / 1.19 / 0.79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0.0585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CompPair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1.59</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[0.14, 3.21]</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1.98 / 1.98 / 0.79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0.0495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NoPair − QOS</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1.06</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2.85]</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1.98 / 0.40 / 0.79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0.1119</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NoPair − Plain</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1.98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[0.60, 4.14]</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3.17 / 1.59 / 1.19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0.0360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FullFilter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0.26</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[-1.10, 1.59]</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-0.40 / 0.00 / 1.19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0.6747</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RandomCenter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[-0.61, 1.60]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-0.40 / 0.79 / 0.79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0.5032</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bl>
    <w:p>
      <w:pPr>
        <w:spacing w:after="60" w:line="274" w:lineRule="auto"/>
      </w:pPr>
      <w:r>
        <w:t>判断成对目标的独立作用，应优先查看同一视图、掩码和辅助头条件下的T1I0−NoPair。在模拟结果中，两语料的点估计分别为1.98 pp和2.51 pp，单项95%区间不含零；但14项主要比较共同校正后，Holm p为0.0600和0.0720，未达到预设0.05标准。未调整的单项区间与家族校正p并不矛盾。辅助头平均JS下降也不能推出每个因素或完整生成图更准确，故本章保留成对正则化的研究价值，不将其表述为已经独立证实的关键增益。组件项和关系项的差值分别计算，不相加置信区间。</w:t>
      </w:r>
    </w:p>
    <w:p>
      <w:pPr>
        <w:spacing w:after="60" w:line="274" w:lineRule="auto"/>
      </w:pPr>
      <w:r>
        <w:t>可靠因素构造相对普通增强的探索差值为正，相对QOS式适配的区间则包含零或边界零，尚不足以确认普遍优越性。完整筛选与中心选择没有形成跨语料一致优势。因此，因素掩码、可选成对目标和可选完整筛选应按各自的受控比较解释；当前模拟材料主要用于检验研究设计及报告口径。</w:t>
      </w:r>
    </w:p>
    <w:p>
      <w:pPr>
        <w:pStyle w:val="Heading3"/>
      </w:pPr>
      <w:r>
        <w:rPr>
          <w:rFonts w:ascii="Arial Unicode MS" w:hAnsi="Arial Unicode MS" w:eastAsia="Arial Unicode MS"/>
        </w:rPr>
        <w:t>3.6.3 分层审核与语义漂移</w:t>
      </w:r>
    </w:p>
    <w:p>
      <w:pPr>
        <w:pStyle w:val="Normal"/>
        <w:spacing w:after="60" w:line="274" w:lineRule="auto"/>
      </w:pPr>
      <w:r>
        <w:t xml:space="preserve">两名审核者A、B分别判断stable（状态保持）、changed（状态改变）、undecided（待定）与original_disagreement（原标签分歧），裁决者C在独立判断后形成参照。三人先使用60项培训材料统一规范，培训一致性κ为0.86。组件审核覆盖接受和拒绝项目；关系审核从训练增强池按四层抽样，每层至多300项，不足300项则全数审核。抽样概率为πh=nh/Nh，所有记录绑定源文档、视图和因素身份。</w:t>
      </w:r>
    </w:p>
    <w:p>
      <w:pPr>
        <w:pStyle w:val="Normal"/>
        <w:spacing w:after="60" w:line="274" w:lineRule="auto"/>
      </w:pPr>
      <w:r>
        <w:t>表3-7和表3-8用Wilson区间表示二项比例的不确定性，用κ表示扣除偶然一致后的审核者一致性。这里的κ是审核统计量，与第四章效用中的代价参数不是同一量。</w:t>
      </w:r>
    </w:p>
    <w:p>
      <w:pPr>
        <w:pStyle w:val="Caption"/>
        <w:keepNext/>
        <w:spacing w:after="60" w:line="274" w:lineRule="auto"/>
        <w:ind w:firstLine="0"/>
        <w:jc w:val="center"/>
      </w:pPr>
      <w:r>
        <w:rPr>
          <w:rFonts w:ascii="Arial Unicode MS" w:hAnsi="Arial Unicode MS" w:eastAsia="Arial Unicode MS"/>
        </w:rPr>
        <w:t xml:space="preserve">表3-7 组件核查与裁决</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008"/>
        <w:gridCol w:w="1224"/>
        <w:gridCol w:w="1224"/>
        <w:gridCol w:w="1008"/>
        <w:gridCol w:w="1440"/>
        <w:gridCol w:w="1224"/>
        <w:gridCol w:w="1454"/>
      </w:tblGrid>
      <w:tr>
        <w:trPr>
          <w:cantSplit/>
          <w:tblHeader/>
        </w:trPr>
        <w:tc>
          <w:tcPr>
            <w:tcW w:type="dxa" w:w="108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00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抽样</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接受</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不安全</w:t>
            </w:r>
          </w:p>
        </w:tc>
        <w:tc>
          <w:tcPr>
            <w:tcW w:type="dxa" w:w="100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比例</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Wilson 95%</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一致率</w:t>
            </w:r>
          </w:p>
        </w:tc>
        <w:tc>
          <w:tcPr>
            <w:tcW w:type="dxa" w:w="145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κ</w:t>
            </w:r>
          </w:p>
        </w:tc>
      </w:tr>
      <w:tr>
        <w:trPr>
          <w:cantSplit/>
        </w:trPr>
        <w:tc>
          <w:tcPr>
            <w:tcW w:type="dxa" w:w="108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320</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1.33%</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[0.52, 3.38]</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94.69%</w:t>
            </w:r>
          </w:p>
        </w:tc>
        <w:tc>
          <w:tcPr>
            <w:tcW w:type="dxa" w:w="145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0.690</w:t>
            </w:r>
          </w:p>
        </w:tc>
      </w:tr>
      <w:tr>
        <w:trPr>
          <w:cantSplit/>
        </w:trPr>
        <w:tc>
          <w:tcPr>
            <w:tcW w:type="dxa" w:w="108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320</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1.00%</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[0.34, 2.90]</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95.94%</w:t>
            </w:r>
          </w:p>
        </w:tc>
        <w:tc>
          <w:tcPr>
            <w:tcW w:type="dxa" w:w="145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0.755</w:t>
            </w:r>
          </w:p>
        </w:tc>
      </w:tr>
    </w:tbl>
    <w:p>
      <w:pPr>
        <w:pStyle w:val="Caption"/>
        <w:keepNext/>
        <w:spacing w:after="60" w:line="274" w:lineRule="auto"/>
        <w:ind w:firstLine="0"/>
        <w:jc w:val="center"/>
      </w:pPr>
      <w:r>
        <w:rPr>
          <w:rFonts w:ascii="Arial Unicode MS" w:hAnsi="Arial Unicode MS" w:eastAsia="Arial Unicode MS"/>
        </w:rPr>
        <w:t xml:space="preserve">表3-8 关系因素的独立分层审核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0"/>
        <w:gridCol w:w="634"/>
        <w:gridCol w:w="734"/>
        <w:gridCol w:w="850"/>
        <w:gridCol w:w="749"/>
        <w:gridCol w:w="821"/>
        <w:gridCol w:w="792"/>
        <w:gridCol w:w="1426"/>
        <w:gridCol w:w="1037"/>
        <w:gridCol w:w="950"/>
      </w:tblGrid>
      <w:tr>
        <w:trPr>
          <w:cantSplit/>
          <w:tblHeader/>
        </w:trPr>
        <w:tc>
          <w:tcPr>
            <w:tcW w:type="dxa" w:w="167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语料／层</w:t>
            </w:r>
          </w:p>
        </w:tc>
        <w:tc>
          <w:tcPr>
            <w:tcW w:type="dxa" w:w="63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Nh</w:t>
            </w:r>
          </w:p>
        </w:tc>
        <w:tc>
          <w:tcPr>
            <w:tcW w:type="dxa" w:w="73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抽样n</w:t>
            </w:r>
          </w:p>
        </w:tc>
        <w:tc>
          <w:tcPr>
            <w:tcW w:type="dxa" w:w="85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π</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接受数</w:t>
            </w:r>
          </w:p>
        </w:tc>
        <w:tc>
          <w:tcPr>
            <w:tcW w:type="dxa" w:w="821"/>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不安全数</w:t>
            </w:r>
          </w:p>
        </w:tc>
        <w:tc>
          <w:tcPr>
            <w:tcW w:type="dxa" w:w="792"/>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比例</w:t>
            </w:r>
          </w:p>
        </w:tc>
        <w:tc>
          <w:tcPr>
            <w:tcW w:type="dxa" w:w="142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Wilson 95%</w:t>
            </w:r>
          </w:p>
        </w:tc>
        <w:tc>
          <w:tcPr>
            <w:tcW w:type="dxa" w:w="103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一致率</w:t>
            </w:r>
          </w:p>
        </w:tc>
        <w:tc>
          <w:tcPr>
            <w:tcW w:type="dxa" w:w="95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κ</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AAEC／内部正关系</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683</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0.4392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280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1.07%</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[0.37, 3.10]</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96.00%</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0.771</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AAEC／跨边界正关系</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153</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153</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123</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2</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1.63%</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 5.74]</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92.16%</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0.804</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AAEC／内部NONE</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877</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0.3421</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279</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4</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1.43%</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[0.56, 3.63]</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90.67%</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0.591</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AAEC／跨边界NONE</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2000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0.1500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266</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0.38%</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[0.07, 2.10]</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94.67%</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0.785</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CDCP／内部正关系</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315</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0.9524</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282</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2</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0.71%</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[0.19, 2.55]</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93.00%</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0.606</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CDCP／跨边界正关系</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249</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4</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1.61%</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[0.63, 4.06]</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94.14%</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0.811</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CDCP／内部NONE</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470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0.6383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277</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5</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1.81%</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[0.77, 4.16]</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93.00%</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0.697</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CDCP／跨边界NONE</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3251</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0.0923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269</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2</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0.74%</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[0.20, 2.67]</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94.33%</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0.776</w:t>
            </w:r>
          </w:p>
        </w:tc>
      </w:tr>
    </w:tbl>
    <w:p>
      <w:pPr>
        <w:spacing w:after="60" w:line="274" w:lineRule="auto"/>
      </w:pPr>
      <w:r>
        <w:t>表3-7和表3-8的Wilson区间按因素级二项比例计算，仅作为工作性近似。来自同一源文档的多个视图或因素可能相关，且各层抽样比例不同；在未提供逐层源文档数及按源聚类、按抽样设计计算的区间前，不用这些区间承诺层内不安全率低于5%。一致率与κ只反映审核者间一致，不等同于语义准确率，NONE层的类别偏斜也可能压低κ。</w:t>
      </w:r>
    </w:p>
    <w:p>
      <w:pPr>
        <w:spacing w:after="60" w:line="274" w:lineRule="auto"/>
      </w:pPr>
      <w:r>
        <w:t>AAEC跨边界正关系层在123个被接受因素中有2个不安全因素，比例为1.63%，Wilson上界为5.74%，即使采用这一近似也未达到“上界不超过5%”的条件。总体加权不安全率0.81%不能替代该层结论。π=1表示审核覆盖了该固定因素池的全层，其比例描述这一有限池；推断未来生成批次仍需要新的来源与相应抽样设计。</w:t>
      </w:r>
    </w:p>
    <w:p>
      <w:pPr>
        <w:pStyle w:val="Caption"/>
        <w:keepNext/>
        <w:spacing w:after="60" w:line="274" w:lineRule="auto"/>
        <w:ind w:firstLine="0"/>
        <w:jc w:val="center"/>
      </w:pPr>
      <w:r>
        <w:rPr>
          <w:rFonts w:ascii="Arial Unicode MS" w:hAnsi="Arial Unicode MS" w:eastAsia="Arial Unicode MS"/>
        </w:rPr>
        <w:t xml:space="preserve">表3-9 目标增强池的加权审核与漂移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008"/>
        <w:gridCol w:w="1224"/>
        <w:gridCol w:w="1224"/>
        <w:gridCol w:w="1008"/>
        <w:gridCol w:w="1440"/>
        <w:gridCol w:w="1224"/>
        <w:gridCol w:w="1454"/>
      </w:tblGrid>
      <w:tr>
        <w:trPr>
          <w:cantSplit/>
          <w:tblHeader/>
        </w:trPr>
        <w:tc>
          <w:tcPr>
            <w:tcW w:type="dxa" w:w="108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00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审核因素／源组</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未加权不安全率</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加权不安全率</w:t>
            </w:r>
          </w:p>
        </w:tc>
        <w:tc>
          <w:tcPr>
            <w:tcW w:type="dxa" w:w="100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源聚类95%</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加权漂移率</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漂移95%</w:t>
            </w:r>
          </w:p>
        </w:tc>
        <w:tc>
          <w:tcPr>
            <w:tcW w:type="dxa" w:w="145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变化／可判定且原标注有效</w:t>
            </w:r>
          </w:p>
        </w:tc>
      </w:tr>
      <w:tr>
        <w:trPr>
          <w:cantSplit/>
        </w:trPr>
        <w:tc>
          <w:tcPr>
            <w:tcW w:type="dxa" w:w="108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1053／257</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1.05%</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0.81%</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[0.31, 1.45]</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6"/>
              </w:rPr>
              <w:t xml:space="preserve">5.83%</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[4.19, 7.60]</w:t>
            </w:r>
          </w:p>
        </w:tc>
        <w:tc>
          <w:tcPr>
            <w:tcW w:type="dxa" w:w="1454"/>
            <w:vAlign w:val="center"/>
            <w:tcMar>
              <w:top w:w="65" w:type="dxa"/>
              <w:bottom w:w="65" w:type="dxa"/>
              <w:left w:w="65" w:type="dxa"/>
              <w:right w:w="65" w:type="dxa"/>
            </w:tcMar>
          </w:tcPr>
          <w:p>
            <w:pPr>
              <w:pStyle w:val="Normal"/>
              <w:spacing w:after="0" w:line="259" w:lineRule="auto"/>
              <w:ind w:firstLine="0"/>
              <w:jc w:val="center"/>
            </w:pPr>
            <w:r>
              <w:rPr>
                <w:b w:val="0"/>
                <w:sz w:val="16"/>
              </w:rPr>
              <w:t xml:space="preserve">60／998</w:t>
            </w:r>
          </w:p>
        </w:tc>
      </w:tr>
      <w:tr>
        <w:trPr>
          <w:cantSplit/>
        </w:trPr>
        <w:tc>
          <w:tcPr>
            <w:tcW w:type="dxa" w:w="108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1190／401</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1.21%</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0.91%</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[0.26, 1.79]</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6"/>
              </w:rPr>
              <w:t xml:space="preserve">5.98%</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[4.06, 8.10]</w:t>
            </w:r>
          </w:p>
        </w:tc>
        <w:tc>
          <w:tcPr>
            <w:tcW w:type="dxa" w:w="1454"/>
            <w:vAlign w:val="center"/>
            <w:tcMar>
              <w:top w:w="65" w:type="dxa"/>
              <w:bottom w:w="65" w:type="dxa"/>
              <w:left w:w="65" w:type="dxa"/>
              <w:right w:w="65" w:type="dxa"/>
            </w:tcMar>
          </w:tcPr>
          <w:p>
            <w:pPr>
              <w:pStyle w:val="Normal"/>
              <w:spacing w:after="0" w:line="259" w:lineRule="auto"/>
              <w:ind w:firstLine="0"/>
              <w:jc w:val="center"/>
            </w:pPr>
            <w:r>
              <w:rPr>
                <w:b w:val="0"/>
                <w:sz w:val="16"/>
              </w:rPr>
              <w:t xml:space="preserve">68／1132</w:t>
            </w:r>
          </w:p>
        </w:tc>
      </w:tr>
    </w:tbl>
    <w:p>
      <w:pPr>
        <w:spacing w:after="60" w:line="274" w:lineRule="auto"/>
      </w:pPr>
      <w:r>
        <w:t>表3-9的不安全率以被接受因素为分母，漂移率以可判定且原标注有效的因素为分母；undecided与original_disagreement不并入稳定。原稿模拟口径采用逆抽样概率加权，并按源文档聚类重采样2000次。总体源组数为257和401，不能据此补出每一层的源组数或区间。真实审核仍需提供因素总体、抽样标记、源文档与视图身份、裁决及训练掩码，才能复核加权与聚类计算。</w:t>
      </w:r>
    </w:p>
    <w:p>
      <w:pPr>
        <w:pStyle w:val="Normal"/>
        <w:spacing w:after="60" w:line="274" w:lineRule="auto"/>
      </w:pPr>
      <w:r>
        <w:t xml:space="preserve">域外的只读端点可能经语境受到影响，不能仅凭端点未改而认定稳定。附录H单列域外检查；此类记录不混入四层影响域总体，也不扩大默认监督掩码。因素掩码允许保留可判定部分，完整筛选则需付出更多整例拒绝代价，二者的效果由表3-5独立判断。</w:t>
      </w:r>
    </w:p>
    <w:p>
      <w:pPr>
        <w:pStyle w:val="Heading3"/>
      </w:pPr>
      <w:r>
        <w:rPr>
          <w:rFonts w:ascii="Arial Unicode MS" w:hAnsi="Arial Unicode MS" w:eastAsia="Arial Unicode MS"/>
        </w:rPr>
        <w:t>3.6.4 训练成本与方法局限</w:t>
      </w:r>
    </w:p>
    <w:p>
      <w:pPr>
        <w:pStyle w:val="Caption"/>
        <w:keepNext/>
        <w:spacing w:after="60" w:line="274" w:lineRule="auto"/>
        <w:ind w:firstLine="0"/>
        <w:jc w:val="center"/>
      </w:pPr>
      <w:r>
        <w:rPr>
          <w:rFonts w:ascii="Arial Unicode MS" w:hAnsi="Arial Unicode MS" w:eastAsia="Arial Unicode MS"/>
        </w:rPr>
        <w:t xml:space="preserve">表3-10 训练与增强成本（三种子GPU时间均值）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224"/>
        <w:gridCol w:w="907"/>
        <w:gridCol w:w="864"/>
        <w:gridCol w:w="936"/>
        <w:gridCol w:w="1800"/>
        <w:gridCol w:w="965"/>
        <w:gridCol w:w="1123"/>
        <w:gridCol w:w="1066"/>
      </w:tblGrid>
      <w:tr>
        <w:trPr>
          <w:cantSplit/>
          <w:tblHeader/>
        </w:trPr>
        <w:tc>
          <w:tcPr>
            <w:tcW w:type="dxa" w:w="77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配置</w:t>
            </w:r>
          </w:p>
        </w:tc>
        <w:tc>
          <w:tcPr>
            <w:tcW w:type="dxa" w:w="90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源访问</w:t>
            </w:r>
          </w:p>
        </w:tc>
        <w:tc>
          <w:tcPr>
            <w:tcW w:type="dxa" w:w="86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更新步</w:t>
            </w:r>
          </w:p>
        </w:tc>
        <w:tc>
          <w:tcPr>
            <w:tcW w:type="dxa" w:w="93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接受视图</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尝试／接受token/M</w:t>
            </w:r>
          </w:p>
        </w:tc>
        <w:tc>
          <w:tcPr>
            <w:tcW w:type="dxa" w:w="96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审核调用</w:t>
            </w:r>
          </w:p>
        </w:tc>
        <w:tc>
          <w:tcPr>
            <w:tcW w:type="dxa" w:w="1123"/>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GPU小时</w:t>
            </w:r>
          </w:p>
        </w:tc>
        <w:tc>
          <w:tcPr>
            <w:tcW w:type="dxa" w:w="106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峰值GiB</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T0I0</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0.00／0.00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1.69</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47.29</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Heads</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0.00／0.00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1.93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51.52</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NoPair</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1.14／0.82</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1210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3.11</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62.37</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CompPair</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1.14／0.82</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1210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3.26</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65.54</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T1I0</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1.14／0.82</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1210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3.53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64.85</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T0I0</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0.00／0.00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2.86</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47.57</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Heads</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0.00／0.00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3.41</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50.80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NoPair</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900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2.02／1.35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2190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5.33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62.42</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CompPair</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900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2.02／1.35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2190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5.69</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64.95</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T1I0</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900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2.02／1.35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2190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5.98</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65.61</w:t>
            </w:r>
          </w:p>
        </w:tc>
      </w:tr>
    </w:tbl>
    <w:p>
      <w:pPr>
        <w:spacing w:after="60" w:line="274" w:lineRule="auto"/>
      </w:pPr>
      <w:r>
        <w:t>表3-10沿用模拟资源配置：源访问为5N，更新步为5×ceil(N/32)；基础适配和带辅助头配置的可训练参数分别为44,310,528和63,460,376，基础权重冻结。相同有效更新步数不意味着相同总成本，增强的生成、审核和训练开销应共同报告。</w:t>
      </w:r>
    </w:p>
    <w:p>
      <w:pPr>
        <w:spacing w:after="60" w:line="274" w:lineRule="auto"/>
      </w:pPr>
      <w:r>
        <w:t>在模拟成本表中，T1I0的GPU时间由继承配置的1.69／2.86小时增加至3.53／5.98小时，约为原来的2.09倍。生成和审核开销由共享增强视图的组共同承担；T1I0相对CompPair仍增加训练时间。因此，采用成对目标需要同时考虑独立收益的不确定性与额外成本，不能仅凭总F1较高忽略这一代价。训练损失曲线用于诊断优化过程，不能单独证明严格抽取收益；真实复核应保留逐种子日志及明确的聚合定义。</w:t>
      </w:r>
    </w:p>
    <w:p>
      <w:pPr>
        <w:spacing w:after="60" w:line="274" w:lineRule="auto"/>
      </w:pPr>
      <w:r>
        <w:t>真实语料案例与教学增强示例承担不同作用。表3-1的essay001说明原生因素的身份与依赖，3.3.4节的构造示例说明掩码和归一化的计算；二者均不能证明目标增强模型已经生成并接受了同样的视图。完整实证仍需补交一条部分掩码后接纳的实际记录和一条因语义变化而拒绝的实际记录。</w:t>
      </w:r>
    </w:p>
    <w:p>
      <w:pPr>
        <w:spacing w:after="60" w:line="274" w:lineRule="auto"/>
      </w:pPr>
      <w:r>
        <w:t>CDCP 00662的原生双源reason在4.6.4节展示。两个单源真子集既不能匹配完整超边，也不能仅据此获得语义NONE标签。这一边界贯穿训练审核和第四章完整对象评分。</w:t>
      </w:r>
    </w:p>
    <w:p>
      <w:pPr>
        <w:pStyle w:val="Heading2"/>
      </w:pPr>
      <w:r>
        <w:rPr>
          <w:rFonts w:ascii="Arial Unicode MS" w:hAnsi="Arial Unicode MS" w:eastAsia="Arial Unicode MS"/>
        </w:rPr>
        <w:t>3.7 本章小结</w:t>
      </w:r>
    </w:p>
    <w:p>
      <w:pPr>
        <w:spacing w:after="60" w:line="274" w:lineRule="auto"/>
      </w:pPr>
      <w:r>
        <w:t>本章将局部改写后的监督保持分解为字符身份迁移、语义审核及可靠因素学习。组件双射保证标注对象可追踪，关系掩码使不确定监督不会重新进入增强侧损失，源文档归一化控制了视图数量造成的权重差异。模拟比较给出了整套训练配置的正向结果，但尚未在主要比较族内独立确认成对项的收益。教学示例已明确接口计算；真实增强记录、分层聚类审核及目标模型实验仍是验证这些方法效果所需的证据。</w:t>
      </w:r>
    </w:p>
    <w:p>
      <w:pPr>
        <w:pStyle w:val="Heading1"/>
        <w:pageBreakBefore/>
      </w:pPr>
      <w:r>
        <w:rPr>
          <w:rFonts w:ascii="Arial Unicode MS" w:hAnsi="Arial Unicode MS" w:eastAsia="Arial Unicode MS"/>
        </w:rPr>
        <w:t>第四章 多候选驱动的依赖闭合论辩图修正</w:t>
      </w:r>
    </w:p>
    <w:p>
      <w:pPr>
        <w:pStyle w:val="Heading2"/>
      </w:pPr>
      <w:r>
        <w:rPr>
          <w:rFonts w:ascii="Arial Unicode MS" w:hAnsi="Arial Unicode MS" w:eastAsia="Arial Unicode MS"/>
        </w:rPr>
        <w:t>4.1 引言</w:t>
      </w:r>
    </w:p>
    <w:p>
      <w:pPr>
        <w:spacing w:after="80"/>
      </w:pPr>
      <w:r>
        <w:t>第三章处理训练文本改变后哪些监督可以继承，本章转向推理阶段：在原文保持不变时，如何修改预测组件及其关系。组件边界或类型一旦改变，引用旧端点的关系就成为不同的严格对象。仅依据组件置信度先行提交，可能遗漏整条关系失效的代价；仅依据图中平均覆盖分数接受，又可能因分母变化产生表面增益。</w:t>
      </w:r>
    </w:p>
    <w:p>
      <w:pPr>
        <w:spacing w:after="80"/>
      </w:pPr>
      <w:r>
        <w:t>MCR-BR已支持类型与跨度修改[34]。在此基础上，本章以固定候选宇宙和完整对象评分为前提，将冲突闭合、关系重建、分项效用及编辑预算组成统一接受规则。I1表示依赖闭合决策及固定路由的完整配置，BR-J专指集合局部子程序；共同接受、集合动作与求解路径分别通过对照评价。</w:t>
      </w:r>
    </w:p>
    <w:p>
      <w:pPr>
        <w:spacing w:after="80"/>
      </w:pPr>
      <w:r>
        <w:t>下文先说明候选和初始图，再给出评分及接受准则，随后用完整事务解释依赖闭合，最后介绍局部与全局求解、方法性质和实验分析。本章沿用test稿件的模拟主结果；教学事务只检验计算规则，CPU程序案例保留为独立的实际诊断，三者不互相替代。</w:t>
      </w:r>
    </w:p>
    <w:p>
      <w:pPr>
        <w:spacing w:after="80"/>
      </w:pPr>
      <w:r>
        <w:t>AAEC essay098的CPU实际预测同时包含一条正确supports关系及多条误边。固定规则能够减少误边，也可能删除原有正确关系，4.6.4节并列展示这两个结果。该现象说明修正需要记录收益和代价，但不等于本章目标模型、固定对象评分器或ILP已在该文档上得到验证。</w:t>
      </w:r>
    </w:p>
    <w:p>
      <w:pPr>
        <w:keepNext/>
        <w:ind w:firstLine="0"/>
        <w:jc w:val="center"/>
      </w:pPr>
      <w:r>
        <w:drawing>
          <wp:inline>
            <wp:extent cx="6120000" cy="4588704"/>
            <wp:docPr id="6" name="Picture 150" descr="图4-1 多候选驱动的依赖闭合修正模型；内嵌SVG矢量图，并保留PNG兼容预览。"/>
            <wp:cNvGraphicFramePr>
              <a:graphicFrameLocks noChangeAspect="1"/>
            </wp:cNvGraphicFramePr>
            <a:graphic>
              <a:graphicData uri="http://schemas.openxmlformats.org/drawingml/2006/picture">
                <pic:pic>
                  <pic:nvPicPr>
                    <pic:cNvPr id="0" name="03_依赖闭合修正模型_可编辑.png"/>
                    <pic:cNvPicPr/>
                  </pic:nvPicPr>
                  <pic:blipFill>
                    <a:blip r:embed="rId13">
                      <a:extLst>
                        <a:ext uri="{96DAC541-7B7A-43D3-8B79-37D633B846F1}">
                          <asvg:svgBlip xmlns:asvg="http://schemas.microsoft.com/office/drawing/2016/SVG/main" r:embed="rId14"/>
                        </a:ext>
                      </a:extLst>
                    </a:blip>
                    <a:stretch>
                      <a:fillRect/>
                    </a:stretch>
                  </pic:blipFill>
                  <pic:spPr>
                    <a:xfrm>
                      <a:off x="0" y="0"/>
                      <a:ext cx="6120000" cy="4588704"/>
                    </a:xfrm>
                    <a:prstGeom prst="rect"/>
                  </pic:spPr>
                </pic:pic>
              </a:graphicData>
            </a:graphic>
          </wp:inline>
        </w:drawing>
      </w:r>
    </w:p>
    <w:p>
      <w:pPr>
        <w:pStyle w:val="Caption"/>
        <w:keepNext w:val="0"/>
        <w:spacing w:after="80"/>
        <w:ind w:firstLine="0"/>
        <w:jc w:val="center"/>
      </w:pPr>
      <w:r>
        <w:rPr>
          <w:rFonts w:ascii="Arial Unicode MS" w:hAnsi="Arial Unicode MS" w:eastAsia="Arial Unicode MS"/>
        </w:rPr>
        <w:t xml:space="preserve">图4-1 多候选驱动的依赖闭合修正模型</w:t>
      </w:r>
    </w:p>
    <w:p>
      <w:pPr>
        <w:pStyle w:val="Normal"/>
        <w:spacing w:after="80"/>
      </w:pPr>
      <w:r>
        <w:t xml:space="preserve">已有结构解析和整数规划已联合处理组件与关系[46]，相关抽取修正与论辩重构也提供近邻机制[43][44]。本文的比较重点是固定原文、候选与评分下，端点变化和关系重建是否共同进入接受条件；不生成隐含前提，也不把局部搜索本身视为优势。</w:t>
      </w:r>
    </w:p>
    <w:p>
      <w:pPr>
        <w:pStyle w:val="Heading2"/>
      </w:pPr>
      <w:r>
        <w:rPr>
          <w:rFonts w:ascii="Arial Unicode MS" w:hAnsi="Arial Unicode MS" w:eastAsia="Arial Unicode MS"/>
        </w:rPr>
        <w:t>4.2 候选生成与初始图</w:t>
      </w:r>
    </w:p>
    <w:p>
      <w:pPr>
        <w:pStyle w:val="Normal"/>
        <w:spacing w:after="80"/>
      </w:pPr>
      <w:r>
        <w:t xml:space="preserve">候选生成既为初始图选择提供竞争结构，也限定后续修正能够访问的对象。初始选择沿用MCR接口；修正开始前，来自多次生成和补充提议的对象被汇总为固定候选宇宙。两个步骤共享候选来源，但承担不同的决策任务。</w:t>
      </w:r>
    </w:p>
    <w:p>
      <w:pPr>
        <w:pStyle w:val="Heading3"/>
      </w:pPr>
      <w:r>
        <w:rPr>
          <w:rFonts w:ascii="Arial Unicode MS" w:hAnsi="Arial Unicode MS" w:eastAsia="Arial Unicode MS"/>
        </w:rPr>
        <w:t>4.2.1 完整候选生成与初始图选择</w:t>
      </w:r>
    </w:p>
    <w:p>
      <w:pPr>
        <w:pStyle w:val="Normal"/>
        <w:spacing w:after="80"/>
      </w:pPr>
      <w:r>
        <w:t xml:space="preserve">给定文档</w:t>
      </w:r>
      <w:r>
        <w:t xml:space="preserve"> </w:t>
      </w:r>
      <m:oMath>
        <m:r>
          <m:t>x</m:t>
        </m:r>
      </m:oMath>
      <w:r>
        <w:t xml:space="preserve">，生成器通过预先固定的采样和提示配置产生</w:t>
      </w:r>
      <w:r>
        <w:t xml:space="preserve"> </w:t>
      </w:r>
      <m:oMath>
        <m:r>
          <m:t>K</m:t>
        </m:r>
      </m:oMath>
      <w:r>
        <w:t xml:space="preserve"> </w:t>
      </w:r>
      <w:r>
        <w:t xml:space="preserve">组组件假设。默认</w:t>
      </w:r>
      <w:r>
        <w:t xml:space="preserve"> </w:t>
      </w:r>
      <m:oMath>
        <m:r>
          <m:t>K</m:t>
        </m:r>
        <m:r>
          <m:rPr>
            <m:sty m:val="p"/>
          </m:rPr>
          <m:t>=</m:t>
        </m:r>
        <m:r>
          <m:t>3</m:t>
        </m:r>
      </m:oMath>
      <w:r>
        <w:t xml:space="preserve">：一组为temperature 0的贪心解码，另两组为temperature 0.7、top-p 0.9的核采样，随机种子由文档哈希与运行种子确定；三组使用同一提示，竞争假设的差异只来自解码方式与采样随机性。该取值为本文独立设定，不由附录E中ICIC的历史</w:t>
      </w:r>
      <w:r>
        <w:t xml:space="preserve"> </w:t>
      </w:r>
      <m:oMath>
        <m:r>
          <m:t>K</m:t>
        </m:r>
        <m:r>
          <m:rPr>
            <m:sty m:val="p"/>
          </m:rPr>
          <m:t>=</m:t>
        </m:r>
        <m:r>
          <m:t>3</m:t>
        </m:r>
      </m:oMath>
      <w:r>
        <w:t xml:space="preserve"> </w:t>
      </w:r>
      <w:r>
        <w:t xml:space="preserve">自动移植；</w:t>
      </w:r>
      <m:oMath>
        <m:r>
          <m:t>K</m:t>
        </m:r>
      </m:oMath>
      <w:r>
        <w:t xml:space="preserve"> </w:t>
      </w:r>
      <w:r>
        <w:t xml:space="preserve">的敏感性作为可选消融。</w:t>
      </w:r>
    </w:p>
    <w:p>
      <w:pPr>
        <w:pStyle w:val="Normal"/>
        <w:keepNext w:val="0"/>
        <w:keepLines/>
        <w:tabs>
          <w:tab w:pos="5046" w:val="center"/>
          <w:tab w:pos="10091" w:val="right"/>
        </w:tabs>
        <w:spacing w:line="276" w:lineRule="auto" w:before="120" w:after="120"/>
        <w:ind w:firstLine="0" w:left="0" w:right="0"/>
        <w:jc w:val="left"/>
      </w:pPr>
      <w:r>
        <w:rPr>
          <w:sz w:val="21"/>
        </w:rPr>
        <w:tab/>
      </w:r>
      <m:oMath>
        <m:r>
          <m:rPr>
            <m:sty m:val="p"/>
            <m:scr m:val="script"/>
          </m:rPr>
          <m:t>C</m:t>
        </m:r>
        <m:r>
          <m:rPr>
            <m:sty m:val="p"/>
          </m:rPr>
          <m:t>=</m:t>
        </m:r>
        <m:r>
          <m:rPr>
            <m:sty m:val="p"/>
          </m:rPr>
          <m:t>{</m:t>
        </m:r>
        <m:sSup>
          <m:e>
            <m:r>
              <m:t>C</m:t>
            </m:r>
          </m:e>
          <m:sup>
            <m:d>
              <m:dPr>
                <m:begChr m:val="("/>
                <m:endChr m:val=")"/>
                <m:sepChr m:val=""/>
                <m:grow/>
              </m:dPr>
              <m:e>
                <m:r>
                  <m:t>1</m:t>
                </m:r>
              </m:e>
            </m:d>
          </m:sup>
        </m:sSup>
        <m:r>
          <m:rPr>
            <m:sty m:val="p"/>
          </m:rPr>
          <m:t>,</m:t>
        </m:r>
        <m:r>
          <m:rPr>
            <m:sty m:val="p"/>
          </m:rPr>
          <m:t>…</m:t>
        </m:r>
        <m:r>
          <m:rPr>
            <m:sty m:val="p"/>
          </m:rPr>
          <m:t>,</m:t>
        </m:r>
        <m:sSup>
          <m:e>
            <m:r>
              <m:t>C</m:t>
            </m:r>
          </m:e>
          <m:sup>
            <m:d>
              <m:dPr>
                <m:begChr m:val="("/>
                <m:endChr m:val=")"/>
                <m:sepChr m:val=""/>
                <m:grow/>
              </m:dPr>
              <m:e>
                <m:r>
                  <m:t>K</m:t>
                </m:r>
              </m:e>
            </m:d>
          </m:sup>
        </m:sSup>
        <m:r>
          <m:rPr>
            <m:sty m:val="p"/>
          </m:rPr>
          <m:t>}</m:t>
        </m:r>
        <m:r>
          <m:rPr>
            <m:sty m:val="p"/>
          </m:rPr>
          <m:t>.</m:t>
        </m:r>
      </m:oMath>
      <w:r>
        <w:rPr>
          <w:sz w:val="21"/>
        </w:rPr>
        <w:tab/>
      </w:r>
      <w:bookmarkStart w:id="2024" w:name="Equation_4_1"/>
      <w:r>
        <w:rPr>
          <w:sz w:val="21"/>
        </w:rPr>
        <w:t>（4-</w:t>
      </w:r>
      <w:fldSimple w:instr=" SEQ Equation4 \r 1 \* ARABIC ">
        <w:r>
          <w:t>1</w:t>
        </w:r>
      </w:fldSimple>
      <w:r>
        <w:rPr>
          <w:sz w:val="21"/>
        </w:rPr>
        <w:t>）</w:t>
      </w:r>
      <w:bookmarkEnd w:id="2024"/>
    </w:p>
    <w:p>
      <w:pPr>
        <w:pStyle w:val="Normal"/>
        <w:spacing w:after="80"/>
      </w:pPr>
      <w:r>
        <w:t xml:space="preserve">每个组件包含原文跨度与类型。随后，关系生成器在固定的</w:t>
      </w:r>
      <w:r>
        <w:t xml:space="preserve"> </w:t>
      </w:r>
      <m:oMath>
        <m:sSup>
          <m:e>
            <m:r>
              <m:t>C</m:t>
            </m:r>
          </m:e>
          <m:sup>
            <m:d>
              <m:dPr>
                <m:begChr m:val="("/>
                <m:endChr m:val=")"/>
                <m:sepChr m:val=""/>
                <m:grow/>
              </m:dPr>
              <m:e>
                <m:r>
                  <m:t>k</m:t>
                </m:r>
              </m:e>
            </m:d>
          </m:sup>
        </m:sSup>
      </m:oMath>
      <w:r>
        <w:t xml:space="preserve"> </w:t>
      </w:r>
      <w:r>
        <w:t xml:space="preserve">上预测关系，形成</w:t>
      </w:r>
      <w:r>
        <w:t xml:space="preserve"> </w:t>
      </w:r>
      <m:oMath>
        <m:sSup>
          <m:e>
            <m:r>
              <m:t>G</m:t>
            </m:r>
          </m:e>
          <m:sup>
            <m:d>
              <m:dPr>
                <m:begChr m:val="("/>
                <m:endChr m:val=")"/>
                <m:sepChr m:val=""/>
                <m:grow/>
              </m:dPr>
              <m:e>
                <m:r>
                  <m:t>k</m:t>
                </m:r>
              </m:e>
            </m:d>
          </m:sup>
        </m:sSup>
        <m:r>
          <m:rPr>
            <m:sty m:val="p"/>
          </m:rPr>
          <m:t>=</m:t>
        </m:r>
        <m:d>
          <m:dPr>
            <m:begChr m:val="("/>
            <m:endChr m:val=")"/>
            <m:sepChr m:val=""/>
            <m:grow/>
          </m:dPr>
          <m:e>
            <m:sSup>
              <m:e>
                <m:r>
                  <m:t>C</m:t>
                </m:r>
              </m:e>
              <m:sup>
                <m:d>
                  <m:dPr>
                    <m:begChr m:val="("/>
                    <m:endChr m:val=")"/>
                    <m:sepChr m:val=""/>
                    <m:grow/>
                  </m:dPr>
                  <m:e>
                    <m:r>
                      <m:t>k</m:t>
                    </m:r>
                  </m:e>
                </m:d>
              </m:sup>
            </m:sSup>
            <m:r>
              <m:rPr>
                <m:sty m:val="p"/>
              </m:rPr>
              <m:t>,</m:t>
            </m:r>
            <m:sSup>
              <m:e>
                <m:r>
                  <m:t>R</m:t>
                </m:r>
              </m:e>
              <m:sup>
                <m:d>
                  <m:dPr>
                    <m:begChr m:val="("/>
                    <m:endChr m:val=")"/>
                    <m:sepChr m:val=""/>
                    <m:grow/>
                  </m:dPr>
                  <m:e>
                    <m:r>
                      <m:t>k</m:t>
                    </m:r>
                  </m:e>
                </m:d>
              </m:sup>
            </m:sSup>
          </m:e>
        </m:d>
      </m:oMath>
      <w:r>
        <w:t xml:space="preserve">。关系阶段不得悄悄重写组件；关系字段解析失败独立记为失败，但已经通过坐标、类型及重叠检查的组件仍保留为候选；失败调用进入全部成本。同一候选的原始输出、解析结果及坐标转换均保留，避免将后处理改变误认为生成模型的预测。</w:t>
      </w:r>
    </w:p>
    <w:p>
      <w:pPr>
        <w:pStyle w:val="Normal"/>
        <w:spacing w:after="80"/>
      </w:pPr>
      <w:r>
        <w:t xml:space="preserve">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Normal"/>
        <w:spacing w:after="80"/>
      </w:pPr>
      <w:r>
        <w:t xml:space="preserve">为保持与MCR-BR的可比性，初始选择沿用原 MCR 的加权形式：</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E</m:t>
            </m:r>
          </m:e>
          <m:sub>
            <m:r>
              <m:rPr>
                <m:sty m:val="p"/>
              </m:rPr>
              <m:t>r</m:t>
            </m:r>
            <m:r>
              <m:rPr>
                <m:sty m:val="p"/>
              </m:rPr>
              <m:t>a</m:t>
            </m:r>
            <m:r>
              <m:rPr>
                <m:sty m:val="p"/>
              </m:rPr>
              <m:t>n</m:t>
            </m:r>
            <m:r>
              <m:rPr>
                <m:sty m:val="p"/>
              </m:rPr>
              <m:t>k</m:t>
            </m:r>
          </m:sub>
        </m:sSub>
        <m:d>
          <m:dPr>
            <m:begChr m:val="("/>
            <m:endChr m:val=")"/>
            <m:sepChr m:val=""/>
            <m:grow/>
          </m:dPr>
          <m:e>
            <m:r>
              <m:t>G</m:t>
            </m:r>
          </m:e>
        </m:d>
        <m:r>
          <m:rPr>
            <m:sty m:val="p"/>
          </m:rPr>
          <m:t>=</m:t>
        </m:r>
        <m:r>
          <m:t>0.4</m:t>
        </m:r>
        <m:sSub>
          <m:e>
            <m:r>
              <m:t>E</m:t>
            </m:r>
          </m:e>
          <m:sub>
            <m:r>
              <m:rPr>
                <m:sty m:val="p"/>
              </m:rPr>
              <m:t>d</m:t>
            </m:r>
            <m:r>
              <m:rPr>
                <m:sty m:val="p"/>
              </m:rPr>
              <m:t>e</m:t>
            </m:r>
            <m:r>
              <m:rPr>
                <m:sty m:val="p"/>
              </m:rPr>
              <m:t>n</m:t>
            </m:r>
            <m:r>
              <m:rPr>
                <m:sty m:val="p"/>
              </m:rPr>
              <m:t>s</m:t>
            </m:r>
          </m:sub>
        </m:sSub>
        <m:d>
          <m:dPr>
            <m:begChr m:val="("/>
            <m:endChr m:val=")"/>
            <m:sepChr m:val=""/>
            <m:grow/>
          </m:dPr>
          <m:e>
            <m:r>
              <m:t>G</m:t>
            </m:r>
          </m:e>
        </m:d>
        <m:r>
          <m:rPr>
            <m:sty m:val="p"/>
          </m:rPr>
          <m:t>+</m:t>
        </m:r>
        <m:r>
          <m:t>0.4</m:t>
        </m:r>
        <m:sSub>
          <m:e>
            <m:r>
              <m:t>E</m:t>
            </m:r>
          </m:e>
          <m:sub>
            <m:r>
              <m:rPr>
                <m:sty m:val="p"/>
              </m:rPr>
              <m:t>c</m:t>
            </m:r>
            <m:r>
              <m:rPr>
                <m:sty m:val="p"/>
              </m:rPr>
              <m:t>o</m:t>
            </m:r>
            <m:r>
              <m:rPr>
                <m:sty m:val="p"/>
              </m:rPr>
              <m:t>h</m:t>
            </m:r>
          </m:sub>
        </m:sSub>
        <m:d>
          <m:dPr>
            <m:begChr m:val="("/>
            <m:endChr m:val=")"/>
            <m:sepChr m:val=""/>
            <m:grow/>
          </m:dPr>
          <m:e>
            <m:r>
              <m:t>G</m:t>
            </m:r>
          </m:e>
        </m:d>
        <m:r>
          <m:rPr>
            <m:sty m:val="p"/>
          </m:rPr>
          <m:t>+</m:t>
        </m:r>
        <m:r>
          <m:t>0.2</m:t>
        </m:r>
        <m:sSub>
          <m:e>
            <m:r>
              <m:t>E</m:t>
            </m:r>
          </m:e>
          <m:sub>
            <m:r>
              <m:rPr>
                <m:sty m:val="p"/>
              </m:rPr>
              <m:t>v</m:t>
            </m:r>
            <m:r>
              <m:rPr>
                <m:sty m:val="p"/>
              </m:rPr>
              <m:t>a</m:t>
            </m:r>
            <m:r>
              <m:rPr>
                <m:sty m:val="p"/>
              </m:rPr>
              <m:t>l</m:t>
            </m:r>
          </m:sub>
        </m:sSub>
        <m:d>
          <m:dPr>
            <m:begChr m:val="("/>
            <m:endChr m:val=")"/>
            <m:sepChr m:val=""/>
            <m:grow/>
          </m:dPr>
          <m:e>
            <m:r>
              <m:t>G</m:t>
            </m:r>
          </m:e>
        </m:d>
        <m:r>
          <m:rPr>
            <m:sty m:val="p"/>
          </m:rPr>
          <m:t>.</m:t>
        </m:r>
      </m:oMath>
      <w:r>
        <w:rPr>
          <w:sz w:val="21"/>
        </w:rPr>
        <w:tab/>
      </w:r>
      <w:bookmarkStart w:id="2025" w:name="Equation_4_2"/>
      <w:r>
        <w:rPr>
          <w:sz w:val="21"/>
        </w:rPr>
        <w:t>（4-</w:t>
      </w:r>
      <w:fldSimple w:instr=" SEQ Equation4 \* ARABIC ">
        <w:r>
          <w:t>2</w:t>
        </w:r>
      </w:fldSimple>
      <w:r>
        <w:rPr>
          <w:sz w:val="21"/>
        </w:rPr>
        <w:t>）</w:t>
      </w:r>
      <w:bookmarkEnd w:id="2025"/>
    </w:p>
    <w:p>
      <w:pPr>
        <w:pStyle w:val="Normal"/>
        <w:spacing w:after="80"/>
      </w:pPr>
      <w:r>
        <w:t xml:space="preserve">设</w:t>
      </w:r>
      <w:r>
        <w:t xml:space="preserve"> </w:t>
      </w:r>
      <m:oMath>
        <m:r>
          <m:rPr>
            <m:sty m:val="p"/>
            <m:scr m:val="script"/>
          </m:rPr>
          <m:t>Q</m:t>
        </m:r>
        <m:d>
          <m:dPr>
            <m:begChr m:val="("/>
            <m:endChr m:val=")"/>
            <m:sepChr m:val=""/>
            <m:grow/>
          </m:dPr>
          <m:e>
            <m:r>
              <m:t>G</m:t>
            </m:r>
          </m:e>
        </m:d>
      </m:oMath>
      <w:r>
        <w:t xml:space="preserve"> </w:t>
      </w:r>
      <w:r>
        <w:t xml:space="preserve">为预测图中的覆盖评价节点，</w:t>
      </w:r>
      <m:oMath>
        <m:sSub>
          <m:e>
            <m:r>
              <m:t>p</m:t>
            </m:r>
          </m:e>
          <m:sub>
            <m:r>
              <m:t>r</m:t>
            </m:r>
          </m:sub>
        </m:sSub>
        <m:r>
          <m:rPr>
            <m:sty m:val="p"/>
          </m:rPr>
          <m:t>∈</m:t>
        </m:r>
        <m:r>
          <m:rPr>
            <m:sty m:val="p"/>
          </m:rPr>
          <m:t>{</m:t>
        </m:r>
        <m:r>
          <m:t>0</m:t>
        </m:r>
        <m:r>
          <m:rPr>
            <m:sty m:val="p"/>
          </m:rPr>
          <m:t>,</m:t>
        </m:r>
        <m:r>
          <m:t>1</m:t>
        </m:r>
        <m:r>
          <m:rPr>
            <m:sty m:val="p"/>
          </m:rPr>
          <m:t>}</m:t>
        </m:r>
      </m:oMath>
      <w:r>
        <w:t xml:space="preserve"> </w:t>
      </w:r>
      <w:r>
        <w:t xml:space="preserve">为关系语义验证结果，</w:t>
      </w:r>
      <m:oMath>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oMath>
      <w:r>
        <w:t xml:space="preserve"> </w:t>
      </w:r>
      <w:r>
        <w:t xml:space="preserve">为指向节点</w:t>
      </w:r>
      <w:r>
        <w:t xml:space="preserve"> </w:t>
      </w:r>
      <m:oMath>
        <m:r>
          <m:t>j</m:t>
        </m:r>
      </m:oMath>
      <w:r>
        <w:t xml:space="preserve"> </w:t>
      </w:r>
      <w:r>
        <w:t xml:space="preserve">且通过验证的关系数，则</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E</m:t>
            </m:r>
          </m:e>
          <m:sub>
            <m:r>
              <m:rPr>
                <m:sty m:val="p"/>
              </m:rPr>
              <m:t>d</m:t>
            </m:r>
            <m:r>
              <m:rPr>
                <m:sty m:val="p"/>
              </m:rPr>
              <m:t>e</m:t>
            </m:r>
            <m:r>
              <m:rPr>
                <m:sty m:val="p"/>
              </m:rPr>
              <m:t>n</m:t>
            </m:r>
            <m:r>
              <m:rPr>
                <m:sty m:val="p"/>
              </m:rPr>
              <m:t>s</m:t>
            </m:r>
          </m:sub>
        </m:sSub>
        <m:d>
          <m:dPr>
            <m:begChr m:val="("/>
            <m:endChr m:val=")"/>
            <m:sepChr m:val=""/>
            <m:grow/>
          </m:dPr>
          <m:e>
            <m:r>
              <m:t>G</m:t>
            </m:r>
          </m:e>
        </m:d>
        <m:r>
          <m:rPr>
            <m:sty m:val="p"/>
          </m:rPr>
          <m:t>=</m:t>
        </m:r>
        <m:f>
          <m:fPr>
            <m:type m:val="bar"/>
          </m:fPr>
          <m:num>
            <m:r>
              <m:t>1</m:t>
            </m:r>
          </m:num>
          <m:den>
            <m:d>
              <m:dPr>
                <m:begChr m:val="|"/>
                <m:endChr m:val="|"/>
                <m:sepChr m:val=""/>
                <m:grow/>
              </m:dPr>
              <m:e>
                <m:r>
                  <m:rPr>
                    <m:sty m:val="p"/>
                    <m:scr m:val="script"/>
                  </m:rPr>
                  <m:t>Q</m:t>
                </m:r>
                <m:d>
                  <m:dPr>
                    <m:begChr m:val="("/>
                    <m:endChr m:val=")"/>
                    <m:sepChr m:val=""/>
                    <m:grow/>
                  </m:dPr>
                  <m:e>
                    <m:r>
                      <m:t>G</m:t>
                    </m:r>
                  </m:e>
                </m:d>
              </m:e>
            </m:d>
          </m:den>
        </m:f>
        <m:nary>
          <m:naryPr>
            <m:chr m:val="∑"/>
            <m:limLoc m:val="undOvr"/>
            <m:subHide m:val="off"/>
            <m:supHide m:val="on"/>
          </m:naryPr>
          <m:sub>
            <m:r>
              <m:t>j</m:t>
            </m:r>
            <m:r>
              <m:rPr>
                <m:sty m:val="p"/>
              </m:rPr>
              <m:t>∈</m:t>
            </m:r>
            <m:r>
              <m:rPr>
                <m:sty m:val="p"/>
                <m:scr m:val="script"/>
              </m:rPr>
              <m:t>Q</m:t>
            </m:r>
            <m:d>
              <m:dPr>
                <m:begChr m:val="("/>
                <m:endChr m:val=")"/>
                <m:sepChr m:val=""/>
                <m:grow/>
              </m:dPr>
              <m:e>
                <m:r>
                  <m:t>G</m:t>
                </m:r>
              </m:e>
            </m:d>
          </m:sub>
          <m:sup>
            <m:r>
              <m:t>​</m:t>
            </m:r>
          </m:sup>
          <m:e>
            <m:r>
              <m:rPr>
                <m:sty m:val="p"/>
              </m:rPr>
              <m:t>min</m:t>
            </m:r>
          </m:e>
        </m:nary>
        <m:d>
          <m:dPr>
            <m:begChr m:val="{"/>
            <m:endChr m:val="}"/>
            <m:sepChr m:val=""/>
            <m:grow/>
          </m:dPr>
          <m:e>
            <m:f>
              <m:fPr>
                <m:type m:val="bar"/>
              </m:fPr>
              <m:num>
                <m:sSubSup>
                  <m:e>
                    <m:r>
                      <m:t>d</m:t>
                    </m:r>
                  </m:e>
                  <m:sub>
                    <m:r>
                      <m:rPr>
                        <m:sty m:val="p"/>
                      </m:rPr>
                      <m:t>c</m:t>
                    </m:r>
                    <m:r>
                      <m:rPr>
                        <m:sty m:val="p"/>
                      </m:rPr>
                      <m:t>o</m:t>
                    </m:r>
                    <m:r>
                      <m:rPr>
                        <m:sty m:val="p"/>
                      </m:rPr>
                      <m:t>h</m:t>
                    </m:r>
                  </m:sub>
                  <m:sup>
                    <m:r>
                      <m:rPr>
                        <m:sty m:val="p"/>
                      </m:rPr>
                      <m:t>i</m:t>
                    </m:r>
                    <m:r>
                      <m:rPr>
                        <m:sty m:val="p"/>
                      </m:rPr>
                      <m:t>n</m:t>
                    </m:r>
                  </m:sup>
                </m:sSubSup>
                <m:d>
                  <m:dPr>
                    <m:begChr m:val="("/>
                    <m:endChr m:val=")"/>
                    <m:sepChr m:val=""/>
                    <m:grow/>
                  </m:dPr>
                  <m:e>
                    <m:r>
                      <m:t>j</m:t>
                    </m:r>
                  </m:e>
                </m:d>
              </m:num>
              <m:den>
                <m:sSub>
                  <m:e>
                    <m:r>
                      <m:t>τ</m:t>
                    </m:r>
                  </m:e>
                  <m:sub>
                    <m:r>
                      <m:t>j</m:t>
                    </m:r>
                  </m:sub>
                </m:sSub>
              </m:den>
            </m:f>
            <m:r>
              <m:rPr>
                <m:sty m:val="p"/>
              </m:rPr>
              <m:t>,</m:t>
            </m:r>
            <m:r>
              <m:t>1</m:t>
            </m:r>
          </m:e>
        </m:d>
        <m:r>
          <m:rPr>
            <m:sty m:val="p"/>
          </m:rPr>
          <m:t>,</m:t>
        </m:r>
        <m:r>
          <m:t>  </m:t>
        </m:r>
        <m:sSub>
          <m:e>
            <m:r>
              <m:t>E</m:t>
            </m:r>
          </m:e>
          <m:sub>
            <m:r>
              <m:rPr>
                <m:sty m:val="p"/>
              </m:rPr>
              <m:t>c</m:t>
            </m:r>
            <m:r>
              <m:rPr>
                <m:sty m:val="p"/>
              </m:rPr>
              <m:t>o</m:t>
            </m:r>
            <m:r>
              <m:rPr>
                <m:sty m:val="p"/>
              </m:rPr>
              <m:t>h</m:t>
            </m:r>
          </m:sub>
        </m:sSub>
        <m:d>
          <m:dPr>
            <m:begChr m:val="("/>
            <m:endChr m:val=")"/>
            <m:sepChr m:val=""/>
            <m:grow/>
          </m:dPr>
          <m:e>
            <m:r>
              <m:t>G</m:t>
            </m:r>
          </m:e>
        </m:d>
        <m:r>
          <m:rPr>
            <m:sty m:val="p"/>
          </m:rPr>
          <m:t>=</m:t>
        </m:r>
        <m:f>
          <m:fPr>
            <m:type m:val="bar"/>
          </m:fPr>
          <m:num>
            <m:r>
              <m:t>1</m:t>
            </m:r>
          </m:num>
          <m:den>
            <m:d>
              <m:dPr>
                <m:begChr m:val="|"/>
                <m:endChr m:val="|"/>
                <m:sepChr m:val=""/>
                <m:grow/>
              </m:dPr>
              <m:e>
                <m:r>
                  <m:t>R</m:t>
                </m:r>
              </m:e>
            </m:d>
          </m:den>
        </m:f>
        <m:nary>
          <m:naryPr>
            <m:chr m:val="∑"/>
            <m:limLoc m:val="undOvr"/>
            <m:subHide m:val="off"/>
            <m:supHide m:val="on"/>
          </m:naryPr>
          <m:sub>
            <m:r>
              <m:t>r</m:t>
            </m:r>
            <m:r>
              <m:rPr>
                <m:sty m:val="p"/>
              </m:rPr>
              <m:t>∈</m:t>
            </m:r>
            <m:r>
              <m:t>R</m:t>
            </m:r>
          </m:sub>
          <m:sup>
            <m:r>
              <m:t>​</m:t>
            </m:r>
          </m:sup>
          <m:e>
            <m:sSub>
              <m:e>
                <m:r>
                  <m:t>p</m:t>
                </m:r>
              </m:e>
              <m:sub>
                <m:r>
                  <m:t>r</m:t>
                </m:r>
              </m:sub>
            </m:sSub>
          </m:e>
        </m:nary>
        <m:r>
          <m:rPr>
            <m:sty m:val="p"/>
          </m:rPr>
          <m:t>.</m:t>
        </m:r>
      </m:oMath>
      <w:r>
        <w:rPr>
          <w:sz w:val="21"/>
        </w:rPr>
        <w:tab/>
      </w:r>
      <w:bookmarkStart w:id="2026" w:name="Equation_4_3"/>
      <w:r>
        <w:rPr>
          <w:sz w:val="21"/>
        </w:rPr>
        <w:t>（4-</w:t>
      </w:r>
      <w:fldSimple w:instr=" SEQ Equation4 \* ARABIC ">
        <w:r>
          <w:t>3</w:t>
        </w:r>
      </w:fldSimple>
      <w:r>
        <w:rPr>
          <w:sz w:val="21"/>
        </w:rPr>
        <w:t>）</w:t>
      </w:r>
      <w:bookmarkEnd w:id="2026"/>
    </w:p>
    <w:p>
      <w:pPr>
        <w:pStyle w:val="Normal"/>
        <w:spacing w:after="80"/>
      </w:pPr>
      <w:r>
        <w:t xml:space="preserve">空覆盖集合或空关系集合的对应分量取零。AAEC的覆盖节点为预测Claim，CDCP为预测Policy/Value；MajorClaim不因缺少普通关系而被强制补边。本文的确定性参考配置按节点是否存在出边设置结构角色阈值：无出边取</w:t>
      </w:r>
      <w:r>
        <w:t xml:space="preserve"> </w:t>
      </w:r>
      <m:oMath>
        <m:sSub>
          <m:e>
            <m:r>
              <m:t>τ</m:t>
            </m:r>
          </m:e>
          <m:sub>
            <m:r>
              <m:t>j</m:t>
            </m:r>
          </m:sub>
        </m:sSub>
        <m:r>
          <m:rPr>
            <m:sty m:val="p"/>
          </m:rPr>
          <m:t>=</m:t>
        </m:r>
        <m:r>
          <m:t>2</m:t>
        </m:r>
      </m:oMath>
      <w:r>
        <w:t xml:space="preserve">，否则取</w:t>
      </w:r>
      <w:r>
        <w:t xml:space="preserve"> </w:t>
      </w:r>
      <m:oMath>
        <m:sSub>
          <m:e>
            <m:r>
              <m:t>τ</m:t>
            </m:r>
          </m:e>
          <m:sub>
            <m:r>
              <m:t>j</m:t>
            </m:r>
          </m:sub>
        </m:sSub>
        <m:r>
          <m:rPr>
            <m:sty m:val="p"/>
          </m:rPr>
          <m:t>=</m:t>
        </m:r>
        <m:r>
          <m:t>1</m:t>
        </m:r>
      </m:oMath>
      <w:r>
        <w:t xml:space="preserve">。CDCP原生超边按完整关系计一次入边，不按源成员数重复增加覆盖。上述规则是本文明确的设计配置，MCR-BR原实验的执行细节以其原文为准。</w:t>
      </w:r>
    </w:p>
    <w:p>
      <w:pPr>
        <w:pStyle w:val="Normal"/>
        <w:spacing w:after="80"/>
      </w:pPr>
      <m:oMath>
        <m:sSub>
          <m:e>
            <m:r>
              <m:t>E</m:t>
            </m:r>
          </m:e>
          <m:sub>
            <m:r>
              <m:rPr>
                <m:sty m:val="p"/>
              </m:rPr>
              <m:t>v</m:t>
            </m:r>
            <m:r>
              <m:rPr>
                <m:sty m:val="p"/>
              </m:rPr>
              <m:t>a</m:t>
            </m:r>
            <m:r>
              <m:rPr>
                <m:sty m:val="p"/>
              </m:rPr>
              <m:t>l</m:t>
            </m:r>
          </m:sub>
        </m:sSub>
      </m:oMath>
      <w:r>
        <w:t xml:space="preserve"> </w:t>
      </w:r>
      <w:r>
        <w:t xml:space="preserve">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w:t>
      </w:r>
      <w:r>
        <w:t xml:space="preserve"> </w:t>
      </w:r>
      <m:oMath>
        <m:sSub>
          <m:e>
            <m:r>
              <m:t>G</m:t>
            </m:r>
          </m:e>
          <m:sub>
            <m:r>
              <m:t>0</m:t>
            </m:r>
          </m:sub>
        </m:sSub>
      </m:oMath>
      <w:r>
        <w:t xml:space="preserve">。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pPr>
        <w:pStyle w:val="Normal"/>
        <w:spacing w:after="80"/>
      </w:pPr>
      <w:r>
        <w:t xml:space="preserve">覆盖与连贯性共用</w:t>
      </w:r>
      <w:r>
        <w:t xml:space="preserve"> </w:t>
      </w:r>
      <m:oMath>
        <m:sSub>
          <m:e>
            <m:r>
              <m:t>p</m:t>
            </m:r>
          </m:e>
          <m:sub>
            <m:r>
              <m:t>r</m:t>
            </m:r>
          </m:sub>
        </m:sSub>
      </m:oMath>
      <w:r>
        <w:t xml:space="preserve">，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rPr>
          <w:rFonts w:ascii="Arial Unicode MS" w:hAnsi="Arial Unicode MS" w:eastAsia="Arial Unicode MS"/>
        </w:rPr>
        <w:t>4.2.2 固定对象候选与资源边界</w:t>
      </w:r>
    </w:p>
    <w:p>
      <w:pPr>
        <w:pStyle w:val="Normal"/>
        <w:spacing w:after="80"/>
      </w:pPr>
      <w:r>
        <w:t xml:space="preserve">修正开始前构建固定跨度集合</w:t>
      </w:r>
      <m:oMath>
        <m:r>
          <m:t>U</m:t>
        </m:r>
      </m:oMath>
      <w:r>
        <w:t xml:space="preserve">。受保护部分包含合法化后初始图及各候选输出中能够独立解析的合法组件跨度；对象先去重，不以概率阈值裁掉初始图。原生跨度头与类型提案提供补充部分；边界规则扩展为关闭的可选消融，不以候选数量增长代替覆盖提升。两部分分开计数，保护对象多于补充上限时不裁初始图；若总资源无法容纳保护部分，返回候选构造失败，而不是无声改变基线。</w:t>
      </w:r>
    </w:p>
    <w:p>
      <w:pPr>
        <w:pStyle w:val="Normal"/>
        <w:spacing w:after="80"/>
      </w:pPr>
      <w:r>
        <w:t xml:space="preserve">独立跨度头以训练金标监督起止边界，为候选召回提供补充，并在OOF中遵守与生成器相同的持出隔离。默认使用原生跨度头及组件提案，保留相应类型分布；仅在训练侧覆盖诊断支持时启用一次性的邻近边界、合并或切分扩展，扩展不递归。去重后按边界分保留补充候选。坐标转换、排序和异常细则见附录A.6，边界分仅用于召回排序。</w:t>
      </w:r>
    </w:p>
    <w:p>
      <w:pPr>
        <w:pStyle w:val="Normal"/>
        <w:spacing w:after="80"/>
      </w:pPr>
      <w:r>
        <w:t xml:space="preserve">受保护跨度不受补充长度和数量上限裁剪。候选的保护来源、补充来源及重叠数量分别登记；新增跨度不能通过改变去重或坐标规则隐式扩张候选空间。</w:t>
      </w:r>
    </w:p>
    <w:p>
      <w:pPr>
        <w:pStyle w:val="Normal"/>
        <w:spacing w:after="80"/>
      </w:pPr>
      <w:r>
        <w:t xml:space="preserve">对每个补充跨度默认保留类型头前2个原生类型；受保护对象的类型全部保留。记候选类型集合为</w:t>
      </w:r>
      <m:oMath>
        <m:sSub>
          <m:e>
            <m:r>
              <m:rPr>
                <m:sty m:val="p"/>
                <m:scr m:val="script"/>
              </m:rPr>
              <m:t>T</m:t>
            </m:r>
          </m:e>
          <m:sub>
            <m:r>
              <m:rPr>
                <m:sty m:val="p"/>
              </m:rPr>
              <m:t>*</m:t>
            </m:r>
          </m:sub>
        </m:sSub>
        <m:d>
          <m:dPr>
            <m:begChr m:val="("/>
            <m:endChr m:val=")"/>
            <m:sepChr m:val=""/>
            <m:grow/>
          </m:dPr>
          <m:e>
            <m:r>
              <m:t>u</m:t>
            </m:r>
          </m:e>
        </m:d>
      </m:oMath>
      <w:r>
        <w:t xml:space="preserve">，构成</w:t>
      </w:r>
      <m:oMath>
        <m:r>
          <m:rPr>
            <m:sty m:val="p"/>
            <m:scr m:val="script"/>
          </m:rPr>
          <m:t>V</m:t>
        </m:r>
        <m:r>
          <m:rPr>
            <m:sty m:val="p"/>
          </m:rPr>
          <m:t>=</m:t>
        </m:r>
        <m:r>
          <m:rPr>
            <m:sty m:val="p"/>
          </m:rPr>
          <m:t>{</m:t>
        </m:r>
        <m:d>
          <m:dPr>
            <m:begChr m:val="("/>
            <m:endChr m:val=")"/>
            <m:sepChr m:val=""/>
            <m:grow/>
          </m:dPr>
          <m:e>
            <m:r>
              <m:t>u</m:t>
            </m:r>
            <m:r>
              <m:rPr>
                <m:sty m:val="p"/>
              </m:rPr>
              <m:t>,</m:t>
            </m:r>
            <m:r>
              <m:t>t</m:t>
            </m:r>
          </m:e>
        </m:d>
        <m:r>
          <m:rPr>
            <m:sty m:val="p"/>
          </m:rPr>
          <m:t>:</m:t>
        </m:r>
        <m:r>
          <m:t>t</m:t>
        </m:r>
        <m:r>
          <m:rPr>
            <m:sty m:val="p"/>
          </m:rPr>
          <m:t>∈</m:t>
        </m:r>
        <m:sSub>
          <m:e>
            <m:r>
              <m:rPr>
                <m:sty m:val="p"/>
                <m:scr m:val="script"/>
              </m:rPr>
              <m:t>T</m:t>
            </m:r>
          </m:e>
          <m:sub>
            <m:r>
              <m:rPr>
                <m:sty m:val="p"/>
              </m:rPr>
              <m:t>*</m:t>
            </m:r>
          </m:sub>
        </m:sSub>
        <m:d>
          <m:dPr>
            <m:begChr m:val="("/>
            <m:endChr m:val=")"/>
            <m:sepChr m:val=""/>
            <m:grow/>
          </m:dPr>
          <m:e>
            <m:r>
              <m:t>u</m:t>
            </m:r>
          </m:e>
        </m:d>
        <m:r>
          <m:rPr>
            <m:sty m:val="p"/>
          </m:rPr>
          <m:t>}</m:t>
        </m:r>
      </m:oMath>
      <w:r>
        <w:t xml:space="preserve">。全类型展开为独立消融，不与默认有限池混称。NULL表示不选择，同一跨度至多一个类型。组件兼容按语料协议逐对判定；语义身份取决于规范跨度和类型，显示ID不进入评分。完整键与坐标映射见附录A.6。</w:t>
      </w:r>
    </w:p>
    <w:p>
      <w:pPr>
        <w:spacing w:after="80"/>
      </w:pPr>
      <w:r>
        <w:t>这里u表示文档版本与字符半开区间组成的规范跨度(d,b,e)，故带类型候选(u,t)展开后为(d,b,e,t)。token范围与残差只用于派生表示和无损往返，不以相同token外包区间合并不同字符对象；关系键再由完整源组件键集合、目标组件键及原生标签构成。候选去重、评分缓存、冲突检查及严格评价均引用这一身份。</w:t>
      </w:r>
    </w:p>
    <w:p>
      <w:pPr>
        <w:pStyle w:val="Normal"/>
        <w:spacing w:after="80"/>
      </w:pPr>
      <w:r>
        <w:t xml:space="preserve">关系候选池</w:t>
      </w:r>
      <m:oMath>
        <m:r>
          <m:t>P</m:t>
        </m:r>
      </m:oMath>
      <w:r>
        <w:t xml:space="preserve">以完整端点槽位为单位构建。AAEC枚举有限组件池内可共存的有向对；CDCP默认由关系提案器输出最多64个完整源组与目标，并补充预测分段中相邻2／3成员的源组，每文档补充源组上限256。源组必须完整给出且与目标可共存，按提案分及规范键固定排序；不遍历全部跨度与类型笛卡尔积。原生连续性在最终选择图上复核，不以整个候选宇宙的固定邻接关系替代。初始图与成功解析候选图的合法完整关系槽位受保护，已有长超边完整保留；补充槽位的元数上限仅约束新增组合。</w:t>
      </w:r>
    </w:p>
    <w:p>
      <w:pPr>
        <w:pStyle w:val="Normal"/>
        <w:spacing w:after="80"/>
      </w:pPr>
      <w:r>
        <w:t xml:space="preserve">一个槽位包含协议允许的全部关系标签，原生超边的完整源集合只算一个端点组合。槽位优先分为固定对象评分的标签最大值；按该分数降序及规范化槽位键升序保留前</w:t>
      </w:r>
      <m:oMath>
        <m:sSub>
          <m:e>
            <m:r>
              <m:t>N</m:t>
            </m:r>
          </m:e>
          <m:sub>
            <m:r>
              <m:t>s</m:t>
            </m:r>
            <m:r>
              <m:t>l</m:t>
            </m:r>
            <m:r>
              <m:t>o</m:t>
            </m:r>
            <m:r>
              <m:t>t</m:t>
            </m:r>
          </m:sub>
        </m:sSub>
      </m:oMath>
      <w:r>
        <w:t xml:space="preserve">个补充槽位，全部标签一起保留，NONE由不选正关系表示。用于排序的对象分在裁剪前按固定评分器求出，评分成本计入总成本；超出评分资源的预检上限则返回明确失败，不靠测试金标截断候选。</w:t>
      </w:r>
    </w:p>
    <w:p>
      <w:pPr>
        <w:pStyle w:val="Normal"/>
        <w:spacing w:after="80"/>
      </w:pPr>
      <w:r>
        <w:t xml:space="preserve">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Normal"/>
        <w:spacing w:after="80"/>
      </w:pPr>
      <w:r>
        <w:t xml:space="preserve">不同语料的原生约束分别登记。CasiMedicos-Arg只允许单源二元关系；CDCP保留原生完整源集合及连续性要求。多个前提分别支持同一目标时，二元语料使用多条关系，不将其合并为超边；也不把CDCP的联合源范围拆成独立二元边。关系标签或组件类型同名不意味着标注准则相同，评分提示与严格评价均使用对应语料的定义（A.3及D.3）。</w:t>
      </w:r>
    </w:p>
    <w:p>
      <w:pPr>
        <w:pStyle w:val="Normal"/>
        <w:spacing w:after="80"/>
      </w:pPr>
      <w:r>
        <w:t xml:space="preserve">最终补充槽位上限4096不能限制其前面的提案、枚举和评分成本。本文将有限原生提案作为默认入口：补充跨度64、每跨度前2类型、CDCP完整源组与目标提案最多256，受保护对象另计。先流式检查实际合法槽位数，资源上限为50000；超限明确返回候选构造失败，保留原初始图、金标分母及已耗成本。</w:t>
      </w:r>
    </w:p>
    <w:p>
      <w:pPr>
        <w:pStyle w:val="Normal"/>
        <w:spacing w:after="80"/>
      </w:pPr>
      <w:r>
        <w:t xml:space="preserve">全类型、三源成员完全组合仍作为规模上界和覆盖消融。对m个跨度、每跨度q类，其宽松槽位量为AAEC的m(m−1)q²及CDCP的Σₖ₌₁³ C(m,k)(m−k)qᵏ⁺¹。该宇宙通常远大于默认提案池，不能把它的组合界写成默认实现已经枚举的数量。</w:t>
      </w:r>
    </w:p>
    <w:p>
      <w:pPr>
        <w:pStyle w:val="Normal"/>
        <w:spacing w:after="80"/>
      </w:pPr>
      <w: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能只给一种方法更好的池。</w:t>
      </w:r>
    </w:p>
    <w:p>
      <w:pPr>
        <w:spacing w:after="80"/>
      </w:pPr>
      <w:r>
        <w:t>原稿所述CasiMedicos实际诊断复用既有的C层候选，未启用没有额外聚合覆盖收益的D层边界扩展。其证据限于该有限提案诊断；CDCP完整源组提案器仍属于待实现并经训练验收的目标配置，不因主结果表完整而视为已经落实。</w:t>
      </w:r>
    </w:p>
    <w:p>
      <w:pPr>
        <w:pStyle w:val="Heading2"/>
      </w:pPr>
      <w:r>
        <w:rPr>
          <w:rFonts w:ascii="Arial Unicode MS" w:hAnsi="Arial Unicode MS" w:eastAsia="Arial Unicode MS"/>
        </w:rPr>
        <w:t>4.3 对象评分与接受准则</w:t>
      </w:r>
    </w:p>
    <w:p>
      <w:pPr>
        <w:pStyle w:val="Normal"/>
        <w:spacing w:after="80"/>
      </w:pPr>
      <w:r>
        <w:t xml:space="preserve">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rPr>
          <w:rFonts w:ascii="Arial Unicode MS" w:hAnsi="Arial Unicode MS" w:eastAsia="Arial Unicode MS"/>
        </w:rPr>
        <w:t>4.3.1 固定评分器与开发风险选择</w:t>
      </w:r>
    </w:p>
    <w:p>
      <w:pPr>
        <w:pStyle w:val="Normal"/>
        <w:spacing w:after="80"/>
      </w:pPr>
      <w:r>
        <w:t xml:space="preserve">评分器分别估计组件与关系完整对象精确正确的概率：</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q</m:t>
            </m:r>
          </m:e>
          <m:sub>
            <m:r>
              <m:t>C</m:t>
            </m:r>
          </m:sub>
        </m:sSub>
        <m:d>
          <m:dPr>
            <m:begChr m:val="("/>
            <m:endChr m:val=")"/>
            <m:sepChr m:val=""/>
            <m:grow/>
          </m:dPr>
          <m:e>
            <m:r>
              <m:t>c</m:t>
            </m:r>
            <m:r>
              <m:rPr>
                <m:sty m:val="p"/>
              </m:rPr>
              <m:t>∣</m:t>
            </m:r>
            <m:r>
              <m:t>x</m:t>
            </m:r>
          </m:e>
        </m:d>
        <m:r>
          <m:rPr>
            <m:sty m:val="p"/>
          </m:rPr>
          <m:t>,</m:t>
        </m:r>
        <m:r>
          <m:t>  </m:t>
        </m:r>
        <m:sSub>
          <m:e>
            <m:r>
              <m:t>q</m:t>
            </m:r>
          </m:e>
          <m:sub>
            <m:r>
              <m:t>R</m:t>
            </m:r>
          </m:sub>
        </m:sSub>
        <m:d>
          <m:dPr>
            <m:begChr m:val="("/>
            <m:endChr m:val=")"/>
            <m:sepChr m:val=""/>
            <m:grow/>
          </m:dPr>
          <m:e>
            <m:r>
              <m:t>r</m:t>
            </m:r>
            <m:r>
              <m:rPr>
                <m:sty m:val="p"/>
              </m:rPr>
              <m:t>∣</m:t>
            </m:r>
            <m:r>
              <m:t>x</m:t>
            </m:r>
          </m:e>
        </m:d>
        <m:r>
          <m:rPr>
            <m:sty m:val="p"/>
          </m:rPr>
          <m:t>.</m:t>
        </m:r>
      </m:oMath>
      <w:r>
        <w:rPr>
          <w:sz w:val="21"/>
        </w:rPr>
        <w:tab/>
      </w:r>
      <w:bookmarkStart w:id="2027" w:name="Equation_4_4"/>
      <w:r>
        <w:rPr>
          <w:sz w:val="21"/>
        </w:rPr>
        <w:t>（4-</w:t>
      </w:r>
      <w:fldSimple w:instr=" SEQ Equation4 \* ARABIC ">
        <w:r>
          <w:t>4</w:t>
        </w:r>
      </w:fldSimple>
      <w:r>
        <w:rPr>
          <w:sz w:val="21"/>
        </w:rPr>
        <w:t>）</w:t>
      </w:r>
      <w:bookmarkEnd w:id="2027"/>
    </w:p>
    <w:p>
      <w:pPr>
        <w:pStyle w:val="Normal"/>
        <w:spacing w:after="80"/>
      </w:pPr>
      <w:r>
        <w:t xml:space="preserve">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spacing w:after="80"/>
      </w:pPr>
      <w:r>
        <w:t>评分器采用固定文本编码、跨度MLP与有向端点组合MLP，参数不与生成器共享。它学习真实候选中完整对象的正确性；第三章辅助头则学习给定监督因素的类型与关系状态。两者的参数、标签含义与用途均有区别，参数分离本身不保证误差独立，参见第二章2.3节。</w:t>
      </w:r>
    </w:p>
    <w:p>
      <w:pPr>
        <w:pStyle w:val="Normal"/>
        <w:spacing w:after="80"/>
      </w:pPr>
      <w:r>
        <w:t xml:space="preserve">同一文档的文本表示、模型版本、校准参数及候选得分在搜索开始前冻结。缓存同时绑定完整语义键，不以显示编号代替端点身份。不将当前图的度数、已选边数或动态重编码加入</w:t>
      </w:r>
      <w:r>
        <w:t xml:space="preserve"> </w:t>
      </w:r>
      <m:oMath>
        <m:r>
          <m:t>q</m:t>
        </m:r>
      </m:oMath>
      <w:r>
        <w:t xml:space="preserve">，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4.6.3和附录B。</w:t>
      </w:r>
    </w:p>
    <w:p>
      <w:pPr>
        <w:pStyle w:val="Normal"/>
        <w:spacing w:after="80"/>
      </w:pPr>
      <w:r>
        <w:t xml:space="preserve">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pPr>
        <w:pStyle w:val="Normal"/>
        <w:spacing w:after="80"/>
      </w:pPr>
      <w:r>
        <w:t xml:space="preserve">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2.5的拟合、校准和策略用途，不将校准或策略标签合并回评分器拟合池。</w:t>
      </w:r>
    </w:p>
    <w:p>
      <w:pPr>
        <w:pStyle w:val="Normal"/>
        <w:spacing w:after="80"/>
      </w:pPr>
      <w:r>
        <w:t xml:space="preserve">初始配置采用训练内三折OOF，折划分与开发集用途按2.5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4.6.3和4.6.4节进一步分析评分及误改。</w:t>
      </w:r>
    </w:p>
    <w:p>
      <w:pPr>
        <w:pStyle w:val="Normal"/>
        <w:spacing w:after="80"/>
      </w:pPr>
      <w:r>
        <w:t xml:space="preserve">策略选择集同时记录F1、初始TP保留、错误新增及尾延迟。接受间隔δ使用预先声明的网格{0.01,0.05,0.10,0.20}；先剔除不满足开发侧风险上限的配置，再按质量与成本选择。开发侧目标为原TP损失率不超过5%；优先κR=1，若整个δ网格均失败才检查κR=0.5。样本不足或两个κ条件均无配置通过时返回不修正，不能在测试集降低风险门槛。</w:t>
      </w:r>
    </w:p>
    <w:p>
      <w:pPr>
        <w:pStyle w:val="Normal"/>
        <w:spacing w:after="80"/>
      </w:pPr>
      <w:r>
        <w:t xml:space="preserve">这一约束是有限开发集上的经验选择，不保证每篇测试文档的TP保留或F1不降。δ与分项代价κ在评价前按语料固定，局部和全局共用；不对测试文档临时选较高分结果。缺失评分保持未知并拒绝受影响事务；有效但不准确的分数则通过OOF训练、自然分布校准和对象诊断解决。</w:t>
      </w:r>
    </w:p>
    <w:p>
      <w:pPr>
        <w:pStyle w:val="Heading3"/>
      </w:pPr>
      <w:r>
        <w:rPr>
          <w:rFonts w:ascii="Arial Unicode MS" w:hAnsi="Arial Unicode MS" w:eastAsia="Arial Unicode MS"/>
        </w:rPr>
        <w:t>4.3.2 计数效用与完整事务接受</w:t>
      </w:r>
    </w:p>
    <w:p>
      <w:pPr>
        <w:pStyle w:val="Normal"/>
        <w:spacing w:after="80"/>
      </w:pPr>
      <w:r>
        <w:t xml:space="preserve">对对象类别</w:t>
      </w:r>
      <w:r>
        <w:t xml:space="preserve"> </w:t>
      </w:r>
      <m:oMath>
        <m:r>
          <m:t>X</m:t>
        </m:r>
        <m:r>
          <m:rPr>
            <m:sty m:val="p"/>
          </m:rPr>
          <m:t>∈</m:t>
        </m:r>
        <m:r>
          <m:rPr>
            <m:sty m:val="p"/>
          </m:rPr>
          <m:t>{</m:t>
        </m:r>
        <m:r>
          <m:t>C</m:t>
        </m:r>
        <m:r>
          <m:rPr>
            <m:sty m:val="p"/>
          </m:rPr>
          <m:t>,</m:t>
        </m:r>
        <m:r>
          <m:t>R</m:t>
        </m:r>
        <m:r>
          <m:rPr>
            <m:sty m:val="p"/>
          </m:rPr>
          <m:t>}</m:t>
        </m:r>
      </m:oMath>
      <w:r>
        <w:t xml:space="preserve">，设固定系数</w:t>
      </w:r>
      <w:r>
        <w:t xml:space="preserve"> </w:t>
      </w:r>
      <m:oMath>
        <m:r>
          <m:t>0</m:t>
        </m:r>
        <m:r>
          <m:rPr>
            <m:sty m:val="p"/>
          </m:rPr>
          <m:t>&lt;</m:t>
        </m:r>
        <m:sSub>
          <m:e>
            <m:r>
              <m:t>κ</m:t>
            </m:r>
          </m:e>
          <m:sub>
            <m:r>
              <m:t>X</m:t>
            </m:r>
          </m:sub>
        </m:sSub>
        <m:r>
          <m:rPr>
            <m:sty m:val="p"/>
          </m:rPr>
          <m:t>&lt;</m:t>
        </m:r>
        <m:r>
          <m:t>2</m:t>
        </m:r>
      </m:oMath>
      <w:r>
        <w:t xml:space="preserve">，定义</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Φ</m:t>
            </m:r>
          </m:e>
          <m:sub>
            <m:r>
              <m:t>X</m:t>
            </m:r>
          </m:sub>
        </m:sSub>
        <m:d>
          <m:dPr>
            <m:begChr m:val="("/>
            <m:endChr m:val=")"/>
            <m:sepChr m:val=""/>
            <m:grow/>
          </m:dPr>
          <m:e>
            <m:r>
              <m:t>G</m:t>
            </m:r>
          </m:e>
        </m:d>
        <m:r>
          <m:rPr>
            <m:sty m:val="p"/>
          </m:rPr>
          <m:t>=</m:t>
        </m:r>
        <m:r>
          <m:t>2</m:t>
        </m:r>
        <m:nary>
          <m:naryPr>
            <m:chr m:val="∑"/>
            <m:limLoc m:val="undOvr"/>
            <m:subHide m:val="off"/>
            <m:supHide m:val="on"/>
          </m:naryPr>
          <m:sub>
            <m:r>
              <m:t>o</m:t>
            </m:r>
            <m:r>
              <m:rPr>
                <m:sty m:val="p"/>
              </m:rPr>
              <m:t>∈</m:t>
            </m:r>
            <m:r>
              <m:t>X</m:t>
            </m:r>
            <m:d>
              <m:dPr>
                <m:begChr m:val="("/>
                <m:endChr m:val=")"/>
                <m:sepChr m:val=""/>
                <m:grow/>
              </m:dPr>
              <m:e>
                <m:r>
                  <m:t>G</m:t>
                </m:r>
              </m:e>
            </m:d>
          </m:sub>
          <m:sup>
            <m:r>
              <m:t>​</m:t>
            </m:r>
          </m:sup>
          <m:e>
            <m:sSub>
              <m:e>
                <m:r>
                  <m:t>q</m:t>
                </m:r>
              </m:e>
              <m:sub>
                <m:r>
                  <m:t>X</m:t>
                </m:r>
              </m:sub>
            </m:sSub>
          </m:e>
        </m:nary>
        <m:d>
          <m:dPr>
            <m:begChr m:val="("/>
            <m:endChr m:val=")"/>
            <m:sepChr m:val=""/>
            <m:grow/>
          </m:dPr>
          <m:e>
            <m:r>
              <m:t>o</m:t>
            </m:r>
            <m:r>
              <m:rPr>
                <m:sty m:val="p"/>
              </m:rPr>
              <m:t>∣</m:t>
            </m:r>
            <m:r>
              <m:t>x</m:t>
            </m:r>
          </m:e>
        </m:d>
        <m:r>
          <m:rPr>
            <m:sty m:val="p"/>
          </m:rPr>
          <m:t>−</m:t>
        </m:r>
        <m:sSub>
          <m:e>
            <m:r>
              <m:t>κ</m:t>
            </m:r>
          </m:e>
          <m:sub>
            <m:r>
              <m:t>X</m:t>
            </m:r>
          </m:sub>
        </m:sSub>
        <m:d>
          <m:dPr>
            <m:begChr m:val="|"/>
            <m:endChr m:val="|"/>
            <m:sepChr m:val=""/>
            <m:grow/>
          </m:dPr>
          <m:e>
            <m:r>
              <m:t>X</m:t>
            </m:r>
            <m:d>
              <m:dPr>
                <m:begChr m:val="("/>
                <m:endChr m:val=")"/>
                <m:sepChr m:val=""/>
                <m:grow/>
              </m:dPr>
              <m:e>
                <m:r>
                  <m:t>G</m:t>
                </m:r>
              </m:e>
            </m:d>
          </m:e>
        </m:d>
        <m:r>
          <m:rPr>
            <m:sty m:val="p"/>
          </m:rPr>
          <m:t>,</m:t>
        </m:r>
        <m:r>
          <m:t>  </m:t>
        </m:r>
        <m:r>
          <m:t>Φ</m:t>
        </m:r>
        <m:d>
          <m:dPr>
            <m:begChr m:val="("/>
            <m:endChr m:val=")"/>
            <m:sepChr m:val=""/>
            <m:grow/>
          </m:dPr>
          <m:e>
            <m:r>
              <m:t>G</m:t>
            </m:r>
          </m:e>
        </m:d>
        <m:r>
          <m:rPr>
            <m:sty m:val="p"/>
          </m:rPr>
          <m:t>=</m:t>
        </m:r>
        <m:sSub>
          <m:e>
            <m:r>
              <m:t>w</m:t>
            </m:r>
          </m:e>
          <m:sub>
            <m:r>
              <m:t>C</m:t>
            </m:r>
          </m:sub>
        </m:sSub>
        <m:sSub>
          <m:e>
            <m:r>
              <m:t>Φ</m:t>
            </m:r>
          </m:e>
          <m:sub>
            <m:r>
              <m:t>C</m:t>
            </m:r>
          </m:sub>
        </m:sSub>
        <m:d>
          <m:dPr>
            <m:begChr m:val="("/>
            <m:endChr m:val=")"/>
            <m:sepChr m:val=""/>
            <m:grow/>
          </m:dPr>
          <m:e>
            <m:r>
              <m:t>G</m:t>
            </m:r>
          </m:e>
        </m:d>
        <m:r>
          <m:rPr>
            <m:sty m:val="p"/>
          </m:rPr>
          <m:t>+</m:t>
        </m:r>
        <m:sSub>
          <m:e>
            <m:r>
              <m:t>w</m:t>
            </m:r>
          </m:e>
          <m:sub>
            <m:r>
              <m:t>R</m:t>
            </m:r>
          </m:sub>
        </m:sSub>
        <m:sSub>
          <m:e>
            <m:r>
              <m:t>Φ</m:t>
            </m:r>
          </m:e>
          <m:sub>
            <m:r>
              <m:t>R</m:t>
            </m:r>
          </m:sub>
        </m:sSub>
        <m:d>
          <m:dPr>
            <m:begChr m:val="("/>
            <m:endChr m:val=")"/>
            <m:sepChr m:val=""/>
            <m:grow/>
          </m:dPr>
          <m:e>
            <m:r>
              <m:t>G</m:t>
            </m:r>
          </m:e>
        </m:d>
        <m:r>
          <m:rPr>
            <m:sty m:val="p"/>
          </m:rPr>
          <m:t>,</m:t>
        </m:r>
      </m:oMath>
      <w:r>
        <w:rPr>
          <w:sz w:val="21"/>
        </w:rPr>
        <w:tab/>
      </w:r>
      <w:bookmarkStart w:id="2028" w:name="Equation_4_5"/>
      <w:r>
        <w:rPr>
          <w:sz w:val="21"/>
        </w:rPr>
        <w:t>（4-</w:t>
      </w:r>
      <w:fldSimple w:instr=" SEQ Equation4 \* ARABIC ">
        <w:r>
          <w:t>5</w:t>
        </w:r>
      </w:fldSimple>
      <w:r>
        <w:rPr>
          <w:sz w:val="21"/>
        </w:rPr>
        <w:t>）</w:t>
      </w:r>
      <w:bookmarkEnd w:id="2028"/>
    </w:p>
    <w:p>
      <w:pPr>
        <w:pStyle w:val="Normal"/>
        <w:spacing w:after="80"/>
      </w:pPr>
      <w:r>
        <w:t xml:space="preserve">其中</w:t>
      </w:r>
      <w:r>
        <w:t xml:space="preserve"> </w:t>
      </w:r>
      <m:oMath>
        <m:sSub>
          <m:e>
            <m:r>
              <m:t>w</m:t>
            </m:r>
          </m:e>
          <m:sub>
            <m:r>
              <m:t>C</m:t>
            </m:r>
          </m:sub>
        </m:sSub>
        <m:r>
          <m:rPr>
            <m:sty m:val="p"/>
          </m:rPr>
          <m:t>,</m:t>
        </m:r>
        <m:sSub>
          <m:e>
            <m:r>
              <m:t>w</m:t>
            </m:r>
          </m:e>
          <m:sub>
            <m:r>
              <m:t>R</m:t>
            </m:r>
          </m:sub>
        </m:sSub>
        <m:r>
          <m:rPr>
            <m:sty m:val="p"/>
          </m:rPr>
          <m:t>&gt;</m:t>
        </m:r>
        <m:r>
          <m:t>0</m:t>
        </m:r>
      </m:oMath>
      <w:r>
        <w:t xml:space="preserve">。主配置以</w:t>
      </w:r>
      <w:r>
        <w:t xml:space="preserve"> </w:t>
      </w:r>
      <m:oMath>
        <m:sSub>
          <m:e>
            <m:r>
              <m:t>w</m:t>
            </m:r>
          </m:e>
          <m:sub>
            <m:r>
              <m:t>C</m:t>
            </m:r>
          </m:sub>
        </m:sSub>
        <m:r>
          <m:rPr>
            <m:sty m:val="p"/>
          </m:rPr>
          <m:t>=</m:t>
        </m:r>
        <m:sSub>
          <m:e>
            <m:r>
              <m:t>w</m:t>
            </m:r>
          </m:e>
          <m:sub>
            <m:r>
              <m:t>R</m:t>
            </m:r>
          </m:sub>
        </m:sSub>
        <m:r>
          <m:rPr>
            <m:sty m:val="p"/>
          </m:rPr>
          <m:t>=</m:t>
        </m:r>
        <m:r>
          <m:t>1</m:t>
        </m:r>
      </m:oMath>
      <w:r>
        <w:t xml:space="preserve"> </w:t>
      </w:r>
      <w:r>
        <w:t xml:space="preserve">为起点，</w:t>
      </w:r>
      <m:oMath>
        <m:sSub>
          <m:e>
            <m:r>
              <m:t>κ</m:t>
            </m:r>
          </m:e>
          <m:sub>
            <m:r>
              <m:t>X</m:t>
            </m:r>
          </m:sub>
        </m:sSub>
      </m:oMath>
      <w:r>
        <w:t xml:space="preserve"> </w:t>
      </w:r>
      <w:r>
        <w:t xml:space="preserve">在开发阶段预先声明的范围内确定并冻结。基线 F1 可以用于初始化候选值，但不构成最优性依据。若为平衡两类对象数量而缩放，只使用固定训练集尺度，不除以当前图的组件数或关系数。</w:t>
      </w:r>
    </w:p>
    <w:p>
      <w:pPr>
        <w:pStyle w:val="Normal"/>
        <w:spacing w:after="80"/>
      </w:pPr>
      <w:r>
        <w:t xml:space="preserve">该效用具有明确的代价解释。令</w:t>
      </w:r>
      <w:r>
        <w:t xml:space="preserve"> </w:t>
      </w:r>
      <m:oMath>
        <m:sSub>
          <m:e>
            <m:r>
              <m:t>Y</m:t>
            </m:r>
          </m:e>
          <m:sub>
            <m:r>
              <m:t>X</m:t>
            </m:r>
          </m:sub>
        </m:sSub>
      </m:oMath>
      <w:r>
        <w:t xml:space="preserve"> </w:t>
      </w:r>
      <w:r>
        <w:t xml:space="preserve">为真实对象集合，且暂假设</w:t>
      </w:r>
      <w:r>
        <w:t xml:space="preserve"> </w:t>
      </w:r>
      <m:oMath>
        <m:sSub>
          <m:e>
            <m:r>
              <m:t>q</m:t>
            </m:r>
          </m:e>
          <m:sub>
            <m:r>
              <m:t>X</m:t>
            </m:r>
          </m:sub>
        </m:sSub>
        <m:d>
          <m:dPr>
            <m:begChr m:val="("/>
            <m:endChr m:val=")"/>
            <m:sepChr m:val=""/>
            <m:grow/>
          </m:dPr>
          <m:e>
            <m:r>
              <m:t>o</m:t>
            </m:r>
            <m:r>
              <m:rPr>
                <m:sty m:val="p"/>
              </m:rPr>
              <m:t>∣</m:t>
            </m:r>
            <m:r>
              <m:t>x</m:t>
            </m:r>
          </m:e>
        </m:d>
        <m:r>
          <m:rPr>
            <m:sty m:val="p"/>
          </m:rPr>
          <m:t>=</m:t>
        </m:r>
        <m:r>
          <m:t>P</m:t>
        </m:r>
        <m:d>
          <m:dPr>
            <m:begChr m:val="("/>
            <m:endChr m:val=")"/>
            <m:sepChr m:val=""/>
            <m:grow/>
          </m:dPr>
          <m:e>
            <m:r>
              <m:t>o</m:t>
            </m:r>
            <m:r>
              <m:rPr>
                <m:sty m:val="p"/>
              </m:rPr>
              <m:t>∈</m:t>
            </m:r>
            <m:sSub>
              <m:e>
                <m:r>
                  <m:t>Y</m:t>
                </m:r>
              </m:e>
              <m:sub>
                <m:r>
                  <m:t>X</m:t>
                </m:r>
              </m:sub>
            </m:sSub>
            <m:r>
              <m:rPr>
                <m:sty m:val="p"/>
              </m:rPr>
              <m:t>∣</m:t>
            </m:r>
            <m:r>
              <m:t>x</m:t>
            </m:r>
          </m:e>
        </m:d>
      </m:oMath>
      <w:r>
        <w:t xml:space="preserve">。由</w:t>
      </w:r>
      <w:r>
        <w:t xml:space="preserve"> </w:t>
      </w:r>
      <m:oMath>
        <m:r>
          <m:t>F</m:t>
        </m:r>
        <m:sSub>
          <m:e>
            <m:r>
              <m:t>P</m:t>
            </m:r>
          </m:e>
          <m:sub>
            <m:r>
              <m:t>X</m:t>
            </m:r>
          </m:sub>
        </m:sSub>
        <m:r>
          <m:rPr>
            <m:sty m:val="p"/>
          </m:rPr>
          <m:t>=</m:t>
        </m:r>
        <m:d>
          <m:dPr>
            <m:begChr m:val="|"/>
            <m:endChr m:val="|"/>
            <m:sepChr m:val=""/>
            <m:grow/>
          </m:dPr>
          <m:e>
            <m:r>
              <m:t>X</m:t>
            </m:r>
            <m:d>
              <m:dPr>
                <m:begChr m:val="("/>
                <m:endChr m:val=")"/>
                <m:sepChr m:val=""/>
                <m:grow/>
              </m:dPr>
              <m:e>
                <m:r>
                  <m:t>G</m:t>
                </m:r>
              </m:e>
            </m:d>
          </m:e>
        </m:d>
        <m:r>
          <m:rPr>
            <m:sty m:val="p"/>
          </m:rPr>
          <m:t>−</m:t>
        </m:r>
        <m:r>
          <m:t>T</m:t>
        </m:r>
        <m:sSub>
          <m:e>
            <m:r>
              <m:t>P</m:t>
            </m:r>
          </m:e>
          <m:sub>
            <m:r>
              <m:t>X</m:t>
            </m:r>
          </m:sub>
        </m:sSub>
      </m:oMath>
      <w:r>
        <w:t xml:space="preserve">、</w:t>
      </w:r>
      <m:oMath>
        <m:r>
          <m:t>F</m:t>
        </m:r>
        <m:sSub>
          <m:e>
            <m:r>
              <m:t>N</m:t>
            </m:r>
          </m:e>
          <m:sub>
            <m:r>
              <m:t>X</m:t>
            </m:r>
          </m:sub>
        </m:sSub>
        <m:r>
          <m:rPr>
            <m:sty m:val="p"/>
          </m:rPr>
          <m:t>=</m:t>
        </m:r>
        <m:d>
          <m:dPr>
            <m:begChr m:val="|"/>
            <m:endChr m:val="|"/>
            <m:sepChr m:val=""/>
            <m:grow/>
          </m:dPr>
          <m:e>
            <m:sSub>
              <m:e>
                <m:r>
                  <m:t>Y</m:t>
                </m:r>
              </m:e>
              <m:sub>
                <m:r>
                  <m:t>X</m:t>
                </m:r>
              </m:sub>
            </m:sSub>
          </m:e>
        </m:d>
        <m:r>
          <m:rPr>
            <m:sty m:val="p"/>
          </m:rPr>
          <m:t>−</m:t>
        </m:r>
        <m:r>
          <m:t>T</m:t>
        </m:r>
        <m:sSub>
          <m:e>
            <m:r>
              <m:t>P</m:t>
            </m:r>
          </m:e>
          <m:sub>
            <m:r>
              <m:t>X</m:t>
            </m:r>
          </m:sub>
        </m:sSub>
      </m:oMath>
      <w:r>
        <w:t xml:space="preserve">，得到</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Φ</m:t>
            </m:r>
          </m:e>
          <m:sub>
            <m:r>
              <m:t>X</m:t>
            </m:r>
          </m:sub>
        </m:sSub>
        <m:d>
          <m:dPr>
            <m:begChr m:val="("/>
            <m:endChr m:val=")"/>
            <m:sepChr m:val=""/>
            <m:grow/>
          </m:dPr>
          <m:e>
            <m:r>
              <m:t>G</m:t>
            </m:r>
          </m:e>
        </m:d>
        <m:r>
          <m:rPr>
            <m:sty m:val="p"/>
          </m:rPr>
          <m:t>=</m:t>
        </m:r>
        <m:d>
          <m:dPr>
            <m:begChr m:val="("/>
            <m:endChr m:val=")"/>
            <m:sepChr m:val=""/>
            <m:grow/>
          </m:dPr>
          <m:e>
            <m:r>
              <m:t>2</m:t>
            </m:r>
            <m:r>
              <m:rPr>
                <m:sty m:val="p"/>
              </m:rPr>
              <m:t>−</m:t>
            </m:r>
            <m:sSub>
              <m:e>
                <m:r>
                  <m:t>κ</m:t>
                </m:r>
              </m:e>
              <m:sub>
                <m:r>
                  <m:t>X</m:t>
                </m:r>
              </m:sub>
            </m:sSub>
          </m:e>
        </m:d>
        <m:r>
          <m:rPr>
            <m:sty m:val="p"/>
            <m:scr m:val="double-struck"/>
          </m:rPr>
          <m:t>E</m:t>
        </m:r>
        <m:d>
          <m:dPr>
            <m:begChr m:val="["/>
            <m:endChr m:val="]"/>
            <m:sepChr m:val=""/>
            <m:grow/>
          </m:dPr>
          <m:e>
            <m:d>
              <m:dPr>
                <m:begChr m:val="|"/>
                <m:endChr m:val="|"/>
                <m:sepChr m:val=""/>
                <m:grow/>
              </m:dPr>
              <m:e>
                <m:sSub>
                  <m:e>
                    <m:r>
                      <m:t>Y</m:t>
                    </m:r>
                  </m:e>
                  <m:sub>
                    <m:r>
                      <m:t>X</m:t>
                    </m:r>
                  </m:sub>
                </m:sSub>
              </m:e>
            </m:d>
            <m:r>
              <m:rPr>
                <m:sty m:val="p"/>
              </m:rPr>
              <m:t>∣</m:t>
            </m:r>
            <m:r>
              <m:t>x</m:t>
            </m:r>
          </m:e>
        </m:d>
        <m:r>
          <m:rPr>
            <m:sty m:val="p"/>
          </m:rPr>
          <m:t>−</m:t>
        </m:r>
        <m:r>
          <m:rPr>
            <m:sty m:val="p"/>
            <m:scr m:val="double-struck"/>
          </m:rPr>
          <m:t>E</m:t>
        </m:r>
        <m:d>
          <m:dPr>
            <m:begChr m:val="["/>
            <m:endChr m:val="]"/>
            <m:sepChr m:val=""/>
            <m:grow/>
          </m:dPr>
          <m:e>
            <m:sSub>
              <m:e>
                <m:r>
                  <m:t>κ</m:t>
                </m:r>
              </m:e>
              <m:sub>
                <m:r>
                  <m:t>X</m:t>
                </m:r>
              </m:sub>
            </m:sSub>
            <m:r>
              <m:t>F</m:t>
            </m:r>
            <m:sSub>
              <m:e>
                <m:r>
                  <m:t>P</m:t>
                </m:r>
              </m:e>
              <m:sub>
                <m:r>
                  <m:t>X</m:t>
                </m:r>
              </m:sub>
            </m:sSub>
            <m:r>
              <m:rPr>
                <m:sty m:val="p"/>
              </m:rPr>
              <m:t>+</m:t>
            </m:r>
            <m:d>
              <m:dPr>
                <m:begChr m:val="("/>
                <m:endChr m:val=")"/>
                <m:sepChr m:val=""/>
                <m:grow/>
              </m:dPr>
              <m:e>
                <m:r>
                  <m:t>2</m:t>
                </m:r>
                <m:r>
                  <m:rPr>
                    <m:sty m:val="p"/>
                  </m:rPr>
                  <m:t>−</m:t>
                </m:r>
                <m:sSub>
                  <m:e>
                    <m:r>
                      <m:t>κ</m:t>
                    </m:r>
                  </m:e>
                  <m:sub>
                    <m:r>
                      <m:t>X</m:t>
                    </m:r>
                  </m:sub>
                </m:sSub>
              </m:e>
            </m:d>
            <m:r>
              <m:t>F</m:t>
            </m:r>
            <m:sSub>
              <m:e>
                <m:r>
                  <m:t>N</m:t>
                </m:r>
              </m:e>
              <m:sub>
                <m:r>
                  <m:t>X</m:t>
                </m:r>
              </m:sub>
            </m:sSub>
            <m:r>
              <m:rPr>
                <m:sty m:val="p"/>
              </m:rPr>
              <m:t>∣</m:t>
            </m:r>
            <m:r>
              <m:t>x</m:t>
            </m:r>
          </m:e>
        </m:d>
        <m:r>
          <m:rPr>
            <m:sty m:val="p"/>
          </m:rPr>
          <m:t>.</m:t>
        </m:r>
      </m:oMath>
      <w:r>
        <w:rPr>
          <w:sz w:val="21"/>
        </w:rPr>
        <w:tab/>
      </w:r>
      <w:bookmarkStart w:id="2029" w:name="Equation_4_6"/>
      <w:r>
        <w:rPr>
          <w:sz w:val="21"/>
        </w:rPr>
        <w:t>（4-</w:t>
      </w:r>
      <w:fldSimple w:instr=" SEQ Equation4 \* ARABIC ">
        <w:r>
          <w:t>6</w:t>
        </w:r>
      </w:fldSimple>
      <w:r>
        <w:rPr>
          <w:sz w:val="21"/>
        </w:rPr>
        <w:t>）</w:t>
      </w:r>
      <w:bookmarkEnd w:id="2029"/>
    </w:p>
    <w:p>
      <w:pPr>
        <w:pStyle w:val="Normal"/>
        <w:spacing w:after="80"/>
      </w:pPr>
      <w:r>
        <w:t xml:space="preserve">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Normal"/>
        <w:spacing w:after="80"/>
      </w:pPr>
      <w:r>
        <w:t xml:space="preserve">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Normal"/>
        <w:spacing w:after="80"/>
      </w:pPr>
      <w:r>
        <w:t xml:space="preserve">候选事务必须满足完整图合法、剩余预算允许以及</w:t>
      </w:r>
    </w:p>
    <w:p>
      <w:pPr>
        <w:pStyle w:val="Normal"/>
        <w:keepNext w:val="0"/>
        <w:keepLines/>
        <w:tabs>
          <w:tab w:pos="5046" w:val="center"/>
          <w:tab w:pos="10091" w:val="right"/>
        </w:tabs>
        <w:spacing w:line="276" w:lineRule="auto" w:before="120" w:after="120"/>
        <w:ind w:firstLine="0" w:left="0" w:right="0"/>
        <w:jc w:val="left"/>
      </w:pPr>
      <w:r>
        <w:rPr>
          <w:sz w:val="21"/>
        </w:rPr>
        <w:tab/>
      </w:r>
      <m:oMath>
        <m:r>
          <m:t>Δ</m:t>
        </m:r>
        <m:sSub>
          <m:e>
            <m:r>
              <m:t>Φ</m:t>
            </m:r>
          </m:e>
          <m:sub>
            <m:r>
              <m:t>C</m:t>
            </m:r>
          </m:sub>
        </m:sSub>
        <m:r>
          <m:rPr>
            <m:sty m:val="p"/>
          </m:rPr>
          <m:t>≥</m:t>
        </m:r>
        <m:r>
          <m:t>0</m:t>
        </m:r>
        <m:r>
          <m:rPr>
            <m:sty m:val="p"/>
          </m:rPr>
          <m:t>,</m:t>
        </m:r>
        <m:r>
          <m:t>  </m:t>
        </m:r>
        <m:r>
          <m:t>Δ</m:t>
        </m:r>
        <m:sSub>
          <m:e>
            <m:r>
              <m:t>Φ</m:t>
            </m:r>
          </m:e>
          <m:sub>
            <m:r>
              <m:t>R</m:t>
            </m:r>
          </m:sub>
        </m:sSub>
        <m:r>
          <m:rPr>
            <m:sty m:val="p"/>
          </m:rPr>
          <m:t>≥</m:t>
        </m:r>
        <m:r>
          <m:t>0</m:t>
        </m:r>
        <m:r>
          <m:rPr>
            <m:sty m:val="p"/>
          </m:rPr>
          <m:t>,</m:t>
        </m:r>
        <m:r>
          <m:t>  </m:t>
        </m:r>
        <m:r>
          <m:t>Δ</m:t>
        </m:r>
        <m:r>
          <m:t>Φ</m:t>
        </m:r>
        <m:r>
          <m:rPr>
            <m:sty m:val="p"/>
          </m:rPr>
          <m:t>&gt;</m:t>
        </m:r>
        <m:r>
          <m:t>δ</m:t>
        </m:r>
        <m:r>
          <m:rPr>
            <m:sty m:val="p"/>
          </m:rPr>
          <m:t>&gt;</m:t>
        </m:r>
        <m:r>
          <m:t>0</m:t>
        </m:r>
        <m:r>
          <m:rPr>
            <m:sty m:val="p"/>
          </m:rPr>
          <m:t>.</m:t>
        </m:r>
      </m:oMath>
      <w:r>
        <w:rPr>
          <w:sz w:val="21"/>
        </w:rPr>
        <w:tab/>
      </w:r>
      <w:bookmarkStart w:id="2030" w:name="Equation_4_7"/>
      <w:r>
        <w:rPr>
          <w:sz w:val="21"/>
        </w:rPr>
        <w:t>（4-</w:t>
      </w:r>
      <w:fldSimple w:instr=" SEQ Equation4 \* ARABIC ">
        <w:r>
          <w:t>7</w:t>
        </w:r>
      </w:fldSimple>
      <w:r>
        <w:rPr>
          <w:sz w:val="21"/>
        </w:rPr>
        <w:t>）</w:t>
      </w:r>
      <w:bookmarkEnd w:id="2030"/>
    </w:p>
    <w:p>
      <w:pPr>
        <w:pStyle w:val="Normal"/>
        <w:spacing w:after="80"/>
      </w:pPr>
      <w:r>
        <w:t xml:space="preserve">两个分项门限制以明显降低某类代理效用为代价换取另一类增益，总效用门排除等分修改。它们是保守代理条件，可能拒绝真实有益的结构替换，也不保证真实组件或关系 F1 不下降。数值容差与正间隔</w:t>
      </w:r>
      <w:r>
        <w:t xml:space="preserve"> </w:t>
      </w:r>
      <m:oMath>
        <m:r>
          <m:t>δ</m:t>
        </m:r>
      </m:oMath>
      <w:r>
        <w:t xml:space="preserve"> </w:t>
      </w:r>
      <w:r>
        <w:t xml:space="preserve">在评价前固定，不通过测试结果调整。</w:t>
      </w:r>
    </w:p>
    <w:p>
      <w:pPr>
        <w:pStyle w:val="Normal"/>
        <w:spacing w:after="80"/>
      </w:pPr>
      <w:r>
        <w:t xml:space="preserve">组件编辑成本为</w:t>
      </w:r>
      <w:r>
        <w:t xml:space="preserve"> </w:t>
      </w:r>
      <m:oMath>
        <m:sSub>
          <m:e>
            <m:r>
              <m:t>d</m:t>
            </m:r>
          </m:e>
          <m:sub>
            <m:r>
              <m:t>C</m:t>
            </m:r>
          </m:sub>
        </m:sSub>
        <m:r>
          <m:rPr>
            <m:sty m:val="p"/>
          </m:rPr>
          <m:t>=</m:t>
        </m:r>
        <m:d>
          <m:dPr>
            <m:begChr m:val="|"/>
            <m:endChr m:val="|"/>
            <m:sepChr m:val=""/>
            <m:grow/>
          </m:dPr>
          <m:e>
            <m:r>
              <m:t>D</m:t>
            </m:r>
          </m:e>
        </m:d>
        <m:r>
          <m:rPr>
            <m:sty m:val="p"/>
          </m:rPr>
          <m:t>+</m:t>
        </m:r>
        <m:d>
          <m:dPr>
            <m:begChr m:val="|"/>
            <m:endChr m:val="|"/>
            <m:sepChr m:val=""/>
            <m:grow/>
          </m:dPr>
          <m:e>
            <m:r>
              <m:t>B</m:t>
            </m:r>
          </m:e>
        </m:d>
      </m:oMath>
      <w:r>
        <w:t xml:space="preserve">，关系成本为</w:t>
      </w:r>
      <w:r>
        <w:t xml:space="preserve"> </w:t>
      </w:r>
      <m:oMath>
        <m:sSub>
          <m:e>
            <m:r>
              <m:t>d</m:t>
            </m:r>
          </m:e>
          <m:sub>
            <m:r>
              <m:t>R</m:t>
            </m:r>
          </m:sub>
        </m:sSub>
        <m:r>
          <m:rPr>
            <m:sty m:val="p"/>
          </m:rPr>
          <m:t>=</m:t>
        </m:r>
        <m:d>
          <m:dPr>
            <m:begChr m:val="|"/>
            <m:endChr m:val="|"/>
            <m:sepChr m:val=""/>
            <m:grow/>
          </m:dPr>
          <m:e>
            <m:r>
              <m:t>R</m:t>
            </m:r>
            <m:r>
              <m:rPr>
                <m:sty m:val="p"/>
              </m:rPr>
              <m:t>△</m:t>
            </m:r>
            <m:r>
              <m:t>R</m:t>
            </m:r>
            <m:r>
              <m:rPr>
                <m:sty m:val="p"/>
              </m:rPr>
              <m:t>′</m:t>
            </m:r>
          </m:e>
        </m:d>
      </m:oMath>
      <w:r>
        <w:t xml:space="preserve">。类型或边界变化引起的旧关系删除与新关系加入分别计费。成本仅用于硬预算和同效用时少改优先，不加入效用作为“接近初始图”的奖励。累计编辑量与最终图相对</w:t>
      </w:r>
      <w:r>
        <w:t xml:space="preserve"> </w:t>
      </w:r>
      <m:oMath>
        <m:sSub>
          <m:e>
            <m:r>
              <m:t>G</m:t>
            </m:r>
          </m:e>
          <m:sub>
            <m:r>
              <m:t>0</m:t>
            </m:r>
          </m:sub>
        </m:sSub>
      </m:oMath>
      <w:r>
        <w:t xml:space="preserve"> </w:t>
      </w:r>
      <w:r>
        <w:t xml:space="preserve">的净变化分别记录，避免反复修改同一对象却只报告最后一次差异。</w:t>
      </w:r>
    </w:p>
    <w:p>
      <w:pPr>
        <w:pStyle w:val="Heading2"/>
      </w:pPr>
      <w:r>
        <w:rPr>
          <w:rFonts w:ascii="Arial Unicode MS" w:hAnsi="Arial Unicode MS" w:eastAsia="Arial Unicode MS"/>
        </w:rPr>
        <w:t>4.4 依赖闭合与事务构造</w:t>
      </w:r>
    </w:p>
    <w:p>
      <w:pPr>
        <w:pStyle w:val="Normal"/>
        <w:spacing w:after="80"/>
      </w:pPr>
      <w:r>
        <w:t xml:space="preserve">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rPr>
          <w:rFonts w:ascii="Arial Unicode MS" w:hAnsi="Arial Unicode MS" w:eastAsia="Arial Unicode MS"/>
        </w:rPr>
        <w:t>4.4.1 组件冲突闭合</w:t>
      </w:r>
    </w:p>
    <w:p>
      <w:pPr>
        <w:pStyle w:val="Normal"/>
        <w:spacing w:after="80"/>
      </w:pPr>
      <w:r>
        <w:t xml:space="preserve">令当前组件集合为</w:t>
      </w:r>
      <w:r>
        <w:t xml:space="preserve"> </w:t>
      </w:r>
      <m:oMath>
        <m:r>
          <m:t>C</m:t>
        </m:r>
      </m:oMath>
      <w:r>
        <w:t xml:space="preserve">，一次提议指定新增集合</w:t>
      </w:r>
      <w:r>
        <w:t xml:space="preserve"> </w:t>
      </w:r>
      <m:oMath>
        <m:r>
          <m:t>B</m:t>
        </m:r>
      </m:oMath>
      <w:r>
        <w:t xml:space="preserve"> </w:t>
      </w:r>
      <w:r>
        <w:t xml:space="preserve">与主动删除集合</w:t>
      </w:r>
      <w:r>
        <w:t xml:space="preserve"> </w:t>
      </w:r>
      <m:oMath>
        <m:sSub>
          <m:e>
            <m:r>
              <m:t>D</m:t>
            </m:r>
          </m:e>
          <m:sub>
            <m:r>
              <m:t>0</m:t>
            </m:r>
          </m:sub>
        </m:sSub>
      </m:oMath>
      <w:r>
        <w:t xml:space="preserve">。本章的</w:t>
      </w:r>
      <m:oMath>
        <m:sSub>
          <m:e>
            <m:r>
              <m:t>D</m:t>
            </m:r>
          </m:e>
          <m:sub>
            <m:r>
              <m:t>0</m:t>
            </m:r>
          </m:sub>
        </m:sSub>
      </m:oMath>
      <w:r>
        <w:t xml:space="preserve">和</w:t>
      </w:r>
      <m:oMath>
        <m:r>
          <m:t>D</m:t>
        </m:r>
      </m:oMath>
      <w:r>
        <w:t xml:space="preserve">均为待删除组件的集合，输入文档始终记为</w:t>
      </w:r>
      <m:oMath>
        <m:r>
          <m:t>x</m:t>
        </m:r>
      </m:oMath>
      <w:r>
        <w:t xml:space="preserve">。首先将</w:t>
      </w:r>
      <w:r>
        <w:t xml:space="preserve"> </w:t>
      </w:r>
      <m:oMath>
        <m:r>
          <m:t>B</m:t>
        </m:r>
        <m:r>
          <m:rPr>
            <m:sty m:val="p"/>
          </m:rPr>
          <m:t>∩</m:t>
        </m:r>
        <m:r>
          <m:t>C</m:t>
        </m:r>
      </m:oMath>
      <w:r>
        <w:t xml:space="preserve"> </w:t>
      </w:r>
      <w:r>
        <w:t xml:space="preserve">中语义未变的对象视为保留项，从</w:t>
      </w:r>
      <w:r>
        <w:t xml:space="preserve"> </w:t>
      </w:r>
      <m:oMath>
        <m:r>
          <m:t>B</m:t>
        </m:r>
      </m:oMath>
      <w:r>
        <w:t xml:space="preserve"> </w:t>
      </w:r>
      <w:r>
        <w:t xml:space="preserve">及</w:t>
      </w:r>
      <w:r>
        <w:t xml:space="preserve"> </w:t>
      </w:r>
      <m:oMath>
        <m:sSub>
          <m:e>
            <m:r>
              <m:t>D</m:t>
            </m:r>
          </m:e>
          <m:sub>
            <m:r>
              <m:t>0</m:t>
            </m:r>
          </m:sub>
        </m:sSub>
      </m:oMath>
      <w:r>
        <w:t xml:space="preserve"> </w:t>
      </w:r>
      <w:r>
        <w:t xml:space="preserve">中同时移除，再补齐所有与新增对象冲突的旧组件：</w:t>
      </w:r>
    </w:p>
    <w:p>
      <w:pPr>
        <w:pStyle w:val="Normal"/>
        <w:keepNext w:val="0"/>
        <w:keepLines/>
        <w:tabs>
          <w:tab w:pos="5046" w:val="center"/>
          <w:tab w:pos="10091" w:val="right"/>
        </w:tabs>
        <w:spacing w:line="276" w:lineRule="auto" w:before="120" w:after="120"/>
        <w:ind w:firstLine="0" w:left="0" w:right="0"/>
        <w:jc w:val="left"/>
      </w:pPr>
      <w:r>
        <w:rPr>
          <w:sz w:val="21"/>
        </w:rPr>
        <w:tab/>
      </w:r>
      <m:oMath>
        <m:r>
          <m:t>D</m:t>
        </m:r>
        <m:r>
          <m:rPr>
            <m:sty m:val="p"/>
          </m:rPr>
          <m:t>=</m:t>
        </m:r>
        <m:sSub>
          <m:e>
            <m:r>
              <m:t>D</m:t>
            </m:r>
          </m:e>
          <m:sub>
            <m:r>
              <m:t>0</m:t>
            </m:r>
          </m:sub>
        </m:sSub>
        <m:r>
          <m:rPr>
            <m:sty m:val="p"/>
          </m:rPr>
          <m:t>∪</m:t>
        </m:r>
        <m:r>
          <m:rPr>
            <m:sty m:val="p"/>
          </m:rPr>
          <m:t>{</m:t>
        </m:r>
        <m:r>
          <m:t>c</m:t>
        </m:r>
        <m:r>
          <m:rPr>
            <m:sty m:val="p"/>
          </m:rPr>
          <m:t>∈</m:t>
        </m:r>
        <m:r>
          <m:t>C</m:t>
        </m:r>
        <m:r>
          <m:rPr>
            <m:sty m:val="p"/>
          </m:rPr>
          <m:t>:</m:t>
        </m:r>
        <m:r>
          <m:rPr>
            <m:sty m:val="p"/>
          </m:rPr>
          <m:t>∃</m:t>
        </m:r>
        <m:r>
          <m:t>b</m:t>
        </m:r>
        <m:r>
          <m:rPr>
            <m:sty m:val="p"/>
          </m:rPr>
          <m:t>∈</m:t>
        </m:r>
        <m:r>
          <m:t>B</m:t>
        </m:r>
        <m:r>
          <m:rPr>
            <m:sty m:val="p"/>
          </m:rPr>
          <m:t>,</m:t>
        </m:r>
        <m:r>
          <m:rPr>
            <m:sty m:val="p"/>
          </m:rPr>
          <m:t>Conflict</m:t>
        </m:r>
        <m:d>
          <m:dPr>
            <m:begChr m:val="("/>
            <m:endChr m:val=")"/>
            <m:sepChr m:val=""/>
            <m:grow/>
          </m:dPr>
          <m:e>
            <m:r>
              <m:t>c</m:t>
            </m:r>
            <m:r>
              <m:rPr>
                <m:sty m:val="p"/>
              </m:rPr>
              <m:t>,</m:t>
            </m:r>
            <m:r>
              <m:t>b</m:t>
            </m:r>
          </m:e>
        </m:d>
        <m:r>
          <m:rPr>
            <m:sty m:val="p"/>
          </m:rPr>
          <m:t>}</m:t>
        </m:r>
        <m:r>
          <m:rPr>
            <m:sty m:val="p"/>
          </m:rPr>
          <m:t>,</m:t>
        </m:r>
        <m:r>
          <m:t>  </m:t>
        </m:r>
        <m:r>
          <m:t>C</m:t>
        </m:r>
        <m:r>
          <m:rPr>
            <m:sty m:val="p"/>
          </m:rPr>
          <m:t>′</m:t>
        </m:r>
        <m:r>
          <m:rPr>
            <m:sty m:val="p"/>
          </m:rPr>
          <m:t>=</m:t>
        </m:r>
        <m:d>
          <m:dPr>
            <m:begChr m:val="("/>
            <m:endChr m:val=")"/>
            <m:sepChr m:val=""/>
            <m:grow/>
          </m:dPr>
          <m:e>
            <m:r>
              <m:t>C</m:t>
            </m:r>
            <m:r>
              <m:rPr>
                <m:sty m:val="p"/>
              </m:rPr>
              <m:t>∖</m:t>
            </m:r>
            <m:r>
              <m:t>D</m:t>
            </m:r>
          </m:e>
        </m:d>
        <m:r>
          <m:rPr>
            <m:sty m:val="p"/>
          </m:rPr>
          <m:t>∪</m:t>
        </m:r>
        <m:r>
          <m:t>B</m:t>
        </m:r>
        <m:r>
          <m:rPr>
            <m:sty m:val="p"/>
          </m:rPr>
          <m:t>.</m:t>
        </m:r>
      </m:oMath>
      <w:r>
        <w:rPr>
          <w:sz w:val="21"/>
        </w:rPr>
        <w:tab/>
      </w:r>
      <w:bookmarkStart w:id="2031" w:name="Equation_4_8"/>
      <w:r>
        <w:rPr>
          <w:sz w:val="21"/>
        </w:rPr>
        <w:t>（4-</w:t>
      </w:r>
      <w:fldSimple w:instr=" SEQ Equation4 \* ARABIC ">
        <w:r>
          <w:t>8</w:t>
        </w:r>
      </w:fldSimple>
      <w:r>
        <w:rPr>
          <w:sz w:val="21"/>
        </w:rPr>
        <w:t>）</w:t>
      </w:r>
      <w:bookmarkEnd w:id="2031"/>
    </w:p>
    <w:p>
      <w:pPr>
        <w:pStyle w:val="Normal"/>
        <w:spacing w:after="80"/>
      </w:pPr>
      <m:oMath>
        <m:r>
          <m:t>B</m:t>
        </m:r>
      </m:oMath>
      <w:r>
        <w:t xml:space="preserve"> </w:t>
      </w:r>
      <w:r>
        <w:t xml:space="preserve">内部必须兼容。即使某个冲突组件位于提议窗口之外，也必须进入</w:t>
      </w:r>
      <w:r>
        <w:t xml:space="preserve"> </w:t>
      </w:r>
      <m:oMath>
        <m:r>
          <m:t>D</m:t>
        </m:r>
      </m:oMath>
      <w:r>
        <w:t xml:space="preserve">；否则，新状态仍可能含有非法重叠。扩大删除集合超过预算时，提议被拒绝，不能通过忽略窗口外冲突获得虚假的局部可行性。</w:t>
      </w:r>
    </w:p>
    <w:p>
      <w:pPr>
        <w:pStyle w:val="Normal"/>
        <w:spacing w:after="80"/>
      </w:pPr>
      <w:r>
        <w:t xml:space="preserve">主邻域包含</w:t>
      </w:r>
      <w:r>
        <w:t xml:space="preserve"> </w:t>
      </w:r>
      <m:oMath>
        <m:r>
          <m:t>0</m:t>
        </m:r>
        <m:r>
          <m:t>​</m:t>
        </m:r>
        <m:r>
          <m:rPr>
            <m:sty m:val="p"/>
          </m:rPr>
          <m:t>→</m:t>
        </m:r>
        <m:r>
          <m:t>​</m:t>
        </m:r>
        <m:r>
          <m:t>1</m:t>
        </m:r>
      </m:oMath>
      <w:r>
        <w:t xml:space="preserve">、</w:t>
      </w:r>
      <m:oMath>
        <m:r>
          <m:t>1</m:t>
        </m:r>
        <m:r>
          <m:t>​</m:t>
        </m:r>
        <m:r>
          <m:rPr>
            <m:sty m:val="p"/>
          </m:rPr>
          <m:t>→</m:t>
        </m:r>
        <m:r>
          <m:t>​</m:t>
        </m:r>
        <m:r>
          <m:t>0</m:t>
        </m:r>
      </m:oMath>
      <w:r>
        <w:t xml:space="preserve">、</w:t>
      </w:r>
      <m:oMath>
        <m:r>
          <m:t>1</m:t>
        </m:r>
        <m:r>
          <m:t>​</m:t>
        </m:r>
        <m:r>
          <m:rPr>
            <m:sty m:val="p"/>
          </m:rPr>
          <m:t>→</m:t>
        </m:r>
        <m:r>
          <m:t>​</m:t>
        </m:r>
        <m:r>
          <m:t>1</m:t>
        </m:r>
      </m:oMath>
      <w:r>
        <w:t xml:space="preserve">、</w:t>
      </w:r>
      <m:oMath>
        <m:r>
          <m:t>1</m:t>
        </m:r>
        <m:r>
          <m:t>​</m:t>
        </m:r>
        <m:r>
          <m:rPr>
            <m:sty m:val="p"/>
          </m:rPr>
          <m:t>→</m:t>
        </m:r>
        <m:r>
          <m:t>​</m:t>
        </m:r>
        <m:r>
          <m:t>2</m:t>
        </m:r>
      </m:oMath>
      <w:r>
        <w:t xml:space="preserve"> </w:t>
      </w:r>
      <w:r>
        <w:t xml:space="preserve">和</w:t>
      </w:r>
      <w:r>
        <w:t xml:space="preserve"> </w:t>
      </w:r>
      <m:oMath>
        <m:r>
          <m:t>2</m:t>
        </m:r>
        <m:r>
          <m:t>​</m:t>
        </m:r>
        <m:r>
          <m:rPr>
            <m:sty m:val="p"/>
          </m:rPr>
          <m:t>→</m:t>
        </m:r>
        <m:r>
          <m:t>​</m:t>
        </m:r>
        <m:r>
          <m:t>1</m:t>
        </m:r>
      </m:oMath>
      <w:r>
        <w:t xml:space="preserve">，对应遗漏补回、多检删除、类型或边界替换、拆分和合并。初始设计限制每事务</w:t>
      </w:r>
      <w:r>
        <w:t xml:space="preserve"> </w:t>
      </w:r>
      <m:oMath>
        <m:d>
          <m:dPr>
            <m:begChr m:val="|"/>
            <m:endChr m:val="|"/>
            <m:sepChr m:val=""/>
            <m:grow/>
          </m:dPr>
          <m:e>
            <m:r>
              <m:t>D</m:t>
            </m:r>
          </m:e>
        </m:d>
        <m:r>
          <m:rPr>
            <m:sty m:val="p"/>
          </m:rPr>
          <m:t>+</m:t>
        </m:r>
        <m:d>
          <m:dPr>
            <m:begChr m:val="|"/>
            <m:endChr m:val="|"/>
            <m:sepChr m:val=""/>
            <m:grow/>
          </m:dPr>
          <m:e>
            <m:r>
              <m:t>B</m:t>
            </m:r>
          </m:e>
        </m:d>
        <m:r>
          <m:rPr>
            <m:sty m:val="p"/>
          </m:rPr>
          <m:t>≤</m:t>
        </m:r>
        <m:r>
          <m:t>3</m:t>
        </m:r>
      </m:oMath>
      <w:r>
        <w:t xml:space="preserve">，在冲突闭合后检查，而非只按最初指定的集合计数。更大邻域作为预算敏感性设置单独评价。</w:t>
      </w:r>
    </w:p>
    <w:p>
      <w:pPr>
        <w:pStyle w:val="Heading3"/>
      </w:pPr>
      <w:r>
        <w:rPr>
          <w:rFonts w:ascii="Arial Unicode MS" w:hAnsi="Arial Unicode MS" w:eastAsia="Arial Unicode MS"/>
        </w:rPr>
        <w:t>4.4.2 完整关系重建</w:t>
      </w:r>
    </w:p>
    <w:p>
      <w:pPr>
        <w:pStyle w:val="Normal"/>
        <w:spacing w:after="80"/>
      </w:pPr>
      <w:r>
        <w:t xml:space="preserve">“</w:t>
      </w:r>
      <w:r>
        <w:t xml:space="preserve">依赖闭合</w:t>
      </w:r>
      <w:r>
        <w:t xml:space="preserve">”</w:t>
      </w:r>
      <w:r>
        <w:t xml:space="preserve">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pPr>
        <w:pStyle w:val="Normal"/>
        <w:spacing w:after="80"/>
      </w:pPr>
      <w:r>
        <w:t xml:space="preserve">令变化对象集合</w:t>
      </w:r>
      <w:r>
        <w:t xml:space="preserve"> </w:t>
      </w:r>
      <m:oMath>
        <m:r>
          <m:t>A</m:t>
        </m:r>
        <m:r>
          <m:rPr>
            <m:sty m:val="p"/>
          </m:rPr>
          <m:t>=</m:t>
        </m:r>
        <m:r>
          <m:t>D</m:t>
        </m:r>
        <m:r>
          <m:rPr>
            <m:sty m:val="p"/>
          </m:rPr>
          <m:t>∪</m:t>
        </m:r>
        <m:r>
          <m:t>B</m:t>
        </m:r>
      </m:oMath>
      <w:r>
        <w:t xml:space="preserve"> </w:t>
      </w:r>
      <w:r>
        <w:t xml:space="preserve">包含删除的旧组件与加入的新组件，不同于第三章允许改写文字的组件集合。</w:t>
      </w:r>
      <m:oMath>
        <m:sSub>
          <m:e>
            <m:r>
              <m:t>P</m:t>
            </m:r>
          </m:e>
          <m:sub>
            <m:r>
              <m:t>A</m:t>
            </m:r>
          </m:sub>
        </m:sSub>
      </m:oMath>
      <w:r>
        <w:t xml:space="preserve"> </w:t>
      </w:r>
      <w:r>
        <w:t xml:space="preserve">包含候选池</w:t>
      </w:r>
      <w:r>
        <w:t xml:space="preserve"> </w:t>
      </w:r>
      <m:oMath>
        <m:r>
          <m:t>P</m:t>
        </m:r>
      </m:oMath>
      <w:r>
        <w:t xml:space="preserve"> </w:t>
      </w:r>
      <w:r>
        <w:t xml:space="preserve">中接触变化对象集合</w:t>
      </w:r>
      <w:r>
        <w:t xml:space="preserve"> </w:t>
      </w:r>
      <m:oMath>
        <m:r>
          <m:t>A</m:t>
        </m:r>
      </m:oMath>
      <w:r>
        <w:t xml:space="preserve"> </w:t>
      </w:r>
      <w:r>
        <w:t xml:space="preserve">任一对象的全部关系，同时覆盖入边、出边、原有正关系和原 NONE 槽位。删除旧组件后，所有引用旧语义键的关系必须删除；加入新组件后，其合法入出关系重新参与选择，不能按旧显示编号继承。</w:t>
      </w:r>
    </w:p>
    <w:p>
      <w:pPr>
        <w:pStyle w:val="Normal"/>
        <w:spacing w:after="80"/>
      </w:pPr>
      <w:r>
        <w:t xml:space="preserve">对于组件保持不变但关系存在错误的情形，保留纯关系提议</w:t>
      </w:r>
      <w:r>
        <w:t xml:space="preserve"> </w:t>
      </w:r>
      <m:oMath>
        <m:sSub>
          <m:e>
            <m:r>
              <m:t>S</m:t>
            </m:r>
          </m:e>
          <m:sub>
            <m:r>
              <m:t>R</m:t>
            </m:r>
          </m:sub>
        </m:sSub>
      </m:oMath>
      <w:r>
        <w:t xml:space="preserve">，定义事务关系空间</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P</m:t>
            </m:r>
          </m:e>
          <m:sub>
            <m:r>
              <m:rPr>
                <m:sty m:val="p"/>
              </m:rPr>
              <m:t>t</m:t>
            </m:r>
            <m:r>
              <m:rPr>
                <m:sty m:val="p"/>
              </m:rPr>
              <m:t>x</m:t>
            </m:r>
          </m:sub>
        </m:sSub>
        <m:r>
          <m:rPr>
            <m:sty m:val="p"/>
          </m:rPr>
          <m:t>=</m:t>
        </m:r>
        <m:sSub>
          <m:e>
            <m:r>
              <m:t>P</m:t>
            </m:r>
          </m:e>
          <m:sub>
            <m:r>
              <m:t>A</m:t>
            </m:r>
          </m:sub>
        </m:sSub>
        <m:r>
          <m:rPr>
            <m:sty m:val="p"/>
          </m:rPr>
          <m:t>∪</m:t>
        </m:r>
        <m:sSub>
          <m:e>
            <m:r>
              <m:t>S</m:t>
            </m:r>
          </m:e>
          <m:sub>
            <m:r>
              <m:t>R</m:t>
            </m:r>
          </m:sub>
        </m:sSub>
        <m:r>
          <m:rPr>
            <m:sty m:val="p"/>
          </m:rPr>
          <m:t>.</m:t>
        </m:r>
      </m:oMath>
      <w:r>
        <w:rPr>
          <w:sz w:val="21"/>
        </w:rPr>
        <w:tab/>
      </w:r>
      <w:bookmarkStart w:id="2032" w:name="Equation_4_9"/>
      <w:r>
        <w:rPr>
          <w:sz w:val="21"/>
        </w:rPr>
        <w:t>（4-</w:t>
      </w:r>
      <w:fldSimple w:instr=" SEQ Equation4 \* ARABIC ">
        <w:r>
          <w:t>9</w:t>
        </w:r>
      </w:fldSimple>
      <w:r>
        <w:rPr>
          <w:sz w:val="21"/>
        </w:rPr>
        <w:t>）</w:t>
      </w:r>
      <w:bookmarkEnd w:id="2032"/>
    </w:p>
    <w:p>
      <w:pPr>
        <w:pStyle w:val="Normal"/>
        <w:spacing w:after="80"/>
      </w:pPr>
      <w:r>
        <w:t xml:space="preserve">RelationOnly 事务取</w:t>
      </w:r>
      <w:r>
        <w:t xml:space="preserve"> </w:t>
      </w:r>
      <m:oMath>
        <m:r>
          <m:t>D</m:t>
        </m:r>
        <m:r>
          <m:rPr>
            <m:sty m:val="p"/>
          </m:rPr>
          <m:t>=</m:t>
        </m:r>
        <m:r>
          <m:t>B</m:t>
        </m:r>
        <m:r>
          <m:rPr>
            <m:sty m:val="p"/>
          </m:rPr>
          <m:t>=</m:t>
        </m:r>
        <m:r>
          <m:rPr>
            <m:sty m:val="p"/>
          </m:rPr>
          <m:t>⌀</m:t>
        </m:r>
      </m:oMath>
      <w:r>
        <w:t xml:space="preserve">，通过</w:t>
      </w:r>
      <w:r>
        <w:t xml:space="preserve"> </w:t>
      </w:r>
      <m:oMath>
        <m:sSub>
          <m:e>
            <m:r>
              <m:t>S</m:t>
            </m:r>
          </m:e>
          <m:sub>
            <m:r>
              <m:t>R</m:t>
            </m:r>
          </m:sub>
        </m:sSub>
      </m:oMath>
      <w:r>
        <w:t xml:space="preserve"> </w:t>
      </w:r>
      <w:r>
        <w:t xml:space="preserve">表达增边、删边、换标签或反向。一个槽位进入</w:t>
      </w:r>
      <w:r>
        <w:t xml:space="preserve"> </w:t>
      </w:r>
      <m:oMath>
        <m:sSub>
          <m:e>
            <m:r>
              <m:t>S</m:t>
            </m:r>
          </m:e>
          <m:sub>
            <m:r>
              <m:t>R</m:t>
            </m:r>
          </m:sub>
        </m:sSub>
      </m:oMath>
      <w:r>
        <w:t xml:space="preserve"> </w:t>
      </w:r>
      <w:r>
        <w:t xml:space="preserve">时，其全部合法标签候选一同进入；二元反向修改遵循4.2.2节的双槽位条件；任一方向缺失或当前非法时不进入反向队列，不能仅重选已有方向后称为反向。</w:t>
      </w:r>
    </w:p>
    <w:p>
      <w:pPr>
        <w:pStyle w:val="Normal"/>
        <w:spacing w:after="80"/>
      </w:pPr>
      <w:r>
        <w:t xml:space="preserve">对每个</w:t>
      </w:r>
      <w:r>
        <w:t xml:space="preserve"> </w:t>
      </w:r>
      <m:oMath>
        <m:r>
          <m:t>C</m:t>
        </m:r>
        <m:r>
          <m:rPr>
            <m:sty m:val="p"/>
          </m:rPr>
          <m:t>′</m:t>
        </m:r>
      </m:oMath>
      <w:r>
        <w:t xml:space="preserve">，算法先求受影响关系的合格可行补全（取得最优性证书时才称为最优），再比较完整的</w:t>
      </w:r>
      <w:r>
        <w:t xml:space="preserve"> </w:t>
      </w:r>
      <m:oMath>
        <m:r>
          <m:t>G</m:t>
        </m:r>
        <m:r>
          <m:rPr>
            <m:sty m:val="p"/>
          </m:rPr>
          <m:t>′</m:t>
        </m:r>
        <m:r>
          <m:rPr>
            <m:sty m:val="p"/>
          </m:rPr>
          <m:t>=</m:t>
        </m:r>
        <m:d>
          <m:dPr>
            <m:begChr m:val="("/>
            <m:endChr m:val=")"/>
            <m:sepChr m:val=""/>
            <m:grow/>
          </m:dPr>
          <m:e>
            <m:r>
              <m:t>C</m:t>
            </m:r>
            <m:r>
              <m:rPr>
                <m:sty m:val="p"/>
              </m:rPr>
              <m:t>′</m:t>
            </m:r>
            <m:r>
              <m:rPr>
                <m:sty m:val="p"/>
              </m:rPr>
              <m:t>,</m:t>
            </m:r>
            <m:r>
              <m:t>R</m:t>
            </m:r>
            <m:r>
              <m:rPr>
                <m:sty m:val="p"/>
              </m:rPr>
              <m:t>′</m:t>
            </m:r>
          </m:e>
        </m:d>
      </m:oMath>
      <w:r>
        <w:t xml:space="preserve">，而非先依据组件分数提交</w:t>
      </w:r>
      <w:r>
        <w:t xml:space="preserve"> </w:t>
      </w:r>
      <m:oMath>
        <m:r>
          <m:t>C</m:t>
        </m:r>
        <m:r>
          <m:rPr>
            <m:sty m:val="p"/>
          </m:rPr>
          <m:t>′</m:t>
        </m:r>
      </m:oMath>
      <w:r>
        <w:t xml:space="preserve">。事务外关系保持固定，但全局约束在整图上检查。本文固定采用最小合法化扩域：将组件变化后失效的已选事务外关系所在完整槽位加入</w:t>
      </w:r>
      <m:oMath>
        <m:sSub>
          <m:e>
            <m:r>
              <m:t>S</m:t>
            </m:r>
          </m:e>
          <m:sub>
            <m:r>
              <m:t>R</m:t>
            </m:r>
          </m:sub>
        </m:sSub>
      </m:oMath>
      <w:r>
        <w:t xml:space="preserve">，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Normal"/>
        <w:spacing w:after="80"/>
      </w:pPr>
      <w:r>
        <w:t xml:space="preserve">CDCP的源连续性还依赖哪些中间组件被选中，因此需要区分“旧关系失效”和“未选槽位变得合法”。例如，当前组件按位置排列为</w:t>
      </w:r>
      <m:oMath>
        <m:r>
          <m:t>a</m:t>
        </m:r>
        <m:r>
          <m:rPr>
            <m:sty m:val="p"/>
          </m:rPr>
          <m:t>,</m:t>
        </m:r>
        <m:r>
          <m:t>b</m:t>
        </m:r>
        <m:r>
          <m:rPr>
            <m:sty m:val="p"/>
          </m:rPr>
          <m:t>,</m:t>
        </m:r>
        <m:r>
          <m:t>c</m:t>
        </m:r>
        <m:r>
          <m:rPr>
            <m:sty m:val="p"/>
          </m:rPr>
          <m:t>,</m:t>
        </m:r>
        <m:r>
          <m:t>t</m:t>
        </m:r>
      </m:oMath>
      <w:r>
        <w:t xml:space="preserve">，固定候选池已包含</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t xml:space="preserve">。由于</w:t>
      </w:r>
      <m:oMath>
        <m:r>
          <m:t>b</m:t>
        </m:r>
      </m:oMath>
      <w:r>
        <w:t xml:space="preserve">位于两个源成员之间，</w:t>
      </w:r>
      <m:oMath>
        <m:r>
          <m:t>h</m:t>
        </m:r>
      </m:oMath>
      <w:r>
        <w:t xml:space="preserve">当前非法且未被选中。若删除</w:t>
      </w:r>
      <m:oMath>
        <m:r>
          <m:t>b</m:t>
        </m:r>
      </m:oMath>
      <w:r>
        <w:t xml:space="preserve">的事务获准提交，</w:t>
      </w:r>
      <m:oMath>
        <m:r>
          <m:t>h</m:t>
        </m:r>
      </m:oMath>
      <w:r>
        <w:t xml:space="preserve">便满足源连续性，但其端点</w:t>
      </w:r>
      <m:oMath>
        <m:r>
          <m:t>a</m:t>
        </m:r>
        <m:r>
          <m:rPr>
            <m:sty m:val="p"/>
          </m:rPr>
          <m:t>,</m:t>
        </m:r>
        <m:r>
          <m:t>c</m:t>
        </m:r>
        <m:r>
          <m:rPr>
            <m:sty m:val="p"/>
          </m:rPr>
          <m:t>,</m:t>
        </m:r>
        <m:r>
          <m:t>t</m:t>
        </m:r>
      </m:oMath>
      <w:r>
        <w:t xml:space="preserve">均未变化，故</w:t>
      </w:r>
      <m:oMath>
        <m:r>
          <m:t>h</m:t>
        </m:r>
      </m:oMath>
      <w:r>
        <w:t xml:space="preserve">不属于该事务的</w:t>
      </w:r>
      <m:oMath>
        <m:sSub>
          <m:e>
            <m:r>
              <m:t>P</m:t>
            </m:r>
          </m:e>
          <m:sub>
            <m:r>
              <m:t>A</m:t>
            </m:r>
          </m:sub>
        </m:sSub>
      </m:oMath>
      <w:r>
        <w:t xml:space="preserve">；若该事务的</w:t>
      </w:r>
      <m:oMath>
        <m:sSub>
          <m:e>
            <m:r>
              <m:t>S</m:t>
            </m:r>
          </m:e>
          <m:sub>
            <m:r>
              <m:t>R</m:t>
            </m:r>
          </m:sub>
        </m:sSub>
      </m:oMath>
      <w:r>
        <w:t xml:space="preserve">也未包含它，</w:t>
      </w:r>
      <m:oMath>
        <m:r>
          <m:t>h</m:t>
        </m:r>
      </m:oMath>
      <w:r>
        <w:t xml:space="preserve">仍保持未选状态。为保留整图合法性而扩域，并不自动触发对这类新合法槽位的枚举。</w:t>
      </w:r>
    </w:p>
    <w:p>
      <w:pPr>
        <w:pStyle w:val="Normal"/>
        <w:spacing w:after="80"/>
      </w:pPr>
      <w:r>
        <w:t xml:space="preserve">在上述新状态中，若保持</w:t>
      </w:r>
      <m:oMath>
        <m:r>
          <m:t>h</m:t>
        </m:r>
      </m:oMath>
      <w:r>
        <w:t xml:space="preserve">的端点不变，后续提议仍需将</w:t>
      </w:r>
      <m:oMath>
        <m:r>
          <m:t>h</m:t>
        </m:r>
      </m:oMath>
      <w:r>
        <w:t xml:space="preserve">所在槽位纳入</w:t>
      </w:r>
      <m:oMath>
        <m:sSub>
          <m:e>
            <m:r>
              <m:t>S</m:t>
            </m:r>
          </m:e>
          <m:sub>
            <m:r>
              <m:t>R</m:t>
            </m:r>
          </m:sub>
        </m:sSub>
      </m:oMath>
      <w:r>
        <w:t xml:space="preserve">，实际进入并执行于队列，且通过合法性、效用门与剩余预算检查，才可能恢复</w:t>
      </w:r>
      <m:oMath>
        <m:r>
          <m:t>h</m:t>
        </m:r>
      </m:oMath>
      <w:r>
        <w:t xml:space="preserve">。若删除</w:t>
      </w:r>
      <m:oMath>
        <m:r>
          <m:t>b</m:t>
        </m:r>
      </m:oMath>
      <w:r>
        <w:t xml:space="preserve">未被接受、候选池不含</w:t>
      </w:r>
      <m:oMath>
        <m:r>
          <m:t>h</m:t>
        </m:r>
      </m:oMath>
      <w:r>
        <w:t xml:space="preserve">、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spacing w:after="80"/>
      </w:pPr>
      <w:r>
        <w:t>在上述规约中，跨度或类型改变都会产生新的语义键。旧键所关联的关系全部计入删除，新键参与的合法完整关系另行计入加入。4.4.3节给出可复算的构造事务，说明这一规则如何进入接受和预算；实际任务效果仍由事后严格评价判断。</w:t>
      </w:r>
    </w:p>
    <w:p>
      <w:pPr>
        <w:pStyle w:val="Heading3"/>
      </w:pPr>
      <w:r>
        <w:rPr>
          <w:rFonts w:ascii="Arial Unicode MS" w:hAnsi="Arial Unicode MS" w:eastAsia="Arial Unicode MS"/>
        </w:rPr>
        <w:t>4.4.3 一次完整事务与两种拒绝情形</w:t>
      </w:r>
    </w:p>
    <w:p>
      <w:pPr>
        <w:spacing w:after="80"/>
      </w:pPr>
      <w:r>
        <w:t>下面采用独立的构造文档demo_tx。字符区间、类型、候选来源、分数和事后金标均为教学设定，不是Qwen预测或ILP运行轨迹。它的用途是从固定输入复算闭合、分项增量、预算与返回规则；伴随脚本枚举全部16种关系选择，仅核对这个小例子的数学决策。</w:t>
      </w:r>
    </w:p>
    <w:p>
      <w:pPr>
        <w:pStyle w:val="Caption"/>
        <w:keepNext/>
        <w:spacing w:after="80"/>
        <w:ind w:firstLine="0"/>
        <w:jc w:val="center"/>
      </w:pPr>
      <w:r>
        <w:rPr>
          <w:rFonts w:ascii="Arial Unicode MS" w:hAnsi="Arial Unicode MS" w:eastAsia="Arial Unicode MS"/>
        </w:rPr>
        <w:t>表4-1 构造事务的组件与关系评分</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528"/>
        <w:gridCol w:w="2304"/>
        <w:gridCol w:w="2174"/>
      </w:tblGrid>
      <w:tr>
        <w:trPr>
          <w:cantSplit/>
          <w:tblHeader/>
        </w:trPr>
        <w:tc>
          <w:tcPr>
            <w:tcW w:type="dxa" w:w="1656"/>
            <w:vAlign w:val="center"/>
            <w:tcMar>
              <w:top w:w="65" w:type="dxa"/>
              <w:bottom w:w="65" w:type="dxa"/>
              <w:left w:w="65" w:type="dxa"/>
              <w:right w:w="65" w:type="dxa"/>
            </w:tcMar>
            <w:shd w:fill="E7E6E6"/>
          </w:tcPr>
          <w:p>
            <w:pPr>
              <w:spacing w:after="0" w:line="259" w:lineRule="auto"/>
              <w:ind w:firstLine="0"/>
              <w:jc w:val="center"/>
            </w:pPr>
            <w:r>
              <w:rPr>
                <w:b/>
                <w:sz w:val="18"/>
              </w:rPr>
              <w:t>对象</w:t>
            </w:r>
          </w:p>
        </w:tc>
        <w:tc>
          <w:tcPr>
            <w:tcW w:type="dxa" w:w="3528"/>
            <w:vAlign w:val="center"/>
            <w:tcMar>
              <w:top w:w="65" w:type="dxa"/>
              <w:bottom w:w="65" w:type="dxa"/>
              <w:left w:w="65" w:type="dxa"/>
              <w:right w:w="65" w:type="dxa"/>
            </w:tcMar>
            <w:shd w:fill="E7E6E6"/>
          </w:tcPr>
          <w:p>
            <w:pPr>
              <w:spacing w:after="0" w:line="259" w:lineRule="auto"/>
              <w:ind w:firstLine="0"/>
              <w:jc w:val="center"/>
            </w:pPr>
            <w:r>
              <w:rPr>
                <w:b/>
                <w:sz w:val="18"/>
              </w:rPr>
              <w:t>完整对象定义</w:t>
            </w:r>
          </w:p>
        </w:tc>
        <w:tc>
          <w:tcPr>
            <w:tcW w:type="dxa" w:w="2304"/>
            <w:vAlign w:val="center"/>
            <w:tcMar>
              <w:top w:w="65" w:type="dxa"/>
              <w:bottom w:w="65" w:type="dxa"/>
              <w:left w:w="65" w:type="dxa"/>
              <w:right w:w="65" w:type="dxa"/>
            </w:tcMar>
            <w:shd w:fill="E7E6E6"/>
          </w:tcPr>
          <w:p>
            <w:pPr>
              <w:spacing w:after="0" w:line="259" w:lineRule="auto"/>
              <w:ind w:firstLine="0"/>
              <w:jc w:val="center"/>
            </w:pPr>
            <w:r>
              <w:rPr>
                <w:b/>
                <w:sz w:val="18"/>
              </w:rPr>
              <w:t>来源及初始状态</w:t>
            </w:r>
          </w:p>
        </w:tc>
        <w:tc>
          <w:tcPr>
            <w:tcW w:type="dxa" w:w="2174"/>
            <w:vAlign w:val="center"/>
            <w:tcMar>
              <w:top w:w="65" w:type="dxa"/>
              <w:bottom w:w="65" w:type="dxa"/>
              <w:left w:w="65" w:type="dxa"/>
              <w:right w:w="65" w:type="dxa"/>
            </w:tcMar>
            <w:shd w:fill="E7E6E6"/>
          </w:tcPr>
          <w:p>
            <w:pPr>
              <w:spacing w:after="0" w:line="259" w:lineRule="auto"/>
              <w:ind w:firstLine="0"/>
              <w:jc w:val="center"/>
            </w:pPr>
            <w:r>
              <w:rPr>
                <w:b/>
                <w:sz w:val="18"/>
              </w:rPr>
              <w:t>固定q</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a</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(demo_tx,0,8,Claim)</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构造初始对象 已选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0.90</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b</w:t>
            </w:r>
          </w:p>
        </w:tc>
        <w:tc>
          <w:tcPr>
            <w:tcW w:type="dxa" w:w="3528"/>
            <w:vAlign w:val="center"/>
            <w:tcMar>
              <w:top w:w="65" w:type="dxa"/>
              <w:bottom w:w="65" w:type="dxa"/>
              <w:left w:w="65" w:type="dxa"/>
              <w:right w:w="65" w:type="dxa"/>
            </w:tcMar>
          </w:tcPr>
          <w:p>
            <w:pPr>
              <w:spacing w:after="0" w:line="259" w:lineRule="auto"/>
              <w:ind w:firstLine="0"/>
              <w:jc w:val="left"/>
            </w:pPr>
            <w:r>
              <w:rPr>
                <w:b w:val="0"/>
                <w:sz w:val="18"/>
              </w:rPr>
              <w:t>(demo_tx,10,20,Premise)</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构造初始对象 已选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0.55</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c</w:t>
            </w:r>
          </w:p>
        </w:tc>
        <w:tc>
          <w:tcPr>
            <w:tcW w:type="dxa" w:w="3528"/>
            <w:vAlign w:val="center"/>
            <w:tcMar>
              <w:top w:w="65" w:type="dxa"/>
              <w:bottom w:w="65" w:type="dxa"/>
              <w:left w:w="65" w:type="dxa"/>
              <w:right w:w="65" w:type="dxa"/>
            </w:tcMar>
          </w:tcPr>
          <w:p>
            <w:pPr>
              <w:spacing w:after="0" w:line="259" w:lineRule="auto"/>
              <w:ind w:firstLine="0"/>
              <w:jc w:val="left"/>
            </w:pPr>
            <w:r>
              <w:rPr>
                <w:b w:val="0"/>
                <w:sz w:val="18"/>
              </w:rPr>
              <w:t>(demo_tx,22,32,Premise)</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构造初始对象 已选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0.85</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b′</w:t>
            </w:r>
          </w:p>
        </w:tc>
        <w:tc>
          <w:tcPr>
            <w:tcW w:type="dxa" w:w="3528"/>
            <w:vAlign w:val="center"/>
            <w:tcMar>
              <w:top w:w="65" w:type="dxa"/>
              <w:bottom w:w="65" w:type="dxa"/>
              <w:left w:w="65" w:type="dxa"/>
              <w:right w:w="65" w:type="dxa"/>
            </w:tcMar>
          </w:tcPr>
          <w:p>
            <w:pPr>
              <w:spacing w:after="0" w:line="259" w:lineRule="auto"/>
              <w:ind w:firstLine="0"/>
              <w:jc w:val="left"/>
            </w:pPr>
            <w:r>
              <w:rPr>
                <w:b w:val="0"/>
                <w:sz w:val="18"/>
              </w:rPr>
              <w:t>(demo_tx,10,21,Premise)</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构造补充提议 未选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0.80</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r1</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(b,a,supports)</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构造初始关系 已选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0.55</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r2</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(c,b,supports)</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构造初始关系 已选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0.45</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r3</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(b′,a,supports)</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冻结池内新关系 未选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0.80</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r4</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(c,b′,supports)</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冻结池内新关系 未选</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0.70</w:t>
            </w:r>
          </w:p>
        </w:tc>
      </w:tr>
    </w:tbl>
    <w:p>
      <w:pPr>
        <w:spacing w:after="80"/>
      </w:pPr>
      <w:r>
        <w:t>关系表中的a、b、b′、c均展开为同表完整组件键后再形成关系键；显示ID不参与身份判断。初始C={a,b,c}、R={r1,r2}。名义提议为B={b′}、D0=∅；由于b′与b重叠，冲突闭合得到D={b}，实际动作成为1→1，dC=2。受影响关系空间Ptx={r1,r2,r3,r4}覆盖b的全部入出关系及b′的新候选。新组件状态下r1、r2必须删除，r3、r4可以共同选择；这条链满足本例的端点、非重叠、标签互斥与无环规则。</w:t>
      </w:r>
    </w:p>
    <w:p>
      <w:pPr>
        <w:spacing w:after="80"/>
      </w:pPr>
      <w:r>
        <w:t>取κC=κR=wC=wR=1、δ=0.20，则a(q)=2q−1。组件增量为(2×0.80−1)−(2×0.55−1)=0.50；关系旧效用为0.10−0.10=0，新效用为0.60+0.40=1.00，故ΔΦR=1.00、ΔΦ=1.50。两个分项非负，总增量严格超过0.20。删除r1、r2和加入r3、r4共计dR=4。若剩余预算为组件4、关系8，提交后分别为2、4；仅在全部复核通过后一次性提交C′和R′。</w:t>
      </w:r>
    </w:p>
    <w:p>
      <w:pPr>
        <w:pStyle w:val="Caption"/>
        <w:keepNext/>
        <w:spacing w:after="80"/>
        <w:ind w:firstLine="0"/>
        <w:jc w:val="center"/>
      </w:pPr>
      <w:r>
        <w:rPr>
          <w:rFonts w:ascii="Arial Unicode MS" w:hAnsi="Arial Unicode MS" w:eastAsia="Arial Unicode MS"/>
        </w:rPr>
        <w:t>表4-2 同一闭合事务的接受与拒绝</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528"/>
        <w:gridCol w:w="2304"/>
        <w:gridCol w:w="2174"/>
      </w:tblGrid>
      <w:tr>
        <w:trPr>
          <w:cantSplit/>
          <w:tblHeader/>
        </w:trPr>
        <w:tc>
          <w:tcPr>
            <w:tcW w:type="dxa" w:w="1656"/>
            <w:vAlign w:val="center"/>
            <w:tcMar>
              <w:top w:w="65" w:type="dxa"/>
              <w:bottom w:w="65" w:type="dxa"/>
              <w:left w:w="65" w:type="dxa"/>
              <w:right w:w="65" w:type="dxa"/>
            </w:tcMar>
            <w:shd w:fill="E7E6E6"/>
          </w:tcPr>
          <w:p>
            <w:pPr>
              <w:spacing w:after="0" w:line="259" w:lineRule="auto"/>
              <w:ind w:firstLine="0"/>
              <w:jc w:val="center"/>
            </w:pPr>
            <w:r>
              <w:rPr>
                <w:b/>
                <w:sz w:val="18"/>
              </w:rPr>
              <w:t>情形</w:t>
            </w:r>
          </w:p>
        </w:tc>
        <w:tc>
          <w:tcPr>
            <w:tcW w:type="dxa" w:w="3528"/>
            <w:vAlign w:val="center"/>
            <w:tcMar>
              <w:top w:w="65" w:type="dxa"/>
              <w:bottom w:w="65" w:type="dxa"/>
              <w:left w:w="65" w:type="dxa"/>
              <w:right w:w="65" w:type="dxa"/>
            </w:tcMar>
            <w:shd w:fill="E7E6E6"/>
          </w:tcPr>
          <w:p>
            <w:pPr>
              <w:spacing w:after="0" w:line="259" w:lineRule="auto"/>
              <w:ind w:firstLine="0"/>
              <w:jc w:val="center"/>
            </w:pPr>
            <w:r>
              <w:rPr>
                <w:b/>
                <w:sz w:val="18"/>
              </w:rPr>
              <w:t>输入变化</w:t>
            </w:r>
          </w:p>
        </w:tc>
        <w:tc>
          <w:tcPr>
            <w:tcW w:type="dxa" w:w="2304"/>
            <w:vAlign w:val="center"/>
            <w:tcMar>
              <w:top w:w="65" w:type="dxa"/>
              <w:bottom w:w="65" w:type="dxa"/>
              <w:left w:w="65" w:type="dxa"/>
              <w:right w:w="65" w:type="dxa"/>
            </w:tcMar>
            <w:shd w:fill="E7E6E6"/>
          </w:tcPr>
          <w:p>
            <w:pPr>
              <w:spacing w:after="0" w:line="259" w:lineRule="auto"/>
              <w:ind w:firstLine="0"/>
              <w:jc w:val="center"/>
            </w:pPr>
            <w:r>
              <w:rPr>
                <w:b/>
                <w:sz w:val="18"/>
              </w:rPr>
              <w:t>检查结果</w:t>
            </w:r>
          </w:p>
        </w:tc>
        <w:tc>
          <w:tcPr>
            <w:tcW w:type="dxa" w:w="2174"/>
            <w:vAlign w:val="center"/>
            <w:tcMar>
              <w:top w:w="65" w:type="dxa"/>
              <w:bottom w:w="65" w:type="dxa"/>
              <w:left w:w="65" w:type="dxa"/>
              <w:right w:w="65" w:type="dxa"/>
            </w:tcMar>
            <w:shd w:fill="E7E6E6"/>
          </w:tcPr>
          <w:p>
            <w:pPr>
              <w:spacing w:after="0" w:line="259" w:lineRule="auto"/>
              <w:ind w:firstLine="0"/>
              <w:jc w:val="center"/>
            </w:pPr>
            <w:r>
              <w:rPr>
                <w:b/>
                <w:sz w:val="18"/>
              </w:rPr>
              <w:t>返回与编辑账本</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接受构造</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使用表4-1的全部分数</w:t>
            </w:r>
          </w:p>
        </w:tc>
        <w:tc>
          <w:tcPr>
            <w:tcW w:type="dxa" w:w="2304"/>
            <w:vAlign w:val="center"/>
            <w:tcMar>
              <w:top w:w="65" w:type="dxa"/>
              <w:bottom w:w="65" w:type="dxa"/>
              <w:left w:w="65" w:type="dxa"/>
              <w:right w:w="65" w:type="dxa"/>
            </w:tcMar>
          </w:tcPr>
          <w:p>
            <w:pPr>
              <w:spacing w:after="0" w:line="259" w:lineRule="auto"/>
              <w:ind w:firstLine="0"/>
              <w:jc w:val="left"/>
            </w:pPr>
            <w:r>
              <w:rPr>
                <w:b w:val="0"/>
                <w:sz w:val="18"/>
              </w:rPr>
              <w:t>ΔC=0.50 ΔR=1.00 总计1.50</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原子提交 累计增加C=2 R=4</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缺分构造</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r4没有有效分数</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事务空间评分不齐备 不把缺分设为0</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拒绝并保持原图 语义编辑不增加</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关系分项下降构造</w:t>
            </w:r>
          </w:p>
        </w:tc>
        <w:tc>
          <w:tcPr>
            <w:tcW w:type="dxa" w:w="3528"/>
            <w:vAlign w:val="center"/>
            <w:tcMar>
              <w:top w:w="65" w:type="dxa"/>
              <w:bottom w:w="65" w:type="dxa"/>
              <w:left w:w="65" w:type="dxa"/>
              <w:right w:w="65" w:type="dxa"/>
            </w:tcMar>
          </w:tcPr>
          <w:p>
            <w:pPr>
              <w:spacing w:after="0" w:line="259" w:lineRule="auto"/>
              <w:ind w:firstLine="0"/>
              <w:jc w:val="left"/>
            </w:pPr>
            <w:r>
              <w:rPr>
                <w:b w:val="0"/>
                <w:sz w:val="18"/>
              </w:rPr>
              <w:t>r1 r2 r3改为q=0.60 r4改为0.40</w:t>
            </w:r>
          </w:p>
        </w:tc>
        <w:tc>
          <w:tcPr>
            <w:tcW w:type="dxa" w:w="2304"/>
            <w:vAlign w:val="center"/>
            <w:tcMar>
              <w:top w:w="65" w:type="dxa"/>
              <w:bottom w:w="65" w:type="dxa"/>
              <w:left w:w="65" w:type="dxa"/>
              <w:right w:w="65" w:type="dxa"/>
            </w:tcMar>
          </w:tcPr>
          <w:p>
            <w:pPr>
              <w:spacing w:after="0" w:line="259" w:lineRule="auto"/>
              <w:ind w:firstLine="0"/>
              <w:jc w:val="left"/>
            </w:pPr>
            <w:r>
              <w:rPr>
                <w:b w:val="0"/>
                <w:sz w:val="18"/>
              </w:rPr>
              <w:t>最优补全只选r3 ΔC=0.50 ΔR=−0.20 总计0.30</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即使总增量过门仍拒绝 原图不变</w:t>
            </w:r>
          </w:p>
        </w:tc>
      </w:tr>
    </w:tbl>
    <w:p>
      <w:pPr>
        <w:spacing w:after="80"/>
      </w:pPr>
      <w:r>
        <w:t>拒绝不退还已经消耗的候选评分、枚举或求解资源，但不增加语义编辑。构造金标另设为组件{a,b′,c}及关系{r3,r4}，只用于提交后的演示计数：组件TP/FP/FN从2/1/1变为3/0/0，关系从0/2/2变为2/0/0。金标未参与接受条件；由于金标本身也是构造的，这些变化不作为真实质量证据。</w:t>
      </w:r>
    </w:p>
    <w:p>
      <w:pPr>
        <w:spacing w:after="80"/>
      </w:pPr>
      <w:r>
        <w:t>小例子的状态、分数、预算及拒绝原因保存在transaction_examples.json，复算脚本为replay_ch03_ch04_examples.py。真实主流程仍须另交生成候选原始输出、冻结评分版本、求解器状态及证书、事务日志和事后计数。4.6.4节的CPU实际案例使用另一种规则，不附加本例分数冒充主方法执行。</w:t>
      </w:r>
    </w:p>
    <w:p>
      <w:pPr>
        <w:pStyle w:val="Heading2"/>
      </w:pPr>
      <w:r>
        <w:rPr>
          <w:rFonts w:ascii="Arial Unicode MS" w:hAnsi="Arial Unicode MS" w:eastAsia="Arial Unicode MS"/>
        </w:rPr>
        <w:t>4.5 求解算法及性质</w:t>
      </w:r>
    </w:p>
    <w:p>
      <w:pPr>
        <w:spacing w:after="80"/>
      </w:pPr>
      <w: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Heading3"/>
      </w:pPr>
      <w:r>
        <w:rPr>
          <w:rFonts w:ascii="Arial Unicode MS" w:hAnsi="Arial Unicode MS" w:eastAsia="Arial Unicode MS"/>
        </w:rPr>
        <w:t>4.5.1 局部求解与有界执行</w:t>
      </w:r>
    </w:p>
    <w:p>
      <w:pPr>
        <w:pStyle w:val="Normal"/>
        <w:spacing w:after="80"/>
      </w:pPr>
      <w:r>
        <w:t xml:space="preserve">局部路径采用“有界组件提议＋局部 ILP 关系补全”。对一个已经通过冲突检查的</w:t>
      </w:r>
      <w:r>
        <w:t xml:space="preserve"> </w:t>
      </w:r>
      <m:oMath>
        <m:r>
          <m:t>C</m:t>
        </m:r>
        <m:r>
          <m:rPr>
            <m:sty m:val="p"/>
          </m:rPr>
          <m:t>′</m:t>
        </m:r>
      </m:oMath>
      <w:r>
        <w:t xml:space="preserve">，令</w:t>
      </w:r>
      <w:r>
        <w:t xml:space="preserve"> </w:t>
      </w:r>
      <m:oMath>
        <m:sSub>
          <m:e>
            <m:r>
              <m:t>z</m:t>
            </m:r>
          </m:e>
          <m:sub>
            <m:r>
              <m:t>c</m:t>
            </m:r>
          </m:sub>
        </m:sSub>
        <m:r>
          <m:rPr>
            <m:sty m:val="p"/>
          </m:rPr>
          <m:t>=</m:t>
        </m:r>
        <m:r>
          <m:rPr>
            <m:sty m:val="p"/>
            <m:scr m:val="double-struck"/>
          </m:rPr>
          <m:t>I</m:t>
        </m:r>
        <m:d>
          <m:dPr>
            <m:begChr m:val="["/>
            <m:endChr m:val="]"/>
            <m:sepChr m:val=""/>
            <m:grow/>
          </m:dPr>
          <m:e>
            <m:r>
              <m:t>c</m:t>
            </m:r>
            <m:r>
              <m:rPr>
                <m:sty m:val="p"/>
              </m:rPr>
              <m:t>∈</m:t>
            </m:r>
            <m:r>
              <m:t>C</m:t>
            </m:r>
            <m:r>
              <m:rPr>
                <m:sty m:val="p"/>
              </m:rPr>
              <m:t>′</m:t>
            </m:r>
          </m:e>
        </m:d>
      </m:oMath>
      <w:r>
        <w:t xml:space="preserve"> </w:t>
      </w:r>
      <w:r>
        <w:t xml:space="preserve">为固定组件状态，</w:t>
      </w:r>
      <m:oMath>
        <m:sSub>
          <m:e>
            <m:r>
              <m:t>y</m:t>
            </m:r>
          </m:e>
          <m:sub>
            <m:r>
              <m:t>r</m:t>
            </m:r>
          </m:sub>
        </m:sSub>
        <m:r>
          <m:rPr>
            <m:sty m:val="p"/>
          </m:rPr>
          <m:t>∈</m:t>
        </m:r>
        <m:r>
          <m:rPr>
            <m:sty m:val="p"/>
          </m:rPr>
          <m:t>{</m:t>
        </m:r>
        <m:r>
          <m:t>0</m:t>
        </m:r>
        <m:r>
          <m:rPr>
            <m:sty m:val="p"/>
          </m:rPr>
          <m:t>,</m:t>
        </m:r>
        <m:r>
          <m:t>1</m:t>
        </m:r>
        <m:r>
          <m:rPr>
            <m:sty m:val="p"/>
          </m:rPr>
          <m:t>}</m:t>
        </m:r>
      </m:oMath>
      <w:r>
        <w:t xml:space="preserve"> </w:t>
      </w:r>
      <w:r>
        <w:t xml:space="preserve">表示关系候选</w:t>
      </w:r>
      <w:r>
        <w:t xml:space="preserve"> </w:t>
      </w:r>
      <m:oMath>
        <m:r>
          <m:t>r</m:t>
        </m:r>
        <m:r>
          <m:rPr>
            <m:sty m:val="p"/>
          </m:rPr>
          <m:t>∈</m:t>
        </m:r>
        <m:r>
          <m:t>P</m:t>
        </m:r>
      </m:oMath>
      <w:r>
        <w:t xml:space="preserve"> </w:t>
      </w:r>
      <w:r>
        <w:t xml:space="preserve">是否被选取。目标为</w:t>
      </w:r>
    </w:p>
    <w:p>
      <w:pPr>
        <w:pStyle w:val="Normal"/>
        <w:keepNext w:val="0"/>
        <w:keepLines/>
        <w:tabs>
          <w:tab w:pos="5046" w:val="center"/>
          <w:tab w:pos="10091" w:val="right"/>
        </w:tabs>
        <w:spacing w:line="276" w:lineRule="auto" w:before="120" w:after="120"/>
        <w:ind w:firstLine="0" w:left="0" w:right="0"/>
        <w:jc w:val="left"/>
      </w:pPr>
      <w:r>
        <w:rPr>
          <w:sz w:val="21"/>
        </w:rPr>
        <w:tab/>
      </w:r>
      <m:oMath>
        <m:limLow>
          <m:e>
            <m:r>
              <m:rPr>
                <m:sty m:val="p"/>
              </m:rPr>
              <m:t>max</m:t>
            </m:r>
          </m:e>
          <m:lim>
            <m:r>
              <m:t>y</m:t>
            </m:r>
          </m:lim>
        </m:limLow>
        <m:r>
          <m:t> </m:t>
        </m:r>
        <m:sSub>
          <m:e>
            <m:r>
              <m:t>w</m:t>
            </m:r>
          </m:e>
          <m:sub>
            <m:r>
              <m:t>C</m:t>
            </m:r>
          </m:sub>
        </m:sSub>
        <m:sSub>
          <m:e>
            <m:r>
              <m:t>Φ</m:t>
            </m:r>
          </m:e>
          <m:sub>
            <m:r>
              <m:t>C</m:t>
            </m:r>
          </m:sub>
        </m:sSub>
        <m:d>
          <m:dPr>
            <m:begChr m:val="("/>
            <m:endChr m:val=")"/>
            <m:sepChr m:val=""/>
            <m:grow/>
          </m:dPr>
          <m:e>
            <m:r>
              <m:t>C</m:t>
            </m:r>
            <m:r>
              <m:rPr>
                <m:sty m:val="p"/>
              </m:rPr>
              <m:t>′</m:t>
            </m:r>
          </m:e>
        </m:d>
        <m:r>
          <m:rPr>
            <m:sty m:val="p"/>
          </m:rPr>
          <m:t>+</m:t>
        </m:r>
        <m:sSub>
          <m:e>
            <m:r>
              <m:t>w</m:t>
            </m:r>
          </m:e>
          <m:sub>
            <m:r>
              <m:t>R</m:t>
            </m:r>
          </m:sub>
        </m:sSub>
        <m:nary>
          <m:naryPr>
            <m:chr m:val="∑"/>
            <m:limLoc m:val="undOvr"/>
            <m:subHide m:val="off"/>
            <m:supHide m:val="on"/>
          </m:naryPr>
          <m:sub>
            <m:r>
              <m:t>r</m:t>
            </m:r>
            <m:r>
              <m:rPr>
                <m:sty m:val="p"/>
              </m:rPr>
              <m:t>∈</m:t>
            </m:r>
            <m:r>
              <m:t>P</m:t>
            </m:r>
          </m:sub>
          <m:sup>
            <m:r>
              <m:t>​</m:t>
            </m:r>
          </m:sup>
          <m:e>
            <m:d>
              <m:dPr>
                <m:begChr m:val="("/>
                <m:endChr m:val=")"/>
                <m:sepChr m:val=""/>
                <m:grow/>
              </m:dPr>
              <m:e>
                <m:r>
                  <m:t>2</m:t>
                </m:r>
                <m:sSub>
                  <m:e>
                    <m:r>
                      <m:t>q</m:t>
                    </m:r>
                  </m:e>
                  <m:sub>
                    <m:r>
                      <m:t>R</m:t>
                    </m:r>
                  </m:sub>
                </m:sSub>
                <m:d>
                  <m:dPr>
                    <m:begChr m:val="("/>
                    <m:endChr m:val=")"/>
                    <m:sepChr m:val=""/>
                    <m:grow/>
                  </m:dPr>
                  <m:e>
                    <m:r>
                      <m:t>r</m:t>
                    </m:r>
                    <m:r>
                      <m:rPr>
                        <m:sty m:val="p"/>
                      </m:rPr>
                      <m:t>∣</m:t>
                    </m:r>
                    <m:r>
                      <m:t>x</m:t>
                    </m:r>
                  </m:e>
                </m:d>
                <m:r>
                  <m:rPr>
                    <m:sty m:val="p"/>
                  </m:rPr>
                  <m:t>−</m:t>
                </m:r>
                <m:sSub>
                  <m:e>
                    <m:r>
                      <m:t>κ</m:t>
                    </m:r>
                  </m:e>
                  <m:sub>
                    <m:r>
                      <m:t>R</m:t>
                    </m:r>
                  </m:sub>
                </m:sSub>
              </m:e>
            </m:d>
          </m:e>
        </m:nary>
        <m:sSub>
          <m:e>
            <m:r>
              <m:t>y</m:t>
            </m:r>
          </m:e>
          <m:sub>
            <m:r>
              <m:t>r</m:t>
            </m:r>
          </m:sub>
        </m:sSub>
        <m:r>
          <m:rPr>
            <m:sty m:val="p"/>
          </m:rPr>
          <m:t>.</m:t>
        </m:r>
      </m:oMath>
      <w:r>
        <w:rPr>
          <w:sz w:val="21"/>
        </w:rPr>
        <w:tab/>
      </w:r>
      <w:bookmarkStart w:id="2033" w:name="Equation_4_10"/>
      <w:r>
        <w:rPr>
          <w:sz w:val="21"/>
        </w:rPr>
        <w:t>（4-</w:t>
      </w:r>
      <w:fldSimple w:instr=" SEQ Equation4 \* ARABIC ">
        <w:r>
          <w:t>10</w:t>
        </w:r>
      </w:fldSimple>
      <w:r>
        <w:rPr>
          <w:sz w:val="21"/>
        </w:rPr>
        <w:t>）</w:t>
      </w:r>
      <w:bookmarkEnd w:id="2033"/>
    </w:p>
    <w:p>
      <w:pPr>
        <w:pStyle w:val="Normal"/>
        <w:spacing w:after="80"/>
      </w:pPr>
      <w:r>
        <w:t xml:space="preserve">组件项在单次求解中为常数，但在比较不同提议时不可省略。求解包含以下约束：</w:t>
      </w:r>
    </w:p>
    <w:p>
      <w:pPr>
        <w:pStyle w:val="Normal"/>
        <w:keepNext w:val="0"/>
        <w:keepLines/>
        <w:tabs>
          <w:tab w:pos="5046" w:val="center"/>
          <w:tab w:pos="10091" w:val="right"/>
        </w:tabs>
        <w:spacing w:line="276" w:lineRule="auto" w:before="120" w:after="120"/>
        <w:ind w:firstLine="0" w:left="0" w:right="0"/>
        <w:jc w:val="left"/>
      </w:pPr>
      <w:r>
        <w:rPr>
          <w:sz w:val="21"/>
        </w:rPr>
        <w:tab/>
      </w:r>
      <m:oMath>
        <m:eqArr>
          <m:e>
            <m:nary>
              <m:naryPr>
                <m:chr m:val="∑"/>
                <m:limLoc m:val="undOvr"/>
                <m:subHide m:val="off"/>
                <m:supHide m:val="on"/>
              </m:naryPr>
              <m:sub>
                <m:r>
                  <m:t>t</m:t>
                </m:r>
                <m:r>
                  <m:rPr>
                    <m:sty m:val="p"/>
                  </m:rPr>
                  <m:t>∈</m:t>
                </m:r>
                <m:r>
                  <m:rPr>
                    <m:sty m:val="p"/>
                    <m:scr m:val="script"/>
                  </m:rPr>
                  <m:t>T</m:t>
                </m:r>
                <m:d>
                  <m:dPr>
                    <m:begChr m:val="("/>
                    <m:endChr m:val=")"/>
                    <m:sepChr m:val=""/>
                    <m:grow/>
                  </m:dPr>
                  <m:e>
                    <m:r>
                      <m:t>u</m:t>
                    </m:r>
                  </m:e>
                </m:d>
              </m:sub>
              <m:sup>
                <m:r>
                  <m:t>​</m:t>
                </m:r>
              </m:sup>
              <m:e>
                <m:sSub>
                  <m:e>
                    <m:r>
                      <m:t>z</m:t>
                    </m:r>
                  </m:e>
                  <m:sub>
                    <m:d>
                      <m:dPr>
                        <m:begChr m:val="("/>
                        <m:endChr m:val=")"/>
                        <m:sepChr m:val=""/>
                        <m:grow/>
                      </m:dPr>
                      <m:e>
                        <m:r>
                          <m:t>u</m:t>
                        </m:r>
                        <m:r>
                          <m:rPr>
                            <m:sty m:val="p"/>
                          </m:rPr>
                          <m:t>,</m:t>
                        </m:r>
                        <m:r>
                          <m:t>t</m:t>
                        </m:r>
                      </m:e>
                    </m:d>
                  </m:sub>
                </m:sSub>
              </m:e>
            </m:nary>
            <m:r>
              <m:rPr>
                <m:sty m:val="p"/>
              </m:rPr>
              <m:t>≤</m:t>
            </m:r>
            <m:r>
              <m:t>1</m:t>
            </m:r>
            <m:r>
              <m:rPr>
                <m:sty m:val="p"/>
              </m:rPr>
              <m:t>,</m:t>
            </m:r>
          </m:e>
          <m:e>
            <m:sSub>
              <m:e>
                <m:r>
                  <m:t>z</m:t>
                </m:r>
              </m:e>
              <m:sub>
                <m:r>
                  <m:t>c</m:t>
                </m:r>
              </m:sub>
            </m:sSub>
            <m:r>
              <m:rPr>
                <m:sty m:val="p"/>
              </m:rPr>
              <m:t>+</m:t>
            </m:r>
            <m:sSub>
              <m:e>
                <m:r>
                  <m:t>z</m:t>
                </m:r>
              </m:e>
              <m:sub>
                <m:r>
                  <m:t>d</m:t>
                </m:r>
              </m:sub>
            </m:sSub>
            <m:r>
              <m:rPr>
                <m:sty m:val="p"/>
              </m:rPr>
              <m:t>≤</m:t>
            </m:r>
            <m:r>
              <m:t>1</m:t>
            </m:r>
            <m:r>
              <m:t> </m:t>
            </m:r>
            <m:r>
              <m:rPr>
                <m:nor/>
                <m:sty m:val="p"/>
              </m:rPr>
              <m:t>若 </m:t>
            </m:r>
            <m:r>
              <m:rPr>
                <m:sty m:val="p"/>
              </m:rPr>
              <m:t>Conflict</m:t>
            </m:r>
            <m:d>
              <m:dPr>
                <m:begChr m:val="("/>
                <m:endChr m:val=")"/>
                <m:sepChr m:val=""/>
                <m:grow/>
              </m:dPr>
              <m:e>
                <m:r>
                  <m:t>c</m:t>
                </m:r>
                <m:r>
                  <m:rPr>
                    <m:sty m:val="p"/>
                  </m:rPr>
                  <m:t>,</m:t>
                </m:r>
                <m:r>
                  <m:t>d</m:t>
                </m:r>
              </m:e>
            </m:d>
            <m:r>
              <m:rPr>
                <m:sty m:val="p"/>
              </m:rPr>
              <m:t>;</m:t>
            </m:r>
          </m:e>
          <m:e>
            <m:sSub>
              <m:e>
                <m:r>
                  <m:t>y</m:t>
                </m:r>
              </m:e>
              <m:sub>
                <m:r>
                  <m:t>r</m:t>
                </m:r>
              </m:sub>
            </m:sSub>
            <m:r>
              <m:rPr>
                <m:sty m:val="p"/>
              </m:rPr>
              <m:t>≤</m:t>
            </m:r>
            <m:sSub>
              <m:e>
                <m:r>
                  <m:t>z</m:t>
                </m:r>
              </m:e>
              <m:sub>
                <m:r>
                  <m:t>c</m:t>
                </m:r>
              </m:sub>
            </m:sSub>
            <m:r>
              <m:t> </m:t>
            </m:r>
            <m:r>
              <m:rPr>
                <m:sty m:val="p"/>
              </m:rPr>
              <m:t>∀</m:t>
            </m:r>
            <m:r>
              <m:t>c</m:t>
            </m:r>
            <m:r>
              <m:rPr>
                <m:sty m:val="p"/>
              </m:rPr>
              <m:t>∈</m:t>
            </m:r>
            <m:r>
              <m:rPr>
                <m:sty m:val="p"/>
              </m:rPr>
              <m:t>Ends</m:t>
            </m:r>
            <m:d>
              <m:dPr>
                <m:begChr m:val="("/>
                <m:endChr m:val=")"/>
                <m:sepChr m:val=""/>
                <m:grow/>
              </m:dPr>
              <m:e>
                <m:r>
                  <m:t>r</m:t>
                </m:r>
              </m:e>
            </m:d>
            <m:r>
              <m:rPr>
                <m:sty m:val="p"/>
              </m:rPr>
              <m:t>,</m:t>
            </m:r>
          </m:e>
          <m:e>
            <m:nary>
              <m:naryPr>
                <m:chr m:val="∑"/>
                <m:limLoc m:val="undOvr"/>
                <m:subHide m:val="off"/>
                <m:supHide m:val="on"/>
              </m:naryPr>
              <m:sub>
                <m:r>
                  <m:t>r</m:t>
                </m:r>
                <m:r>
                  <m:rPr>
                    <m:sty m:val="p"/>
                  </m:rPr>
                  <m:t>∈</m:t>
                </m:r>
                <m:sSub>
                  <m:e>
                    <m:r>
                      <m:t>Γ</m:t>
                    </m:r>
                  </m:e>
                  <m:sub>
                    <m:r>
                      <m:t>s</m:t>
                    </m:r>
                  </m:sub>
                </m:sSub>
              </m:sub>
              <m:sup>
                <m:r>
                  <m:t>​</m:t>
                </m:r>
              </m:sup>
              <m:e>
                <m:sSub>
                  <m:e>
                    <m:r>
                      <m:t>y</m:t>
                    </m:r>
                  </m:e>
                  <m:sub>
                    <m:r>
                      <m:t>r</m:t>
                    </m:r>
                  </m:sub>
                </m:sSub>
              </m:e>
            </m:nary>
            <m:r>
              <m:rPr>
                <m:sty m:val="p"/>
              </m:rPr>
              <m:t>≤</m:t>
            </m:r>
            <m:r>
              <m:t>1</m:t>
            </m:r>
            <m:r>
              <m:t> </m:t>
            </m:r>
            <m:r>
              <m:rPr>
                <m:sty m:val="p"/>
              </m:rPr>
              <m:t>∀</m:t>
            </m:r>
            <m:r>
              <m:t>s</m:t>
            </m:r>
            <m:r>
              <m:rPr>
                <m:sty m:val="p"/>
              </m:rPr>
              <m:t>;</m:t>
            </m:r>
          </m:e>
          <m:e>
            <m:sSub>
              <m:e>
                <m:r>
                  <m:t>y</m:t>
                </m:r>
              </m:e>
              <m:sub>
                <m:r>
                  <m:t>r</m:t>
                </m:r>
              </m:sub>
            </m:sSub>
            <m:r>
              <m:rPr>
                <m:sty m:val="p"/>
              </m:rPr>
              <m:t>=</m:t>
            </m:r>
            <m:r>
              <m:rPr>
                <m:sty m:val="p"/>
                <m:scr m:val="double-struck"/>
              </m:rPr>
              <m:t>I</m:t>
            </m:r>
            <m:d>
              <m:dPr>
                <m:begChr m:val="["/>
                <m:endChr m:val="]"/>
                <m:sepChr m:val=""/>
                <m:grow/>
              </m:dPr>
              <m:e>
                <m:r>
                  <m:t>r</m:t>
                </m:r>
                <m:r>
                  <m:rPr>
                    <m:sty m:val="p"/>
                  </m:rPr>
                  <m:t>∈</m:t>
                </m:r>
                <m:r>
                  <m:t>R</m:t>
                </m:r>
              </m:e>
            </m:d>
            <m:r>
              <m:t> </m:t>
            </m:r>
            <m:r>
              <m:rPr>
                <m:sty m:val="p"/>
              </m:rPr>
              <m:t>∀</m:t>
            </m:r>
            <m:r>
              <m:t>r</m:t>
            </m:r>
            <m:r>
              <m:rPr>
                <m:sty m:val="p"/>
              </m:rPr>
              <m:t>∉</m:t>
            </m:r>
            <m:sSub>
              <m:e>
                <m:r>
                  <m:t>P</m:t>
                </m:r>
              </m:e>
              <m:sub>
                <m:r>
                  <m:rPr>
                    <m:sty m:val="p"/>
                  </m:rPr>
                  <m:t>t</m:t>
                </m:r>
                <m:r>
                  <m:rPr>
                    <m:sty m:val="p"/>
                  </m:rPr>
                  <m:t>x</m:t>
                </m:r>
              </m:sub>
            </m:sSub>
            <m:r>
              <m:rPr>
                <m:sty m:val="p"/>
              </m:rPr>
              <m:t>,</m:t>
            </m:r>
          </m:e>
          <m:e>
            <m:r>
              <m:t>G</m:t>
            </m:r>
            <m:r>
              <m:rPr>
                <m:sty m:val="p"/>
              </m:rPr>
              <m:t>′</m:t>
            </m:r>
            <m:r>
              <m:rPr>
                <m:sty m:val="p"/>
              </m:rPr>
              <m:t>∈</m:t>
            </m:r>
            <m:sSub>
              <m:e>
                <m:r>
                  <m:rPr>
                    <m:sty m:val="p"/>
                    <m:scr m:val="script"/>
                  </m:rPr>
                  <m:t>G</m:t>
                </m:r>
              </m:e>
              <m:sub>
                <m:r>
                  <m:rPr>
                    <m:sty m:val="p"/>
                    <m:scr m:val="script"/>
                  </m:rPr>
                  <m:t>A</m:t>
                </m:r>
              </m:sub>
            </m:sSub>
            <m:r>
              <m:rPr>
                <m:sty m:val="p"/>
              </m:rPr>
              <m:t>.</m:t>
            </m:r>
          </m:e>
        </m:eqArr>
      </m:oMath>
      <w:r>
        <w:rPr>
          <w:sz w:val="21"/>
        </w:rPr>
        <w:tab/>
      </w:r>
      <w:bookmarkStart w:id="2034" w:name="Equation_4_11"/>
      <w:r>
        <w:rPr>
          <w:sz w:val="21"/>
        </w:rPr>
        <w:t>（4-</w:t>
      </w:r>
      <w:fldSimple w:instr=" SEQ Equation4 \* ARABIC ">
        <w:r>
          <w:t>11</w:t>
        </w:r>
      </w:fldSimple>
      <w:r>
        <w:rPr>
          <w:sz w:val="21"/>
        </w:rPr>
        <w:t>）</w:t>
      </w:r>
      <w:bookmarkEnd w:id="2034"/>
    </w:p>
    <w:p>
      <w:pPr>
        <w:pStyle w:val="Normal"/>
        <w:spacing w:after="80"/>
      </w:pPr>
      <m:oMath>
        <m:sSub>
          <m:e>
            <m:r>
              <m:t>Γ</m:t>
            </m:r>
          </m:e>
          <m:sub>
            <m:r>
              <m:t>s</m:t>
            </m:r>
          </m:sub>
        </m:sSub>
      </m:oMath>
      <w:r>
        <w:t xml:space="preserve"> </w:t>
      </w:r>
      <w:r>
        <w:t xml:space="preserve">表示同一关系槽位的互斥标签候选，全为零对应 NONE；</w:t>
      </w:r>
      <m:oMath>
        <m:sSub>
          <m:e>
            <m:r>
              <m:rPr>
                <m:sty m:val="p"/>
                <m:scr m:val="script"/>
              </m:rPr>
              <m:t>G</m:t>
            </m:r>
          </m:e>
          <m:sub>
            <m:r>
              <m:rPr>
                <m:sty m:val="p"/>
                <m:scr m:val="script"/>
              </m:rPr>
              <m:t>A</m:t>
            </m:r>
          </m:sub>
        </m:sSub>
      </m:oMath>
      <w:r>
        <w:t xml:space="preserve"> </w:t>
      </w:r>
      <w:r>
        <w:t xml:space="preserve">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t xml:space="preserve"> </w:t>
      </w:r>
      <m:oMath>
        <m:r>
          <m:t>0</m:t>
        </m:r>
        <m:r>
          <m:rPr>
            <m:sty m:val="p"/>
          </m:rPr>
          <m:t>≤</m:t>
        </m:r>
        <m:sSub>
          <m:e>
            <m:r>
              <m:t>o</m:t>
            </m:r>
          </m:e>
          <m:sub>
            <m:r>
              <m:t>c</m:t>
            </m:r>
          </m:sub>
        </m:sSub>
        <m:r>
          <m:rPr>
            <m:sty m:val="p"/>
          </m:rPr>
          <m:t>≤</m:t>
        </m:r>
        <m:r>
          <m:t>M</m:t>
        </m:r>
        <m:r>
          <m:rPr>
            <m:sty m:val="p"/>
          </m:rPr>
          <m:t>−</m:t>
        </m:r>
        <m:r>
          <m:t>1</m:t>
        </m:r>
      </m:oMath>
      <w:r>
        <w:t xml:space="preserve">、</w:t>
      </w:r>
      <m:oMath>
        <m:r>
          <m:t>M</m:t>
        </m:r>
        <m:r>
          <m:rPr>
            <m:sty m:val="p"/>
          </m:rPr>
          <m:t>=</m:t>
        </m:r>
        <m:d>
          <m:dPr>
            <m:begChr m:val="|"/>
            <m:endChr m:val="|"/>
            <m:sepChr m:val=""/>
            <m:grow/>
          </m:dPr>
          <m:e>
            <m:r>
              <m:rPr>
                <m:sty m:val="p"/>
                <m:scr m:val="script"/>
              </m:rPr>
              <m:t>V</m:t>
            </m:r>
          </m:e>
        </m:d>
      </m:oMath>
      <w:r>
        <w:t xml:space="preserve">，对全部候选二元边加入</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o</m:t>
            </m:r>
          </m:e>
          <m:sub>
            <m:r>
              <m:t>v</m:t>
            </m:r>
          </m:sub>
        </m:sSub>
        <m:r>
          <m:rPr>
            <m:sty m:val="p"/>
          </m:rPr>
          <m:t>≥</m:t>
        </m:r>
        <m:sSub>
          <m:e>
            <m:r>
              <m:t>o</m:t>
            </m:r>
          </m:e>
          <m:sub>
            <m:r>
              <m:t>u</m:t>
            </m:r>
          </m:sub>
        </m:sSub>
        <m:r>
          <m:rPr>
            <m:sty m:val="p"/>
          </m:rPr>
          <m:t>+</m:t>
        </m:r>
        <m:r>
          <m:t>1</m:t>
        </m:r>
        <m:r>
          <m:rPr>
            <m:sty m:val="p"/>
          </m:rPr>
          <m:t>−</m:t>
        </m:r>
        <m:r>
          <m:t>M</m:t>
        </m:r>
        <m:d>
          <m:dPr>
            <m:begChr m:val="("/>
            <m:endChr m:val=")"/>
            <m:sepChr m:val=""/>
            <m:grow/>
          </m:dPr>
          <m:e>
            <m:r>
              <m:t>1</m:t>
            </m:r>
            <m:r>
              <m:rPr>
                <m:sty m:val="p"/>
              </m:rPr>
              <m:t>−</m:t>
            </m:r>
            <m:sSub>
              <m:e>
                <m:r>
                  <m:t>y</m:t>
                </m:r>
              </m:e>
              <m:sub>
                <m:d>
                  <m:dPr>
                    <m:begChr m:val="("/>
                    <m:endChr m:val=")"/>
                    <m:sepChr m:val=""/>
                    <m:grow/>
                  </m:dPr>
                  <m:e>
                    <m:r>
                      <m:t>u</m:t>
                    </m:r>
                    <m:r>
                      <m:rPr>
                        <m:sty m:val="p"/>
                      </m:rPr>
                      <m:t>,</m:t>
                    </m:r>
                    <m:r>
                      <m:t>v</m:t>
                    </m:r>
                    <m:r>
                      <m:rPr>
                        <m:sty m:val="p"/>
                      </m:rPr>
                      <m:t>,</m:t>
                    </m:r>
                    <m:r>
                      <m:rPr>
                        <m:sty m:val="p"/>
                      </m:rPr>
                      <m:t>ℓ</m:t>
                    </m:r>
                  </m:e>
                </m:d>
              </m:sub>
            </m:sSub>
          </m:e>
        </m:d>
        <m:r>
          <m:rPr>
            <m:sty m:val="p"/>
          </m:rPr>
          <m:t>.</m:t>
        </m:r>
      </m:oMath>
      <w:r>
        <w:rPr>
          <w:sz w:val="21"/>
        </w:rPr>
        <w:tab/>
      </w:r>
      <w:bookmarkStart w:id="2035" w:name="Equation_4_12"/>
      <w:r>
        <w:rPr>
          <w:sz w:val="21"/>
        </w:rPr>
        <w:t>（4-</w:t>
      </w:r>
      <w:fldSimple w:instr=" SEQ Equation4 \* ARABIC ">
        <w:r>
          <w:t>12</w:t>
        </w:r>
      </w:fldSimple>
      <w:r>
        <w:rPr>
          <w:sz w:val="21"/>
        </w:rPr>
        <w:t>）</w:t>
      </w:r>
      <w:bookmarkEnd w:id="2035"/>
    </w:p>
    <w:p>
      <w:pPr>
        <w:pStyle w:val="Normal"/>
        <w:spacing w:after="80"/>
      </w:pPr>
      <w:r>
        <w:t xml:space="preserve">该式同时覆盖固定外部边；超边在协议要求时对各源成员到目标的方向分别加入相同约束。不要求无环时不额外施加该限制。对于 CDCP 的源范围规则，在固定的</w:t>
      </w:r>
      <w:r>
        <w:t xml:space="preserve"> </w:t>
      </w:r>
      <m:oMath>
        <m:r>
          <m:t>C</m:t>
        </m:r>
        <m:r>
          <m:rPr>
            <m:sty m:val="p"/>
          </m:rPr>
          <m:t>′</m:t>
        </m:r>
      </m:oMath>
      <w:r>
        <w:t xml:space="preserve"> </w:t>
      </w:r>
      <w:r>
        <w:t xml:space="preserve">上计算候选超边是否合法，不合法者强制</w:t>
      </w:r>
      <w:r>
        <w:t xml:space="preserve"> </w:t>
      </w:r>
      <m:oMath>
        <m:sSub>
          <m:e>
            <m:r>
              <m:t>y</m:t>
            </m:r>
          </m:e>
          <m:sub>
            <m:r>
              <m:t>h</m:t>
            </m:r>
          </m:sub>
        </m:sSub>
        <m:r>
          <m:rPr>
            <m:sty m:val="p"/>
          </m:rPr>
          <m:t>=</m:t>
        </m:r>
        <m:r>
          <m:t>0</m:t>
        </m:r>
      </m:oMath>
      <w:r>
        <w:t xml:space="preserve">，包括因此失效的事务外超边；若这与外部固定约束冲突，当前事务不可行，必须扩大事务或拒绝。</w:t>
      </w:r>
    </w:p>
    <w:p>
      <w:pPr>
        <w:pStyle w:val="Normal"/>
        <w:spacing w:after="80"/>
      </w:pPr>
      <w:r>
        <w:t xml:space="preserve">分项效用门与编辑预算同样纳入 ILP。设</w:t>
      </w:r>
      <w:r>
        <w:t xml:space="preserve"> </w:t>
      </w:r>
      <m:oMath>
        <m:sSubSup>
          <m:e>
            <m:r>
              <m:t>y</m:t>
            </m:r>
          </m:e>
          <m:sub>
            <m:r>
              <m:t>r</m:t>
            </m:r>
          </m:sub>
          <m:sup>
            <m:r>
              <m:t>0</m:t>
            </m:r>
          </m:sup>
        </m:sSubSup>
        <m:r>
          <m:rPr>
            <m:sty m:val="p"/>
          </m:rPr>
          <m:t>=</m:t>
        </m:r>
        <m:r>
          <m:rPr>
            <m:sty m:val="p"/>
            <m:scr m:val="double-struck"/>
          </m:rPr>
          <m:t>I</m:t>
        </m:r>
        <m:d>
          <m:dPr>
            <m:begChr m:val="["/>
            <m:endChr m:val="]"/>
            <m:sepChr m:val=""/>
            <m:grow/>
          </m:dPr>
          <m:e>
            <m:r>
              <m:t>r</m:t>
            </m:r>
            <m:r>
              <m:rPr>
                <m:sty m:val="p"/>
              </m:rPr>
              <m:t>∈</m:t>
            </m:r>
            <m:r>
              <m:t>R</m:t>
            </m:r>
          </m:e>
        </m:d>
      </m:oMath>
      <w:r>
        <w:t xml:space="preserve">，关系编辑成本可线性写为</w:t>
      </w:r>
    </w:p>
    <w:p>
      <w:pPr>
        <w:pStyle w:val="Normal"/>
        <w:keepNext w:val="0"/>
        <w:keepLines/>
        <w:tabs>
          <w:tab w:pos="5046" w:val="center"/>
          <w:tab w:pos="10091" w:val="right"/>
        </w:tabs>
        <w:spacing w:line="276" w:lineRule="auto" w:before="120" w:after="120"/>
        <w:ind w:firstLine="0" w:left="0" w:right="0"/>
        <w:jc w:val="left"/>
      </w:pPr>
      <w:r>
        <w:rPr>
          <w:sz w:val="21"/>
        </w:rPr>
        <w:tab/>
      </w:r>
      <m:oMath>
        <m:sSub>
          <m:e>
            <m:r>
              <m:t>d</m:t>
            </m:r>
          </m:e>
          <m:sub>
            <m:r>
              <m:t>R</m:t>
            </m:r>
          </m:sub>
        </m:sSub>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1</m:t>
            </m:r>
          </m:sub>
          <m:sup>
            <m:r>
              <m:t>​</m:t>
            </m:r>
          </m:sup>
          <m:e>
            <m:d>
              <m:dPr>
                <m:begChr m:val="("/>
                <m:endChr m:val=")"/>
                <m:sepChr m:val=""/>
                <m:grow/>
              </m:dPr>
              <m:e>
                <m:r>
                  <m:t>1</m:t>
                </m:r>
                <m:r>
                  <m:rPr>
                    <m:sty m:val="p"/>
                  </m:rPr>
                  <m:t>−</m:t>
                </m:r>
                <m:sSub>
                  <m:e>
                    <m:r>
                      <m:t>y</m:t>
                    </m:r>
                  </m:e>
                  <m:sub>
                    <m:r>
                      <m:t>r</m:t>
                    </m:r>
                  </m:sub>
                </m:sSub>
              </m:e>
            </m:d>
          </m:e>
        </m:nary>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0</m:t>
            </m:r>
          </m:sub>
          <m:sup>
            <m:r>
              <m:t>​</m:t>
            </m:r>
          </m:sup>
          <m:e>
            <m:sSub>
              <m:e>
                <m:r>
                  <m:t>y</m:t>
                </m:r>
              </m:e>
              <m:sub>
                <m:r>
                  <m:t>r</m:t>
                </m:r>
              </m:sub>
            </m:sSub>
          </m:e>
        </m:nary>
        <m:r>
          <m:rPr>
            <m:sty m:val="p"/>
          </m:rPr>
          <m:t>.</m:t>
        </m:r>
      </m:oMath>
      <w:r>
        <w:rPr>
          <w:sz w:val="21"/>
        </w:rPr>
        <w:tab/>
      </w:r>
      <w:bookmarkStart w:id="2036" w:name="Equation_4_13"/>
      <w:r>
        <w:rPr>
          <w:sz w:val="21"/>
        </w:rPr>
        <w:t>（4-</w:t>
      </w:r>
      <w:fldSimple w:instr=" SEQ Equation4 \* ARABIC ">
        <w:r>
          <w:t>13</w:t>
        </w:r>
      </w:fldSimple>
      <w:r>
        <w:rPr>
          <w:sz w:val="21"/>
        </w:rPr>
        <w:t>）</w:t>
      </w:r>
      <w:bookmarkEnd w:id="2036"/>
    </w:p>
    <w:p>
      <w:pPr>
        <w:pStyle w:val="Normal"/>
        <w:spacing w:after="80"/>
      </w:pPr>
      <w:r>
        <w:t xml:space="preserve">将</w:t>
      </w:r>
      <w:r>
        <w:t xml:space="preserve"> </w:t>
      </w:r>
      <m:oMath>
        <m:sSub>
          <m:e>
            <m:r>
              <m:t>d</m:t>
            </m:r>
          </m:e>
          <m:sub>
            <m:r>
              <m:t>C</m:t>
            </m:r>
          </m:sub>
        </m:sSub>
        <m:r>
          <m:rPr>
            <m:sty m:val="p"/>
          </m:rPr>
          <m:t>,</m:t>
        </m:r>
        <m:sSub>
          <m:e>
            <m:r>
              <m:t>d</m:t>
            </m:r>
          </m:e>
          <m:sub>
            <m:r>
              <m:t>R</m:t>
            </m:r>
          </m:sub>
        </m:sSub>
      </m:oMath>
      <w:r>
        <w:t xml:space="preserve"> </w:t>
      </w:r>
      <w:r>
        <w:t xml:space="preserve">限制在各自剩余预算内，并约束</w:t>
      </w:r>
      <w:r>
        <w:t xml:space="preserve"> </w:t>
      </w:r>
      <m:oMath>
        <m:r>
          <m:t>Δ</m:t>
        </m:r>
        <m:sSub>
          <m:e>
            <m:r>
              <m:t>Φ</m:t>
            </m:r>
          </m:e>
          <m:sub>
            <m:r>
              <m:t>C</m:t>
            </m:r>
          </m:sub>
        </m:sSub>
        <m:r>
          <m:rPr>
            <m:sty m:val="p"/>
          </m:rPr>
          <m:t>,</m:t>
        </m:r>
        <m:r>
          <m:t>Δ</m:t>
        </m:r>
        <m:sSub>
          <m:e>
            <m:r>
              <m:t>Φ</m:t>
            </m:r>
          </m:e>
          <m:sub>
            <m:r>
              <m:t>R</m:t>
            </m:r>
          </m:sub>
        </m:sSub>
        <m:r>
          <m:rPr>
            <m:sty m:val="p"/>
          </m:rPr>
          <m:t>≥</m:t>
        </m:r>
        <m:r>
          <m:t>0</m:t>
        </m:r>
      </m:oMath>
      <w:r>
        <w:t xml:space="preserve">。严格总效用门在数值实现中采用固定正间隔及比较容差，提交前再次验证</w:t>
      </w:r>
      <w:r>
        <w:t xml:space="preserve"> </w:t>
      </w:r>
      <m:oMath>
        <m:r>
          <m:t>Δ</m:t>
        </m:r>
        <m:r>
          <m:t>Φ</m:t>
        </m:r>
        <m:r>
          <m:rPr>
            <m:sty m:val="p"/>
          </m:rPr>
          <m:t>&gt;</m:t>
        </m:r>
        <m:r>
          <m:t>δ</m:t>
        </m:r>
      </m:oMath>
      <w:r>
        <w:t xml:space="preserve">。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数值容差和线程确定性纳入附录B的验收记录。</w:t>
      </w:r>
    </w:p>
    <w:p>
      <w:pPr>
        <w:pStyle w:val="Normal"/>
        <w:spacing w:after="80"/>
      </w:pPr>
      <w:r>
        <w:t xml:space="preserve">提议分为纯关系、插入、删除、替换、拆分和合并六类。纯关系枚举当前端点存在且合法的全部槽位，包含未选槽位；二元反向仅在冻结正逆槽位都存在且当前合法时共同进入</w:t>
      </w:r>
      <m:oMath>
        <m:sSub>
          <m:e>
            <m:r>
              <m:t>S</m:t>
            </m:r>
          </m:e>
          <m:sub>
            <m:r>
              <m:t>R</m:t>
            </m:r>
          </m:sub>
        </m:sSub>
      </m:oMath>
      <w:r>
        <w:t xml:space="preserve">；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endChr m:val=")"/>
            <m:sepChr m:val=""/>
            <m:grow/>
          </m:dPr>
          <m:e>
            <m:d>
              <m:dPr>
                <m:begChr m:val="|"/>
                <m:endChr m:val="|"/>
                <m:sepChr m:val=""/>
                <m:grow/>
              </m:dPr>
              <m:e>
                <m:r>
                  <m:t>D</m:t>
                </m:r>
              </m:e>
            </m:d>
            <m:r>
              <m:rPr>
                <m:sty m:val="p"/>
              </m:rPr>
              <m:t>,</m:t>
            </m:r>
            <m:d>
              <m:dPr>
                <m:begChr m:val="|"/>
                <m:endChr m:val="|"/>
                <m:sepChr m:val=""/>
                <m:grow/>
              </m:dPr>
              <m:e>
                <m:r>
                  <m:t>B</m:t>
                </m:r>
              </m:e>
            </m:d>
          </m:e>
        </m:d>
      </m:oMath>
      <w:r>
        <w:t xml:space="preserve">重新核对形态、跨度条件及三对象上限。不符合五种声明形态的提议不进入主邻域；名义插入若变成</w:t>
      </w:r>
      <m:oMath>
        <m:r>
          <m:t>2</m:t>
        </m:r>
        <m:r>
          <m:rPr>
            <m:sty m:val="p"/>
          </m:rPr>
          <m:t>→</m:t>
        </m:r>
        <m:r>
          <m:t>1</m:t>
        </m:r>
      </m:oMath>
      <w:r>
        <w:t xml:space="preserve">，单对象对照须拒绝。端点变化产生的旧入边、出边及完整超边全部删除，新增完整关系逐项重新计费。动作和边界条件的验收记录见附录B.4。</w:t>
      </w:r>
    </w:p>
    <w:p>
      <w:pPr>
        <w:pStyle w:val="Normal"/>
        <w:spacing w:after="80"/>
      </w:pPr>
      <w:r>
        <w:t xml:space="preserve">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Normal"/>
        <w:spacing w:after="80"/>
      </w:pPr>
      <w:r>
        <w:t xml:space="preserve">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Normal"/>
        <w:keepNext/>
        <w:spacing w:after="80"/>
        <w:ind w:firstLine="0"/>
        <w:jc w:val="center"/>
      </w:pPr>
      <w:r>
        <w:t xml:space="preserve">算法4-1 多候选驱动的依赖闭合修正</w:t>
      </w:r>
    </w:p>
    <w:p>
      <w:pPr>
        <w:pStyle w:val="SourceCode"/>
      </w:pPr>
      <w:r>
        <w:t>输入：原文、生成候选、冻结配置和有限资源清单。</w:t>
      </w:r>
    </w:p>
    <w:p>
      <w:pPr>
        <w:pStyle w:val="SourceCode"/>
      </w:pPr>
      <w:r>
        <w:t>输出：最后完整合法图或明确初始化失败，以及轨迹。</w:t>
      </w:r>
    </w:p>
    <w:p>
      <w:pPr>
        <w:pStyle w:val="SourceCode"/>
      </w:pPr>
      <w:r>
        <w:t>初始化预算；执行MCR选择及共用合法化，计入全部成本</w:t>
      </w:r>
    </w:p>
    <w:p>
      <w:pPr>
        <w:pStyle w:val="SourceCode"/>
      </w:pPr>
      <w:r>
        <w:t>if 初始化失败 then</w:t>
      </w:r>
    </w:p>
    <w:p>
      <w:pPr>
        <w:pStyle w:val="SourceCode"/>
      </w:pPr>
      <w:r>
        <w:t xml:space="preserve">  return 明确失败状态</w:t>
      </w:r>
    </w:p>
    <w:p>
      <w:pPr>
        <w:pStyle w:val="SourceCode"/>
      </w:pPr>
      <w:r>
        <w:t>end if</w:t>
      </w:r>
    </w:p>
    <w:p>
      <w:pPr>
        <w:pStyle w:val="SourceCode"/>
      </w:pPr>
      <w:r>
        <w:t>冻结候选、对象分与效用系数；G ← G0</w:t>
      </w:r>
    </w:p>
    <w:p>
      <w:pPr>
        <w:pStyle w:val="SourceCode"/>
      </w:pPr>
      <w:r>
        <w:t>for 每一轮，在轮数及全程预算内 do</w:t>
      </w:r>
    </w:p>
    <w:p>
      <w:pPr>
        <w:pStyle w:val="SourceCode"/>
      </w:pPr>
      <w:r>
        <w:t xml:space="preserve">  重置本轮计数；首次进入状态才建队列，否则续用游标与缓存</w:t>
      </w:r>
    </w:p>
    <w:p>
      <w:pPr>
        <w:pStyle w:val="SourceCode"/>
      </w:pPr>
      <w:r>
        <w:t xml:space="preserve">  while 本轮与全程尚有尝试及接受名额，且评估资源允许 do</w:t>
      </w:r>
    </w:p>
    <w:p>
      <w:pPr>
        <w:pStyle w:val="SourceCode"/>
      </w:pPr>
      <w:r>
        <w:t xml:space="preserve">    按剩余尝试名额取至多批长个提议Q；Gnoop ← G；H ← ∅</w:t>
      </w:r>
    </w:p>
    <w:p>
      <w:pPr>
        <w:pStyle w:val="SourceCode"/>
      </w:pPr>
      <w:r>
        <w:t xml:space="preserve">    for Q中每个未评估提议，在评估资源内 do</w:t>
      </w:r>
    </w:p>
    <w:p>
      <w:pPr>
        <w:pStyle w:val="SourceCode"/>
      </w:pPr>
      <w:r>
        <w:t xml:space="preserve">      外层尝试加1；调用算法4-2，登记求解、失败及实际开销</w:t>
      </w:r>
    </w:p>
    <w:p>
      <w:pPr>
        <w:pStyle w:val="SourceCode"/>
      </w:pPr>
      <w:r>
        <w:t xml:space="preserve">      将通过复核的完整状态加入H</w:t>
      </w:r>
    </w:p>
    <w:p>
      <w:pPr>
        <w:pStyle w:val="SourceCode"/>
      </w:pPr>
      <w:r>
        <w:t xml:space="preserve">    end for</w:t>
      </w:r>
    </w:p>
    <w:p>
      <w:pPr>
        <w:pStyle w:val="SourceCode"/>
      </w:pPr>
      <w:r>
        <w:t xml:space="preserve">    if H非空 then</w:t>
      </w:r>
    </w:p>
    <w:p>
      <w:pPr>
        <w:pStyle w:val="SourceCode"/>
      </w:pPr>
      <w:r>
        <w:t xml:space="preserve">      按总效用、较少编辑、语义键择优</w:t>
      </w:r>
    </w:p>
    <w:p>
      <w:pPr>
        <w:pStyle w:val="SourceCode"/>
      </w:pPr>
      <w:r>
        <w:t xml:space="preserve">      复核接受名额、编辑及提交资源；不再要求剩余尝试名额</w:t>
      </w:r>
    </w:p>
    <w:p>
      <w:pPr>
        <w:pStyle w:val="SourceCode"/>
      </w:pPr>
      <w:r>
        <w:t xml:space="preserve">      提交条件不足则保留Gnoop，记录原因并停止</w:t>
      </w:r>
    </w:p>
    <w:p>
      <w:pPr>
        <w:pStyle w:val="SourceCode"/>
      </w:pPr>
      <w:r>
        <w:t xml:space="preserve">      原子提交；失败则完整恢复Gnoop并停止</w:t>
      </w:r>
    </w:p>
    <w:p>
      <w:pPr>
        <w:pStyle w:val="SourceCode"/>
      </w:pPr>
      <w:r>
        <w:t xml:space="preserve">      更新实际编辑；外层接受加1；未见状态建队列，已见则续用</w:t>
      </w:r>
    </w:p>
    <w:p>
      <w:pPr>
        <w:pStyle w:val="SourceCode"/>
      </w:pPr>
      <w:r>
        <w:t xml:space="preserve">    else</w:t>
      </w:r>
    </w:p>
    <w:p>
      <w:pPr>
        <w:pStyle w:val="SourceCode"/>
      </w:pPr>
      <w:r>
        <w:t xml:space="preserve">      保留Gnoop；已遍历声明队列则停止，否则继续下一批</w:t>
      </w:r>
    </w:p>
    <w:p>
      <w:pPr>
        <w:pStyle w:val="SourceCode"/>
      </w:pPr>
      <w:r>
        <w:t xml:space="preserve">    end if</w:t>
      </w:r>
    </w:p>
    <w:p>
      <w:pPr>
        <w:pStyle w:val="SourceCode"/>
      </w:pPr>
      <w:r>
        <w:t xml:space="preserve">  end while</w:t>
      </w:r>
    </w:p>
    <w:p>
      <w:pPr>
        <w:pStyle w:val="SourceCode"/>
      </w:pPr>
      <w:r>
        <w:t>end for</w:t>
      </w:r>
    </w:p>
    <w:p>
      <w:pPr>
        <w:pStyle w:val="SourceCode"/>
      </w:pPr>
      <w:r>
        <w:t>return G及实际停止原因；中断只返回最后完整合法状态</w:t>
      </w:r>
    </w:p>
    <w:p>
      <w:pPr>
        <w:pStyle w:val="Normal"/>
        <w:keepNext/>
        <w:spacing w:after="80"/>
        <w:ind w:firstLine="0"/>
        <w:jc w:val="center"/>
      </w:pPr>
      <w:r>
        <w:t xml:space="preserve">算法4-2 单提议的闭合评估</w:t>
      </w:r>
    </w:p>
    <w:p>
      <w:pPr>
        <w:pStyle w:val="SourceCode"/>
      </w:pPr>
      <w:r>
        <w:t>输入：当前合法图G、提议、冻结候选分和剩余预算。</w:t>
      </w:r>
    </w:p>
    <w:p>
      <w:pPr>
        <w:pStyle w:val="SourceCode"/>
      </w:pPr>
      <w:r>
        <w:t>输出：经复核的完整候选状态，或拒绝状态。</w:t>
      </w:r>
    </w:p>
    <w:p>
      <w:pPr>
        <w:pStyle w:val="SourceCode"/>
      </w:pPr>
      <w:r>
        <w:t>复制G；抵消相同对象；完成冲突闭合</w:t>
      </w:r>
    </w:p>
    <w:p>
      <w:pPr>
        <w:pStyle w:val="SourceCode"/>
      </w:pPr>
      <w:r>
        <w:t>if 内部冲突、动作形态或组件成本不合规 then</w:t>
      </w:r>
    </w:p>
    <w:p>
      <w:pPr>
        <w:pStyle w:val="SourceCode"/>
      </w:pPr>
      <w:r>
        <w:t xml:space="preserve">  return 拒绝，原图不变</w:t>
      </w:r>
    </w:p>
    <w:p>
      <w:pPr>
        <w:pStyle w:val="SourceCode"/>
      </w:pPr>
      <w:r>
        <w:t>end if</w:t>
      </w:r>
    </w:p>
    <w:p>
      <w:pPr>
        <w:pStyle w:val="SourceCode"/>
      </w:pPr>
      <w:r>
        <w:t>构造端点依赖域；最小扩域处理失效的已选外部槽位</w:t>
      </w:r>
    </w:p>
    <w:p>
      <w:pPr>
        <w:pStyle w:val="SourceCode"/>
      </w:pPr>
      <w:r>
        <w:t>固定域外关系，将整图约束、效用门及剩余编辑预算加入ILP</w:t>
      </w:r>
    </w:p>
    <w:p>
      <w:pPr>
        <w:pStyle w:val="SourceCode"/>
      </w:pPr>
      <w:r>
        <w:t>求解并登记状态；超时有incumbent时保留非最优身份</w:t>
      </w:r>
    </w:p>
    <w:p>
      <w:pPr>
        <w:pStyle w:val="SourceCode"/>
      </w:pPr>
      <w:r>
        <w:t>if 无可行解或评分失败 then</w:t>
      </w:r>
    </w:p>
    <w:p>
      <w:pPr>
        <w:pStyle w:val="SourceCode"/>
      </w:pPr>
      <w:r>
        <w:t xml:space="preserve">  return 区分原因的拒绝状态</w:t>
      </w:r>
    </w:p>
    <w:p>
      <w:pPr>
        <w:pStyle w:val="SourceCode"/>
      </w:pPr>
      <w:r>
        <w:t>end if</w:t>
      </w:r>
    </w:p>
    <w:p>
      <w:pPr>
        <w:pStyle w:val="SourceCode"/>
      </w:pPr>
      <w:r>
        <w:t>复核整图合法、完整删增成本、两个分项门及严格总增益</w:t>
      </w:r>
    </w:p>
    <w:p>
      <w:pPr>
        <w:pStyle w:val="SourceCode"/>
      </w:pPr>
      <w:r>
        <w:t>return 复核通过的完整状态；否则丢弃副本并返回拒绝</w:t>
      </w:r>
    </w:p>
    <w:p>
      <w:pPr>
        <w:keepNext/>
        <w:ind w:firstLine="0"/>
        <w:jc w:val="center"/>
      </w:pPr>
      <w:r>
        <w:drawing>
          <wp:inline>
            <wp:extent cx="6080760" cy="7639246"/>
            <wp:docPr id="7" name="Picture 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6080760" cy="7639246"/>
                    </a:xfrm>
                    <a:prstGeom prst="rect"/>
                  </pic:spPr>
                </pic:pic>
              </a:graphicData>
            </a:graphic>
          </wp:inline>
        </w:drawing>
      </w:r>
    </w:p>
    <w:p>
      <w:pPr>
        <w:pStyle w:val="Caption"/>
        <w:keepNext w:val="0"/>
        <w:spacing w:after="80"/>
        <w:ind w:firstLine="0"/>
        <w:jc w:val="center"/>
      </w:pPr>
      <w:r>
        <w:rPr>
          <w:rFonts w:ascii="Arial Unicode MS" w:hAnsi="Arial Unicode MS" w:eastAsia="Arial Unicode MS"/>
        </w:rPr>
        <w:t xml:space="preserve">图4-2 集合局部BR-J子程序的执行流程</w:t>
      </w:r>
    </w:p>
    <w:p>
      <w:pPr>
        <w:pStyle w:val="Normal"/>
        <w:spacing w:after="80"/>
      </w:pPr>
      <w:r>
        <w:t xml:space="preserve">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rPr>
          <w:rFonts w:ascii="Arial Unicode MS" w:hAnsi="Arial Unicode MS" w:eastAsia="Arial Unicode MS"/>
        </w:rPr>
        <w:t>4.5.2 全局对象选择</w:t>
      </w:r>
    </w:p>
    <w:p>
      <w:pPr>
        <w:pStyle w:val="Normal"/>
        <w:spacing w:after="80"/>
      </w:pPr>
      <w:r>
        <w:t xml:space="preserve">4.5.1节的局部模型令组件状态等于已确定的提议</w:t>
      </w:r>
      <m:oMath>
        <m:r>
          <m:t>C</m:t>
        </m:r>
        <m:r>
          <m:rPr>
            <m:sty m:val="p"/>
          </m:rPr>
          <m:t>′</m:t>
        </m:r>
      </m:oMath>
      <w:r>
        <w:t xml:space="preserve">，求解的是固定组件后的关系补全。全局路径同时决定全部组件与关系，不能只把局部模型中的固定变量改为自由变量：CDCP源组连续性此时依赖哪些中间组件被选中，编辑量与分项门也改为相对初始图</w:t>
      </w:r>
      <m:oMath>
        <m:sSub>
          <m:e>
            <m:r>
              <m:t>G</m:t>
            </m:r>
          </m:e>
          <m:sub>
            <m:r>
              <m:t>0</m:t>
            </m:r>
          </m:sub>
        </m:sSub>
      </m:oMath>
      <w:r>
        <w:t xml:space="preserve">定义。本节给出完整规约。</w:t>
      </w:r>
    </w:p>
    <w:p>
      <w:pPr>
        <w:pStyle w:val="Normal"/>
        <w:spacing w:after="80"/>
      </w:pPr>
      <w:r>
        <w:t xml:space="preserve">（1）决策变量与目标。对冻结候选宇宙中的每个带类型组件</w:t>
      </w:r>
      <m:oMath>
        <m:r>
          <m:t>v</m:t>
        </m:r>
        <m:r>
          <m:rPr>
            <m:sty m:val="p"/>
          </m:rPr>
          <m:t>∈</m:t>
        </m:r>
        <m:r>
          <m:rPr>
            <m:sty m:val="p"/>
            <m:scr m:val="script"/>
          </m:rPr>
          <m:t>V</m:t>
        </m:r>
      </m:oMath>
      <w:r>
        <w:t xml:space="preserve">设</w:t>
      </w:r>
      <m:oMath>
        <m:sSub>
          <m:e>
            <m:r>
              <m:t>z</m:t>
            </m:r>
          </m:e>
          <m:sub>
            <m:r>
              <m:t>v</m:t>
            </m:r>
          </m:sub>
        </m:sSub>
        <m:r>
          <m:rPr>
            <m:sty m:val="p"/>
          </m:rPr>
          <m:t>∈</m:t>
        </m:r>
        <m:r>
          <m:rPr>
            <m:sty m:val="p"/>
          </m:rPr>
          <m:t>{</m:t>
        </m:r>
        <m:r>
          <m:t>0</m:t>
        </m:r>
        <m:r>
          <m:rPr>
            <m:sty m:val="p"/>
          </m:rPr>
          <m:t>,</m:t>
        </m:r>
        <m:r>
          <m:t>1</m:t>
        </m:r>
        <m:r>
          <m:rPr>
            <m:sty m:val="p"/>
          </m:rPr>
          <m:t>}</m:t>
        </m:r>
      </m:oMath>
      <w:r>
        <w:t xml:space="preserve">，对每个关系候选</w:t>
      </w:r>
      <m:oMath>
        <m:r>
          <m:t>r</m:t>
        </m:r>
        <m:r>
          <m:rPr>
            <m:sty m:val="p"/>
          </m:rPr>
          <m:t>∈</m:t>
        </m:r>
        <m:r>
          <m:t>P</m:t>
        </m:r>
      </m:oMath>
      <w:r>
        <w:t xml:space="preserve">设</w:t>
      </w:r>
      <m:oMath>
        <m:sSub>
          <m:e>
            <m:r>
              <m:t>y</m:t>
            </m:r>
          </m:e>
          <m:sub>
            <m:r>
              <m:t>r</m:t>
            </m:r>
          </m:sub>
        </m:sSub>
        <m:r>
          <m:rPr>
            <m:sty m:val="p"/>
          </m:rPr>
          <m:t>∈</m:t>
        </m:r>
        <m:r>
          <m:rPr>
            <m:sty m:val="p"/>
          </m:rPr>
          <m:t>{</m:t>
        </m:r>
        <m:r>
          <m:t>0</m:t>
        </m:r>
        <m:r>
          <m:rPr>
            <m:sty m:val="p"/>
          </m:rPr>
          <m:t>,</m:t>
        </m:r>
        <m:r>
          <m:t>1</m:t>
        </m:r>
        <m:r>
          <m:rPr>
            <m:sty m:val="p"/>
          </m:rPr>
          <m:t>}</m:t>
        </m:r>
      </m:oMath>
      <w:r>
        <w:t xml:space="preserve">；</w:t>
      </w:r>
      <m:oMath>
        <m:sSubSup>
          <m:e>
            <m:r>
              <m:t>z</m:t>
            </m:r>
          </m:e>
          <m:sub>
            <m:r>
              <m:t>v</m:t>
            </m:r>
          </m:sub>
          <m:sup>
            <m:r>
              <m:t>0</m:t>
            </m:r>
          </m:sup>
        </m:sSubSup>
      </m:oMath>
      <w:r>
        <w:t xml:space="preserve">、</w:t>
      </w:r>
      <m:oMath>
        <m:sSubSup>
          <m:e>
            <m:r>
              <m:t>y</m:t>
            </m:r>
          </m:e>
          <m:sub>
            <m:r>
              <m:t>r</m:t>
            </m:r>
          </m:sub>
          <m:sup>
            <m:r>
              <m:t>0</m:t>
            </m:r>
          </m:sup>
        </m:sSubSup>
      </m:oMath>
      <w:r>
        <w:t xml:space="preserve">表示</w:t>
      </w:r>
      <m:oMath>
        <m:sSub>
          <m:e>
            <m:r>
              <m:t>G</m:t>
            </m:r>
          </m:e>
          <m:sub>
            <m:r>
              <m:t>0</m:t>
            </m:r>
          </m:sub>
        </m:sSub>
      </m:oMath>
      <w:r>
        <w:t xml:space="preserve">中的状态。记</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t xml:space="preserve">，全局目标与局部路径使用同一可分解效用：</w:t>
      </w:r>
    </w:p>
    <w:p>
      <w:pPr>
        <w:pStyle w:val="Normal"/>
        <w:keepNext w:val="0"/>
        <w:keepLines/>
        <w:tabs>
          <w:tab w:pos="5046" w:val="center"/>
          <w:tab w:pos="10091" w:val="right"/>
        </w:tabs>
        <w:spacing w:line="276" w:lineRule="auto" w:before="120" w:after="120"/>
        <w:ind w:firstLine="0" w:left="0" w:right="0"/>
        <w:jc w:val="left"/>
      </w:pPr>
      <w:r>
        <w:rPr>
          <w:sz w:val="21"/>
        </w:rPr>
        <w:tab/>
      </w:r>
      <m:oMath>
        <m:limLow>
          <m:e>
            <m:r>
              <m:rPr>
                <m:sty m:val="p"/>
              </m:rPr>
              <m:t>max</m:t>
            </m:r>
          </m:e>
          <m:lim>
            <m:r>
              <m:t>z</m:t>
            </m:r>
            <m:r>
              <m:rPr>
                <m:sty m:val="p"/>
              </m:rPr>
              <m:t>,</m:t>
            </m:r>
            <m:r>
              <m:t>y</m:t>
            </m:r>
          </m:lim>
        </m:limLow>
        <m:r>
          <m:t> </m:t>
        </m:r>
        <m:r>
          <m:t>Φ</m:t>
        </m:r>
        <m:d>
          <m:dPr>
            <m:begChr m:val="("/>
            <m:endChr m:val=")"/>
            <m:sepChr m:val=""/>
            <m:grow/>
          </m:dPr>
          <m:e>
            <m:r>
              <m:t>z</m:t>
            </m:r>
            <m:r>
              <m:rPr>
                <m:sty m:val="p"/>
              </m:rPr>
              <m:t>,</m:t>
            </m:r>
            <m:r>
              <m:t>y</m:t>
            </m:r>
          </m:e>
        </m:d>
        <m:r>
          <m:rPr>
            <m:sty m:val="p"/>
          </m:rPr>
          <m:t>=</m:t>
        </m:r>
        <m:sSub>
          <m:e>
            <m:r>
              <m:t>w</m:t>
            </m:r>
          </m:e>
          <m:sub>
            <m:r>
              <m:t>C</m:t>
            </m:r>
          </m:sub>
        </m:sSub>
        <m:nary>
          <m:naryPr>
            <m:chr m:val="∑"/>
            <m:limLoc m:val="undOvr"/>
            <m:subHide m:val="off"/>
            <m:supHide m:val="on"/>
          </m:naryPr>
          <m:sub>
            <m:r>
              <m:t>v</m:t>
            </m:r>
            <m:r>
              <m:rPr>
                <m:sty m:val="p"/>
              </m:rPr>
              <m:t>∈</m:t>
            </m:r>
            <m:r>
              <m:rPr>
                <m:sty m:val="p"/>
                <m:scr m:val="script"/>
              </m:rPr>
              <m:t>V</m:t>
            </m:r>
          </m:sub>
          <m:sup>
            <m:r>
              <m:t>​</m:t>
            </m:r>
          </m:sup>
          <m:e>
            <m:sSub>
              <m:e>
                <m:r>
                  <m:t>a</m:t>
                </m:r>
              </m:e>
              <m:sub>
                <m:r>
                  <m:t>C</m:t>
                </m:r>
              </m:sub>
            </m:sSub>
          </m:e>
        </m:nary>
        <m:d>
          <m:dPr>
            <m:begChr m:val="("/>
            <m:endChr m:val=")"/>
            <m:sepChr m:val=""/>
            <m:grow/>
          </m:dPr>
          <m:e>
            <m:r>
              <m:t>v</m:t>
            </m:r>
          </m:e>
        </m:d>
        <m:sSub>
          <m:e>
            <m:r>
              <m:t>z</m:t>
            </m:r>
          </m:e>
          <m:sub>
            <m:r>
              <m:t>v</m:t>
            </m:r>
          </m:sub>
        </m:sSub>
        <m:r>
          <m:rPr>
            <m:sty m:val="p"/>
          </m:rPr>
          <m:t>+</m:t>
        </m:r>
        <m:sSub>
          <m:e>
            <m:r>
              <m:t>w</m:t>
            </m:r>
          </m:e>
          <m:sub>
            <m:r>
              <m:t>R</m:t>
            </m:r>
          </m:sub>
        </m:sSub>
        <m:nary>
          <m:naryPr>
            <m:chr m:val="∑"/>
            <m:limLoc m:val="undOvr"/>
            <m:subHide m:val="off"/>
            <m:supHide m:val="on"/>
          </m:naryPr>
          <m:sub>
            <m:r>
              <m:t>r</m:t>
            </m:r>
            <m:r>
              <m:rPr>
                <m:sty m:val="p"/>
              </m:rPr>
              <m:t>∈</m:t>
            </m:r>
            <m:r>
              <m:t>P</m:t>
            </m:r>
          </m:sub>
          <m:sup>
            <m:r>
              <m:t>​</m:t>
            </m:r>
          </m:sup>
          <m:e>
            <m:sSub>
              <m:e>
                <m:r>
                  <m:t>a</m:t>
                </m:r>
              </m:e>
              <m:sub>
                <m:r>
                  <m:t>R</m:t>
                </m:r>
              </m:sub>
            </m:sSub>
          </m:e>
        </m:nary>
        <m:d>
          <m:dPr>
            <m:begChr m:val="("/>
            <m:endChr m:val=")"/>
            <m:sepChr m:val=""/>
            <m:grow/>
          </m:dPr>
          <m:e>
            <m:r>
              <m:t>r</m:t>
            </m:r>
          </m:e>
        </m:d>
        <m:sSub>
          <m:e>
            <m:r>
              <m:t>y</m:t>
            </m:r>
          </m:e>
          <m:sub>
            <m:r>
              <m:t>r</m:t>
            </m:r>
          </m:sub>
        </m:sSub>
        <m:r>
          <m:rPr>
            <m:sty m:val="p"/>
          </m:rPr>
          <m:t>.</m:t>
        </m:r>
      </m:oMath>
      <w:r>
        <w:rPr>
          <w:sz w:val="21"/>
        </w:rPr>
        <w:tab/>
      </w:r>
      <w:bookmarkStart w:id="2037" w:name="Equation_4_14"/>
      <w:r>
        <w:rPr>
          <w:sz w:val="21"/>
        </w:rPr>
        <w:t>（4-</w:t>
      </w:r>
      <w:fldSimple w:instr=" SEQ Equation4 \* ARABIC ">
        <w:r>
          <w:t>14</w:t>
        </w:r>
      </w:fldSimple>
      <w:r>
        <w:rPr>
          <w:sz w:val="21"/>
        </w:rPr>
        <w:t>）</w:t>
      </w:r>
      <w:bookmarkEnd w:id="2037"/>
    </w:p>
    <w:p>
      <w:pPr>
        <w:pStyle w:val="Normal"/>
        <w:spacing w:after="80"/>
      </w:pPr>
      <w:r>
        <w:t xml:space="preserve">（2）结构约束。</w:t>
      </w:r>
    </w:p>
    <w:p>
      <w:pPr>
        <w:pStyle w:val="Normal"/>
        <w:keepNext w:val="0"/>
        <w:keepLines/>
        <w:tabs>
          <w:tab w:pos="5046" w:val="center"/>
          <w:tab w:pos="10091" w:val="right"/>
        </w:tabs>
        <w:spacing w:line="276" w:lineRule="auto" w:before="120" w:after="120"/>
        <w:ind w:firstLine="0" w:left="0" w:right="0"/>
        <w:jc w:val="left"/>
      </w:pPr>
      <w:r>
        <w:rPr>
          <w:sz w:val="21"/>
        </w:rPr>
        <w:tab/>
      </w:r>
      <m:oMath>
        <m:eqArr>
          <m:e>
            <m:nary>
              <m:naryPr>
                <m:chr m:val="∑"/>
                <m:limLoc m:val="undOvr"/>
                <m:subHide m:val="off"/>
                <m:supHide m:val="on"/>
              </m:naryPr>
              <m:sub>
                <m:r>
                  <m:t>t</m:t>
                </m:r>
                <m:r>
                  <m:rPr>
                    <m:sty m:val="p"/>
                  </m:rPr>
                  <m:t>∈</m:t>
                </m:r>
                <m:sSub>
                  <m:e>
                    <m:r>
                      <m:rPr>
                        <m:sty m:val="p"/>
                        <m:scr m:val="script"/>
                      </m:rPr>
                      <m:t>T</m:t>
                    </m:r>
                  </m:e>
                  <m:sub>
                    <m:r>
                      <m:rPr>
                        <m:sty m:val="p"/>
                      </m:rPr>
                      <m:t>*</m:t>
                    </m:r>
                  </m:sub>
                </m:sSub>
                <m:d>
                  <m:dPr>
                    <m:begChr m:val="("/>
                    <m:endChr m:val=")"/>
                    <m:sepChr m:val=""/>
                    <m:grow/>
                  </m:dPr>
                  <m:e>
                    <m:r>
                      <m:t>u</m:t>
                    </m:r>
                  </m:e>
                </m:d>
              </m:sub>
              <m:sup>
                <m:r>
                  <m:t>​</m:t>
                </m:r>
              </m:sup>
              <m:e>
                <m:sSub>
                  <m:e>
                    <m:r>
                      <m:t>z</m:t>
                    </m:r>
                  </m:e>
                  <m:sub>
                    <m:d>
                      <m:dPr>
                        <m:begChr m:val="("/>
                        <m:endChr m:val=")"/>
                        <m:sepChr m:val=""/>
                        <m:grow/>
                      </m:dPr>
                      <m:e>
                        <m:r>
                          <m:t>u</m:t>
                        </m:r>
                        <m:r>
                          <m:rPr>
                            <m:sty m:val="p"/>
                          </m:rPr>
                          <m:t>,</m:t>
                        </m:r>
                        <m:r>
                          <m:t>t</m:t>
                        </m:r>
                      </m:e>
                    </m:d>
                  </m:sub>
                </m:sSub>
              </m:e>
            </m:nary>
            <m:r>
              <m:rPr>
                <m:sty m:val="p"/>
              </m:rPr>
              <m:t>≤</m:t>
            </m:r>
            <m:r>
              <m:t>1</m:t>
            </m:r>
            <m:r>
              <m:t> </m:t>
            </m:r>
            <m:r>
              <m:rPr>
                <m:sty m:val="p"/>
              </m:rPr>
              <m:t>∀</m:t>
            </m:r>
            <m:r>
              <m:t>u</m:t>
            </m:r>
            <m:r>
              <m:rPr>
                <m:sty m:val="p"/>
              </m:rPr>
              <m:t>∈</m:t>
            </m:r>
            <m:r>
              <m:t>U</m:t>
            </m:r>
            <m:r>
              <m:rPr>
                <m:sty m:val="p"/>
              </m:rPr>
              <m:t>,</m:t>
            </m:r>
          </m:e>
          <m:e>
            <m:sSub>
              <m:e>
                <m:r>
                  <m:t>z</m:t>
                </m:r>
              </m:e>
              <m:sub>
                <m:r>
                  <m:t>c</m:t>
                </m:r>
              </m:sub>
            </m:sSub>
            <m:r>
              <m:rPr>
                <m:sty m:val="p"/>
              </m:rPr>
              <m:t>+</m:t>
            </m:r>
            <m:sSub>
              <m:e>
                <m:r>
                  <m:t>z</m:t>
                </m:r>
              </m:e>
              <m:sub>
                <m:r>
                  <m:t>d</m:t>
                </m:r>
              </m:sub>
            </m:sSub>
            <m:r>
              <m:rPr>
                <m:sty m:val="p"/>
              </m:rPr>
              <m:t>≤</m:t>
            </m:r>
            <m:r>
              <m:t>1</m:t>
            </m:r>
            <m:r>
              <m:t> </m:t>
            </m:r>
            <m:r>
              <m:rPr>
                <m:nor/>
                <m:sty m:val="p"/>
              </m:rPr>
              <m:t>若 </m:t>
            </m:r>
            <m:r>
              <m:rPr>
                <m:sty m:val="p"/>
              </m:rPr>
              <m:t>Conflict</m:t>
            </m:r>
            <m:d>
              <m:dPr>
                <m:begChr m:val="("/>
                <m:endChr m:val=")"/>
                <m:sepChr m:val=""/>
                <m:grow/>
              </m:dPr>
              <m:e>
                <m:r>
                  <m:t>c</m:t>
                </m:r>
                <m:r>
                  <m:rPr>
                    <m:sty m:val="p"/>
                  </m:rPr>
                  <m:t>,</m:t>
                </m:r>
                <m:r>
                  <m:t>d</m:t>
                </m:r>
              </m:e>
            </m:d>
            <m:r>
              <m:rPr>
                <m:sty m:val="p"/>
              </m:rPr>
              <m:t>;</m:t>
            </m:r>
          </m:e>
          <m:e>
            <m:sSub>
              <m:e>
                <m:r>
                  <m:t>y</m:t>
                </m:r>
              </m:e>
              <m:sub>
                <m:r>
                  <m:t>r</m:t>
                </m:r>
              </m:sub>
            </m:sSub>
            <m:r>
              <m:rPr>
                <m:sty m:val="p"/>
              </m:rPr>
              <m:t>≤</m:t>
            </m:r>
            <m:sSub>
              <m:e>
                <m:r>
                  <m:t>z</m:t>
                </m:r>
              </m:e>
              <m:sub>
                <m:r>
                  <m:t>c</m:t>
                </m:r>
              </m:sub>
            </m:sSub>
            <m:r>
              <m:t> </m:t>
            </m:r>
            <m:r>
              <m:rPr>
                <m:sty m:val="p"/>
              </m:rPr>
              <m:t>∀</m:t>
            </m:r>
            <m:r>
              <m:t>r</m:t>
            </m:r>
            <m:r>
              <m:rPr>
                <m:sty m:val="p"/>
              </m:rPr>
              <m:t>∈</m:t>
            </m:r>
            <m:r>
              <m:t>P</m:t>
            </m:r>
            <m:r>
              <m:rPr>
                <m:sty m:val="p"/>
              </m:rPr>
              <m:t>,</m:t>
            </m:r>
            <m:r>
              <m:t> </m:t>
            </m:r>
            <m:r>
              <m:rPr>
                <m:sty m:val="p"/>
              </m:rPr>
              <m:t>∀</m:t>
            </m:r>
            <m:r>
              <m:t>c</m:t>
            </m:r>
            <m:r>
              <m:rPr>
                <m:sty m:val="p"/>
              </m:rPr>
              <m:t>∈</m:t>
            </m:r>
            <m:r>
              <m:rPr>
                <m:sty m:val="p"/>
              </m:rPr>
              <m:t>Ends</m:t>
            </m:r>
            <m:d>
              <m:dPr>
                <m:begChr m:val="("/>
                <m:endChr m:val=")"/>
                <m:sepChr m:val=""/>
                <m:grow/>
              </m:dPr>
              <m:e>
                <m:r>
                  <m:t>r</m:t>
                </m:r>
              </m:e>
            </m:d>
            <m:r>
              <m:rPr>
                <m:sty m:val="p"/>
              </m:rPr>
              <m:t>,</m:t>
            </m:r>
          </m:e>
          <m:e>
            <m:nary>
              <m:naryPr>
                <m:chr m:val="∑"/>
                <m:limLoc m:val="undOvr"/>
                <m:subHide m:val="off"/>
                <m:supHide m:val="on"/>
              </m:naryPr>
              <m:sub>
                <m:r>
                  <m:t>r</m:t>
                </m:r>
                <m:r>
                  <m:rPr>
                    <m:sty m:val="p"/>
                  </m:rPr>
                  <m:t>∈</m:t>
                </m:r>
                <m:sSub>
                  <m:e>
                    <m:r>
                      <m:t>Γ</m:t>
                    </m:r>
                  </m:e>
                  <m:sub>
                    <m:r>
                      <m:t>s</m:t>
                    </m:r>
                  </m:sub>
                </m:sSub>
              </m:sub>
              <m:sup>
                <m:r>
                  <m:t>​</m:t>
                </m:r>
              </m:sup>
              <m:e>
                <m:sSub>
                  <m:e>
                    <m:r>
                      <m:t>y</m:t>
                    </m:r>
                  </m:e>
                  <m:sub>
                    <m:r>
                      <m:t>r</m:t>
                    </m:r>
                  </m:sub>
                </m:sSub>
              </m:e>
            </m:nary>
            <m:r>
              <m:rPr>
                <m:sty m:val="p"/>
              </m:rPr>
              <m:t>≤</m:t>
            </m:r>
            <m:r>
              <m:t>1</m:t>
            </m:r>
            <m:r>
              <m:t> </m:t>
            </m:r>
            <m:r>
              <m:rPr>
                <m:sty m:val="p"/>
              </m:rPr>
              <m:t>∀</m:t>
            </m:r>
            <m:r>
              <m:t>s</m:t>
            </m:r>
            <m:r>
              <m:rPr>
                <m:sty m:val="p"/>
              </m:rPr>
              <m:t>;</m:t>
            </m:r>
          </m:e>
          <m:e>
            <m:sSub>
              <m:e>
                <m:r>
                  <m:t>y</m:t>
                </m:r>
              </m:e>
              <m:sub>
                <m:r>
                  <m:t>h</m:t>
                </m:r>
              </m:sub>
            </m:sSub>
            <m:r>
              <m:rPr>
                <m:sty m:val="p"/>
              </m:rPr>
              <m:t>+</m:t>
            </m:r>
            <m:sSub>
              <m:e>
                <m:r>
                  <m:t>z</m:t>
                </m:r>
              </m:e>
              <m:sub>
                <m:r>
                  <m:t>w</m:t>
                </m:r>
              </m:sub>
            </m:sSub>
            <m:r>
              <m:rPr>
                <m:sty m:val="p"/>
              </m:rPr>
              <m:t>≤</m:t>
            </m:r>
            <m:r>
              <m:t>1</m:t>
            </m:r>
            <m:r>
              <m:t> </m:t>
            </m:r>
            <m:r>
              <m:rPr>
                <m:sty m:val="p"/>
              </m:rPr>
              <m:t>∀</m:t>
            </m:r>
            <m:r>
              <m:t>h</m:t>
            </m:r>
            <m:r>
              <m:rPr>
                <m:sty m:val="p"/>
              </m:rPr>
              <m:t>∈</m:t>
            </m:r>
            <m:sSub>
              <m:e>
                <m:r>
                  <m:t>P</m:t>
                </m:r>
              </m:e>
              <m:sub>
                <m:r>
                  <m:rPr>
                    <m:sty m:val="p"/>
                  </m:rPr>
                  <m:t>C</m:t>
                </m:r>
                <m:r>
                  <m:rPr>
                    <m:sty m:val="p"/>
                  </m:rPr>
                  <m:t>D</m:t>
                </m:r>
                <m:r>
                  <m:rPr>
                    <m:sty m:val="p"/>
                  </m:rPr>
                  <m:t>C</m:t>
                </m:r>
                <m:r>
                  <m:rPr>
                    <m:sty m:val="p"/>
                  </m:rPr>
                  <m:t>P</m:t>
                </m:r>
              </m:sub>
            </m:sSub>
            <m:r>
              <m:rPr>
                <m:sty m:val="p"/>
              </m:rPr>
              <m:t>,</m:t>
            </m:r>
            <m:r>
              <m:t> </m:t>
            </m:r>
            <m:r>
              <m:rPr>
                <m:sty m:val="p"/>
              </m:rPr>
              <m:t>∀</m:t>
            </m:r>
            <m:r>
              <m:t>w</m:t>
            </m:r>
            <m:r>
              <m:rPr>
                <m:sty m:val="p"/>
              </m:rPr>
              <m:t>∈</m:t>
            </m:r>
            <m:r>
              <m:rPr>
                <m:sty m:val="p"/>
              </m:rPr>
              <m:t>Btw</m:t>
            </m:r>
            <m:d>
              <m:dPr>
                <m:begChr m:val="("/>
                <m:endChr m:val=")"/>
                <m:sepChr m:val=""/>
                <m:grow/>
              </m:dPr>
              <m:e>
                <m:r>
                  <m:t>h</m:t>
                </m:r>
              </m:e>
            </m:d>
            <m:r>
              <m:rPr>
                <m:sty m:val="p"/>
              </m:rPr>
              <m:t>.</m:t>
            </m:r>
          </m:e>
        </m:eqArr>
      </m:oMath>
      <w:r>
        <w:rPr>
          <w:sz w:val="21"/>
        </w:rPr>
        <w:tab/>
      </w:r>
      <w:bookmarkStart w:id="2038" w:name="Equation_4_15"/>
      <w:r>
        <w:rPr>
          <w:sz w:val="21"/>
        </w:rPr>
        <w:t>（4-</w:t>
      </w:r>
      <w:fldSimple w:instr=" SEQ Equation4 \* ARABIC ">
        <w:r>
          <w:t>15</w:t>
        </w:r>
      </w:fldSimple>
      <w:r>
        <w:rPr>
          <w:sz w:val="21"/>
        </w:rPr>
        <w:t>）</w:t>
      </w:r>
      <w:bookmarkEnd w:id="2038"/>
    </w:p>
    <w:p>
      <w:pPr>
        <w:pStyle w:val="Normal"/>
        <w:spacing w:after="80"/>
      </w:pPr>
      <w:r>
        <w:t xml:space="preserve">前四项依次为同一跨度至多一个类型、组件两两兼容、关系的全部端点（含超边的全部源成员）均被选中，以及同一槽位标签互斥。最后一项表达CDCP源组连续性：对超边</w:t>
      </w:r>
      <m:oMath>
        <m:r>
          <m:t>h</m:t>
        </m:r>
        <m:r>
          <m:rPr>
            <m:sty m:val="p"/>
          </m:rPr>
          <m:t>=</m:t>
        </m:r>
        <m:d>
          <m:dPr>
            <m:begChr m:val="("/>
            <m:endChr m:val=")"/>
            <m:sepChr m:val=""/>
            <m:grow/>
          </m:dPr>
          <m:e>
            <m:r>
              <m:t>S</m:t>
            </m:r>
            <m:r>
              <m:rPr>
                <m:sty m:val="p"/>
              </m:rPr>
              <m:t>,</m:t>
            </m:r>
            <m:r>
              <m:t>v</m:t>
            </m:r>
            <m:r>
              <m:rPr>
                <m:sty m:val="p"/>
              </m:rPr>
              <m:t>,</m:t>
            </m:r>
            <m:r>
              <m:rPr>
                <m:sty m:val="p"/>
              </m:rPr>
              <m:t>ℓ</m:t>
            </m:r>
          </m:e>
        </m:d>
      </m:oMath>
      <w:r>
        <w:t xml:space="preserve">，令</w:t>
      </w:r>
      <m:oMath>
        <m:r>
          <m:rPr>
            <m:sty m:val="p"/>
          </m:rPr>
          <m:t>Btw</m:t>
        </m:r>
        <m:d>
          <m:dPr>
            <m:begChr m:val="("/>
            <m:endChr m:val=")"/>
            <m:sepChr m:val=""/>
            <m:grow/>
          </m:dPr>
          <m:e>
            <m:r>
              <m:t>h</m:t>
            </m:r>
          </m:e>
        </m:d>
      </m:oMath>
      <w:r>
        <w:t xml:space="preserve">为起点严格位于</w:t>
      </w:r>
      <m:oMath>
        <m:r>
          <m:t>S</m:t>
        </m:r>
      </m:oMath>
      <w:r>
        <w:t xml:space="preserve">中最左与最右源成员起点之间、且不属于</w:t>
      </w:r>
      <m:oMath>
        <m:r>
          <m:t>S</m:t>
        </m:r>
      </m:oMath>
      <w:r>
        <w:t xml:space="preserve">的候选组件。由于选中组件互不重叠，</w:t>
      </w:r>
      <w:r>
        <w:t xml:space="preserve">“</w:t>
      </w:r>
      <m:oMath>
        <m:r>
          <m:t>S</m:t>
        </m:r>
      </m:oMath>
      <w:r>
        <w:t xml:space="preserve">在选中组件序列中连续</w:t>
      </w:r>
      <w:r>
        <w:t xml:space="preserve">”</w:t>
      </w:r>
      <w:r>
        <w:t xml:space="preserve">当且仅当</w:t>
      </w:r>
      <m:oMath>
        <m:r>
          <m:rPr>
            <m:sty m:val="p"/>
          </m:rPr>
          <m:t>Btw</m:t>
        </m:r>
        <m:d>
          <m:dPr>
            <m:begChr m:val="("/>
            <m:endChr m:val=")"/>
            <m:sepChr m:val=""/>
            <m:grow/>
          </m:dPr>
          <m:e>
            <m:r>
              <m:t>h</m:t>
            </m:r>
          </m:e>
        </m:d>
      </m:oMath>
      <w:r>
        <w:t xml:space="preserve">中没有组件被选中，故该约束对组件选择是精确的线性化。目标组件位于源区间内部的超边在候选构造时即排除。协议要求无环时，沿用4.5.1节的序变量约束。</w:t>
      </w:r>
    </w:p>
    <w:p>
      <w:pPr>
        <w:pStyle w:val="Normal"/>
        <w:spacing w:after="80"/>
      </w:pPr>
      <w:r>
        <w:t xml:space="preserve">以4.4.2节的</w:t>
      </w:r>
      <m:oMath>
        <m:r>
          <m:t>a</m:t>
        </m:r>
        <m:r>
          <m:rPr>
            <m:sty m:val="p"/>
          </m:rPr>
          <m:t>,</m:t>
        </m:r>
        <m:r>
          <m:t>b</m:t>
        </m:r>
        <m:r>
          <m:rPr>
            <m:sty m:val="p"/>
          </m:rPr>
          <m:t>,</m:t>
        </m:r>
        <m:r>
          <m:t>c</m:t>
        </m:r>
        <m:r>
          <m:rPr>
            <m:sty m:val="p"/>
          </m:rPr>
          <m:t>,</m:t>
        </m:r>
        <m:r>
          <m:t>t</m:t>
        </m:r>
      </m:oMath>
      <w:r>
        <w:t xml:space="preserve">为例，全局模型含约束</w:t>
      </w:r>
      <m:oMath>
        <m:sSub>
          <m:e>
            <m:r>
              <m:t>y</m:t>
            </m:r>
          </m:e>
          <m:sub>
            <m:r>
              <m:t>h</m:t>
            </m:r>
          </m:sub>
        </m:sSub>
        <m:r>
          <m:rPr>
            <m:sty m:val="p"/>
          </m:rPr>
          <m:t>+</m:t>
        </m:r>
        <m:sSub>
          <m:e>
            <m:r>
              <m:t>z</m:t>
            </m:r>
          </m:e>
          <m:sub>
            <m:r>
              <m:t>b</m:t>
            </m:r>
          </m:sub>
        </m:sSub>
        <m:r>
          <m:rPr>
            <m:sty m:val="p"/>
          </m:rPr>
          <m:t>≤</m:t>
        </m:r>
        <m:r>
          <m:t>1</m:t>
        </m:r>
      </m:oMath>
      <w:r>
        <w:t xml:space="preserve">：删除</w:t>
      </w:r>
      <m:oMath>
        <m:r>
          <m:t>b</m:t>
        </m:r>
      </m:oMath>
      <w:r>
        <w:t xml:space="preserve">与选中</w:t>
      </w:r>
      <m:oMath>
        <m:r>
          <m:t>h</m:t>
        </m:r>
        <m:r>
          <m:rPr>
            <m:sty m:val="p"/>
          </m:rPr>
          <m:t>=</m:t>
        </m:r>
        <m:d>
          <m:dPr>
            <m:begChr m:val="("/>
            <m:endChr m:val=")"/>
            <m:sepChr m:val=""/>
            <m:grow/>
          </m:dPr>
          <m:e>
            <m:r>
              <m:rPr>
                <m:sty m:val="p"/>
              </m:rPr>
              <m:t>{</m:t>
            </m:r>
            <m:r>
              <m:t>a</m:t>
            </m:r>
            <m:r>
              <m:rPr>
                <m:sty m:val="p"/>
              </m:rPr>
              <m:t>,</m:t>
            </m:r>
            <m:r>
              <m:t>c</m:t>
            </m:r>
            <m:r>
              <m:rPr>
                <m:sty m:val="p"/>
              </m:rPr>
              <m:t>}</m:t>
            </m:r>
            <m:r>
              <m:rPr>
                <m:sty m:val="p"/>
              </m:rPr>
              <m:t>,</m:t>
            </m:r>
            <m:r>
              <m:t>t</m:t>
            </m:r>
            <m:r>
              <m:rPr>
                <m:sty m:val="p"/>
              </m:rPr>
              <m:t>,</m:t>
            </m:r>
            <m:r>
              <m:rPr>
                <m:sty m:val="p"/>
              </m:rPr>
              <m:t>R</m:t>
            </m:r>
            <m:r>
              <m:rPr>
                <m:sty m:val="p"/>
              </m:rPr>
              <m:t>e</m:t>
            </m:r>
            <m:r>
              <m:rPr>
                <m:sty m:val="p"/>
              </m:rPr>
              <m:t>a</m:t>
            </m:r>
            <m:r>
              <m:rPr>
                <m:sty m:val="p"/>
              </m:rPr>
              <m:t>s</m:t>
            </m:r>
            <m:r>
              <m:rPr>
                <m:sty m:val="p"/>
              </m:rPr>
              <m:t>o</m:t>
            </m:r>
            <m:r>
              <m:rPr>
                <m:sty m:val="p"/>
              </m:rPr>
              <m:t>n</m:t>
            </m:r>
          </m:e>
        </m:d>
      </m:oMath>
      <w:r>
        <w:t xml:space="preserve">在同一次求解中共同决定。局部路径中</w:t>
      </w:r>
      <m:oMath>
        <m:r>
          <m:t>h</m:t>
        </m:r>
      </m:oMath>
      <w:r>
        <w:t xml:space="preserve">不接触删除</w:t>
      </w:r>
      <m:oMath>
        <m:r>
          <m:t>b</m:t>
        </m:r>
      </m:oMath>
      <w:r>
        <w:t xml:space="preserve">的变化对象，只能由后续纯关系提议恢复；这是两条路径可达终态不同的一个具体来源。</w:t>
      </w:r>
    </w:p>
    <w:p>
      <w:pPr>
        <w:pStyle w:val="Normal"/>
        <w:spacing w:after="80"/>
      </w:pPr>
      <w:r>
        <w:t xml:space="preserve">（3）净编辑与分项门。编辑量按终态相对</w:t>
      </w:r>
      <m:oMath>
        <m:sSub>
          <m:e>
            <m:r>
              <m:t>G</m:t>
            </m:r>
          </m:e>
          <m:sub>
            <m:r>
              <m:t>0</m:t>
            </m:r>
          </m:sub>
        </m:sSub>
      </m:oMath>
      <w:r>
        <w:t xml:space="preserve">的净差计数：</w:t>
      </w:r>
    </w:p>
    <w:p>
      <w:pPr>
        <w:pStyle w:val="Normal"/>
        <w:keepNext w:val="0"/>
        <w:keepLines/>
        <w:tabs>
          <w:tab w:pos="5046" w:val="center"/>
          <w:tab w:pos="10091" w:val="right"/>
        </w:tabs>
        <w:spacing w:line="276" w:lineRule="auto" w:before="120" w:after="120"/>
        <w:ind w:firstLine="0" w:left="0" w:right="0"/>
        <w:jc w:val="left"/>
      </w:pPr>
      <w:r>
        <w:rPr>
          <w:sz w:val="21"/>
        </w:rPr>
        <w:tab/>
      </w:r>
      <m:oMath>
        <m:sSubSup>
          <m:e>
            <m:r>
              <m:t>d</m:t>
            </m:r>
          </m:e>
          <m:sub>
            <m:r>
              <m:t>C</m:t>
            </m:r>
          </m:sub>
          <m:sup>
            <m:r>
              <m:t>n</m:t>
            </m:r>
            <m:r>
              <m:t>e</m:t>
            </m:r>
            <m:r>
              <m:t>t</m:t>
            </m:r>
          </m:sup>
        </m:sSubSup>
        <m:r>
          <m:rPr>
            <m:sty m:val="p"/>
          </m:rPr>
          <m:t>=</m:t>
        </m:r>
        <m:nary>
          <m:naryPr>
            <m:chr m:val="∑"/>
            <m:limLoc m:val="undOvr"/>
            <m:subHide m:val="off"/>
            <m:supHide m:val="on"/>
          </m:naryPr>
          <m:sub>
            <m:r>
              <m:t>v</m:t>
            </m:r>
            <m:r>
              <m:rPr>
                <m:sty m:val="p"/>
              </m:rPr>
              <m:t>:</m:t>
            </m:r>
            <m:sSubSup>
              <m:e>
                <m:r>
                  <m:t>z</m:t>
                </m:r>
              </m:e>
              <m:sub>
                <m:r>
                  <m:t>v</m:t>
                </m:r>
              </m:sub>
              <m:sup>
                <m:r>
                  <m:t>0</m:t>
                </m:r>
              </m:sup>
            </m:sSubSup>
            <m:r>
              <m:rPr>
                <m:sty m:val="p"/>
              </m:rPr>
              <m:t>=</m:t>
            </m:r>
            <m:r>
              <m:t>1</m:t>
            </m:r>
          </m:sub>
          <m:sup>
            <m:r>
              <m:t>​</m:t>
            </m:r>
          </m:sup>
          <m:e>
            <m:d>
              <m:dPr>
                <m:begChr m:val="("/>
                <m:endChr m:val=")"/>
                <m:sepChr m:val=""/>
                <m:grow/>
              </m:dPr>
              <m:e>
                <m:r>
                  <m:t>1</m:t>
                </m:r>
                <m:r>
                  <m:rPr>
                    <m:sty m:val="p"/>
                  </m:rPr>
                  <m:t>−</m:t>
                </m:r>
                <m:sSub>
                  <m:e>
                    <m:r>
                      <m:t>z</m:t>
                    </m:r>
                  </m:e>
                  <m:sub>
                    <m:r>
                      <m:t>v</m:t>
                    </m:r>
                  </m:sub>
                </m:sSub>
              </m:e>
            </m:d>
          </m:e>
        </m:nary>
        <m:r>
          <m:rPr>
            <m:sty m:val="p"/>
          </m:rPr>
          <m:t>+</m:t>
        </m:r>
        <m:nary>
          <m:naryPr>
            <m:chr m:val="∑"/>
            <m:limLoc m:val="undOvr"/>
            <m:subHide m:val="off"/>
            <m:supHide m:val="on"/>
          </m:naryPr>
          <m:sub>
            <m:r>
              <m:t>v</m:t>
            </m:r>
            <m:r>
              <m:rPr>
                <m:sty m:val="p"/>
              </m:rPr>
              <m:t>:</m:t>
            </m:r>
            <m:sSubSup>
              <m:e>
                <m:r>
                  <m:t>z</m:t>
                </m:r>
              </m:e>
              <m:sub>
                <m:r>
                  <m:t>v</m:t>
                </m:r>
              </m:sub>
              <m:sup>
                <m:r>
                  <m:t>0</m:t>
                </m:r>
              </m:sup>
            </m:sSubSup>
            <m:r>
              <m:rPr>
                <m:sty m:val="p"/>
              </m:rPr>
              <m:t>=</m:t>
            </m:r>
            <m:r>
              <m:t>0</m:t>
            </m:r>
          </m:sub>
          <m:sup>
            <m:r>
              <m:t>​</m:t>
            </m:r>
          </m:sup>
          <m:e>
            <m:sSub>
              <m:e>
                <m:r>
                  <m:t>z</m:t>
                </m:r>
              </m:e>
              <m:sub>
                <m:r>
                  <m:t>v</m:t>
                </m:r>
              </m:sub>
            </m:sSub>
          </m:e>
        </m:nary>
        <m:r>
          <m:rPr>
            <m:sty m:val="p"/>
          </m:rPr>
          <m:t>≤</m:t>
        </m:r>
        <m:sSub>
          <m:e>
            <m:r>
              <m:t>B</m:t>
            </m:r>
          </m:e>
          <m:sub>
            <m:r>
              <m:t>C</m:t>
            </m:r>
          </m:sub>
        </m:sSub>
        <m:r>
          <m:rPr>
            <m:sty m:val="p"/>
          </m:rPr>
          <m:t>,</m:t>
        </m:r>
        <m:r>
          <m:t>  </m:t>
        </m:r>
        <m:sSubSup>
          <m:e>
            <m:r>
              <m:t>d</m:t>
            </m:r>
          </m:e>
          <m:sub>
            <m:r>
              <m:t>R</m:t>
            </m:r>
          </m:sub>
          <m:sup>
            <m:r>
              <m:t>n</m:t>
            </m:r>
            <m:r>
              <m:t>e</m:t>
            </m:r>
            <m:r>
              <m:t>t</m:t>
            </m:r>
          </m:sup>
        </m:sSubSup>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1</m:t>
            </m:r>
          </m:sub>
          <m:sup>
            <m:r>
              <m:t>​</m:t>
            </m:r>
          </m:sup>
          <m:e>
            <m:d>
              <m:dPr>
                <m:begChr m:val="("/>
                <m:endChr m:val=")"/>
                <m:sepChr m:val=""/>
                <m:grow/>
              </m:dPr>
              <m:e>
                <m:r>
                  <m:t>1</m:t>
                </m:r>
                <m:r>
                  <m:rPr>
                    <m:sty m:val="p"/>
                  </m:rPr>
                  <m:t>−</m:t>
                </m:r>
                <m:sSub>
                  <m:e>
                    <m:r>
                      <m:t>y</m:t>
                    </m:r>
                  </m:e>
                  <m:sub>
                    <m:r>
                      <m:t>r</m:t>
                    </m:r>
                  </m:sub>
                </m:sSub>
              </m:e>
            </m:d>
          </m:e>
        </m:nary>
        <m:r>
          <m:rPr>
            <m:sty m:val="p"/>
          </m:rPr>
          <m:t>+</m:t>
        </m:r>
        <m:nary>
          <m:naryPr>
            <m:chr m:val="∑"/>
            <m:limLoc m:val="undOvr"/>
            <m:subHide m:val="off"/>
            <m:supHide m:val="on"/>
          </m:naryPr>
          <m:sub>
            <m:r>
              <m:t>r</m:t>
            </m:r>
            <m:r>
              <m:rPr>
                <m:sty m:val="p"/>
              </m:rPr>
              <m:t>:</m:t>
            </m:r>
            <m:sSubSup>
              <m:e>
                <m:r>
                  <m:t>y</m:t>
                </m:r>
              </m:e>
              <m:sub>
                <m:r>
                  <m:t>r</m:t>
                </m:r>
              </m:sub>
              <m:sup>
                <m:r>
                  <m:t>0</m:t>
                </m:r>
              </m:sup>
            </m:sSubSup>
            <m:r>
              <m:rPr>
                <m:sty m:val="p"/>
              </m:rPr>
              <m:t>=</m:t>
            </m:r>
            <m:r>
              <m:t>0</m:t>
            </m:r>
          </m:sub>
          <m:sup>
            <m:r>
              <m:t>​</m:t>
            </m:r>
          </m:sup>
          <m:e>
            <m:sSub>
              <m:e>
                <m:r>
                  <m:t>y</m:t>
                </m:r>
              </m:e>
              <m:sub>
                <m:r>
                  <m:t>r</m:t>
                </m:r>
              </m:sub>
            </m:sSub>
          </m:e>
        </m:nary>
        <m:r>
          <m:rPr>
            <m:sty m:val="p"/>
          </m:rPr>
          <m:t>≤</m:t>
        </m:r>
        <m:sSub>
          <m:e>
            <m:r>
              <m:t>B</m:t>
            </m:r>
          </m:e>
          <m:sub>
            <m:r>
              <m:t>R</m:t>
            </m:r>
          </m:sub>
        </m:sSub>
        <m:r>
          <m:rPr>
            <m:sty m:val="p"/>
          </m:rPr>
          <m:t>.</m:t>
        </m:r>
      </m:oMath>
      <w:r>
        <w:rPr>
          <w:sz w:val="21"/>
        </w:rPr>
        <w:tab/>
      </w:r>
      <w:bookmarkStart w:id="2039" w:name="Equation_4_16"/>
      <w:r>
        <w:rPr>
          <w:sz w:val="21"/>
        </w:rPr>
        <w:t>（4-</w:t>
      </w:r>
      <w:fldSimple w:instr=" SEQ Equation4 \* ARABIC ">
        <w:r>
          <w:t>16</w:t>
        </w:r>
      </w:fldSimple>
      <w:r>
        <w:rPr>
          <w:sz w:val="21"/>
        </w:rPr>
        <w:t>）</w:t>
      </w:r>
      <w:bookmarkEnd w:id="2039"/>
    </w:p>
    <w:p>
      <w:pPr>
        <w:pStyle w:val="Normal"/>
        <w:spacing w:after="80"/>
      </w:pPr>
      <w:r>
        <w:t xml:space="preserve">类型或边界改变对应不同变量，计为一次删除和一次加入，与局部路径的</w:t>
      </w:r>
      <m:oMath>
        <m:d>
          <m:dPr>
            <m:begChr m:val="|"/>
            <m:endChr m:val="|"/>
            <m:sepChr m:val=""/>
            <m:grow/>
          </m:dPr>
          <m:e>
            <m:r>
              <m:t>D</m:t>
            </m:r>
          </m:e>
        </m:d>
        <m:r>
          <m:rPr>
            <m:sty m:val="p"/>
          </m:rPr>
          <m:t>+</m:t>
        </m:r>
        <m:d>
          <m:dPr>
            <m:begChr m:val="|"/>
            <m:endChr m:val="|"/>
            <m:sepChr m:val=""/>
            <m:grow/>
          </m:dPr>
          <m:e>
            <m:r>
              <m:t>B</m:t>
            </m:r>
          </m:e>
        </m:d>
      </m:oMath>
      <w:r>
        <w:t xml:space="preserve">口径一致；端点被删除而失效的旧关系在</w:t>
      </w:r>
      <m:oMath>
        <m:sSubSup>
          <m:e>
            <m:r>
              <m:t>d</m:t>
            </m:r>
          </m:e>
          <m:sub>
            <m:r>
              <m:t>R</m:t>
            </m:r>
          </m:sub>
          <m:sup>
            <m:r>
              <m:t>n</m:t>
            </m:r>
            <m:r>
              <m:t>e</m:t>
            </m:r>
            <m:r>
              <m:t>t</m:t>
            </m:r>
          </m:sup>
        </m:sSubSup>
      </m:oMath>
      <w:r>
        <w:t xml:space="preserve">中计费。分项门相对</w:t>
      </w:r>
      <m:oMath>
        <m:sSub>
          <m:e>
            <m:r>
              <m:t>G</m:t>
            </m:r>
          </m:e>
          <m:sub>
            <m:r>
              <m:t>0</m:t>
            </m:r>
          </m:sub>
        </m:sSub>
      </m:oMath>
      <w:r>
        <w:t xml:space="preserve">定义为</w:t>
      </w:r>
      <m:oMath>
        <m:sSub>
          <m:e>
            <m:r>
              <m:t>Φ</m:t>
            </m:r>
          </m:e>
          <m:sub>
            <m:r>
              <m:t>C</m:t>
            </m:r>
          </m:sub>
        </m:sSub>
        <m:d>
          <m:dPr>
            <m:begChr m:val="("/>
            <m:endChr m:val=")"/>
            <m:sepChr m:val=""/>
            <m:grow/>
          </m:dPr>
          <m:e>
            <m:r>
              <m:t>z</m:t>
            </m:r>
          </m:e>
        </m:d>
        <m:r>
          <m:rPr>
            <m:sty m:val="p"/>
          </m:rPr>
          <m:t>≥</m:t>
        </m:r>
        <m:sSub>
          <m:e>
            <m:r>
              <m:t>Φ</m:t>
            </m:r>
          </m:e>
          <m:sub>
            <m:r>
              <m:t>C</m:t>
            </m:r>
          </m:sub>
        </m:sSub>
        <m:d>
          <m:dPr>
            <m:begChr m:val="("/>
            <m:endChr m:val=")"/>
            <m:sepChr m:val=""/>
            <m:grow/>
          </m:dPr>
          <m:e>
            <m:sSup>
              <m:e>
                <m:r>
                  <m:t>z</m:t>
                </m:r>
              </m:e>
              <m:sup>
                <m:r>
                  <m:t>0</m:t>
                </m:r>
              </m:sup>
            </m:sSup>
          </m:e>
        </m:d>
      </m:oMath>
      <w:r>
        <w:t xml:space="preserve">与</w:t>
      </w:r>
      <m:oMath>
        <m:sSub>
          <m:e>
            <m:r>
              <m:t>Φ</m:t>
            </m:r>
          </m:e>
          <m:sub>
            <m:r>
              <m:t>R</m:t>
            </m:r>
          </m:sub>
        </m:sSub>
        <m:d>
          <m:dPr>
            <m:begChr m:val="("/>
            <m:endChr m:val=")"/>
            <m:sepChr m:val=""/>
            <m:grow/>
          </m:dPr>
          <m:e>
            <m:r>
              <m:t>y</m:t>
            </m:r>
          </m:e>
        </m:d>
        <m:r>
          <m:rPr>
            <m:sty m:val="p"/>
          </m:rPr>
          <m:t>≥</m:t>
        </m:r>
        <m:sSub>
          <m:e>
            <m:r>
              <m:t>Φ</m:t>
            </m:r>
          </m:e>
          <m:sub>
            <m:r>
              <m:t>R</m:t>
            </m:r>
          </m:sub>
        </m:sSub>
        <m:d>
          <m:dPr>
            <m:begChr m:val="("/>
            <m:endChr m:val=")"/>
            <m:sepChr m:val=""/>
            <m:grow/>
          </m:dPr>
          <m:e>
            <m:sSup>
              <m:e>
                <m:r>
                  <m:t>y</m:t>
                </m:r>
              </m:e>
              <m:sup>
                <m:r>
                  <m:t>0</m:t>
                </m:r>
              </m:sup>
            </m:sSup>
          </m:e>
        </m:d>
      </m:oMath>
      <w:r>
        <w:t xml:space="preserve">，主配置</w:t>
      </w:r>
      <m:oMath>
        <m:sSub>
          <m:e>
            <m:r>
              <m:t>B</m:t>
            </m:r>
          </m:e>
          <m:sub>
            <m:r>
              <m:t>C</m:t>
            </m:r>
          </m:sub>
        </m:sSub>
        <m:r>
          <m:rPr>
            <m:sty m:val="p"/>
          </m:rPr>
          <m:t>=</m:t>
        </m:r>
        <m:r>
          <m:t>24</m:t>
        </m:r>
      </m:oMath>
      <w:r>
        <w:t xml:space="preserve">、</w:t>
      </w:r>
      <m:oMath>
        <m:sSub>
          <m:e>
            <m:r>
              <m:t>B</m:t>
            </m:r>
          </m:e>
          <m:sub>
            <m:r>
              <m:t>R</m:t>
            </m:r>
          </m:sub>
        </m:sSub>
        <m:r>
          <m:rPr>
            <m:sty m:val="p"/>
          </m:rPr>
          <m:t>=</m:t>
        </m:r>
        <m:r>
          <m:t>96</m:t>
        </m:r>
      </m:oMath>
      <w:r>
        <w:t xml:space="preserve">。求解后若</w:t>
      </w:r>
      <m:oMath>
        <m:sSup>
          <m:e>
            <m:r>
              <m:t>Φ</m:t>
            </m:r>
          </m:e>
          <m:sup>
            <m:r>
              <m:rPr>
                <m:sty m:val="p"/>
              </m:rPr>
              <m:t>*</m:t>
            </m:r>
          </m:sup>
        </m:sSup>
        <m:r>
          <m:rPr>
            <m:sty m:val="p"/>
          </m:rPr>
          <m:t>−</m:t>
        </m:r>
        <m:r>
          <m:t>Φ</m:t>
        </m:r>
        <m:d>
          <m:dPr>
            <m:begChr m:val="("/>
            <m:endChr m:val=")"/>
            <m:sepChr m:val=""/>
            <m:grow/>
          </m:dPr>
          <m:e>
            <m:sSup>
              <m:e>
                <m:r>
                  <m:t>z</m:t>
                </m:r>
              </m:e>
              <m:sup>
                <m:r>
                  <m:t>0</m:t>
                </m:r>
              </m:sup>
            </m:sSup>
            <m:r>
              <m:rPr>
                <m:sty m:val="p"/>
              </m:rPr>
              <m:t>,</m:t>
            </m:r>
            <m:sSup>
              <m:e>
                <m:r>
                  <m:t>y</m:t>
                </m:r>
              </m:e>
              <m:sup>
                <m:r>
                  <m:t>0</m:t>
                </m:r>
              </m:sup>
            </m:sSup>
          </m:e>
        </m:d>
        <m:r>
          <m:rPr>
            <m:sty m:val="p"/>
          </m:rPr>
          <m:t>&gt;</m:t>
        </m:r>
        <m:r>
          <m:t>δ</m:t>
        </m:r>
      </m:oMath>
      <w:r>
        <w:t xml:space="preserve">且复核通过，则返回该终态，否则返回</w:t>
      </w:r>
      <m:oMath>
        <m:sSub>
          <m:e>
            <m:r>
              <m:t>G</m:t>
            </m:r>
          </m:e>
          <m:sub>
            <m:r>
              <m:t>0</m:t>
            </m:r>
          </m:sub>
        </m:sSub>
      </m:oMath>
      <w:r>
        <w:t xml:space="preserve">。</w:t>
      </w:r>
    </w:p>
    <w:p>
      <w:pPr>
        <w:pStyle w:val="Normal"/>
        <w:spacing w:after="80"/>
      </w:pPr>
      <m:oMath>
        <m:d>
          <m:dPr>
            <m:begChr m:val="("/>
            <m:endChr m:val=")"/>
            <m:sepChr m:val=""/>
            <m:grow/>
          </m:dPr>
          <m:e>
            <m:sSup>
              <m:e>
                <m:r>
                  <m:t>z</m:t>
                </m:r>
              </m:e>
              <m:sup>
                <m:r>
                  <m:t>0</m:t>
                </m:r>
              </m:sup>
            </m:sSup>
            <m:r>
              <m:rPr>
                <m:sty m:val="p"/>
              </m:rPr>
              <m:t>,</m:t>
            </m:r>
            <m:sSup>
              <m:e>
                <m:r>
                  <m:t>y</m:t>
                </m:r>
              </m:e>
              <m:sup>
                <m:r>
                  <m:t>0</m:t>
                </m:r>
              </m:sup>
            </m:sSup>
          </m:e>
        </m:d>
      </m:oMath>
      <w:r>
        <w:t xml:space="preserve">满足全部约束：</w:t>
      </w:r>
      <m:oMath>
        <m:sSub>
          <m:e>
            <m:r>
              <m:t>G</m:t>
            </m:r>
          </m:e>
          <m:sub>
            <m:r>
              <m:t>0</m:t>
            </m:r>
          </m:sub>
        </m:sSub>
      </m:oMath>
      <w:r>
        <w:t xml:space="preserve">经共同合法化、其对象受保护地留在候选宇宙中、编辑量为零且分项门取等号。因此全局模型恒可行，求解器报告“不可行”只能来自实现或数值错误，按求解失败记录，不解释为“不存在可接受修改”。</w:t>
      </w:r>
    </w:p>
    <w:p>
      <w:pPr>
        <w:pStyle w:val="Normal"/>
        <w:spacing w:after="80"/>
      </w:pPr>
      <w:r>
        <w:t xml:space="preserve">（4）与局部路径的语义差别。局部路径每次事务相对当前状态检查分项门，累计编辑逐次相加；其任一终态都满足相对</w:t>
      </w:r>
      <m:oMath>
        <m:sSub>
          <m:e>
            <m:r>
              <m:t>G</m:t>
            </m:r>
          </m:e>
          <m:sub>
            <m:r>
              <m:t>0</m:t>
            </m:r>
          </m:sub>
        </m:sSub>
      </m:oMath>
      <w:r>
        <w:t xml:space="preserve">的分项门，且净编辑不超过累计编辑，故属于全局可行域。反之，全局最优解可能需要局部路径中某一步分项下降才能到达，因而两者可行域不等价。表4-3汇总两条路径的定义差异。</w:t>
      </w:r>
    </w:p>
    <w:p>
      <w:pPr>
        <w:pStyle w:val="Caption"/>
        <w:keepNext/>
        <w:spacing w:after="80"/>
        <w:ind w:firstLine="0"/>
        <w:jc w:val="center"/>
      </w:pPr>
      <w:r>
        <w:rPr>
          <w:rFonts w:ascii="Arial Unicode MS" w:hAnsi="Arial Unicode MS" w:eastAsia="Arial Unicode MS"/>
        </w:rPr>
        <w:t xml:space="preserve">表4-3 局部路径与全局路径的规约对照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3"/>
        <w:gridCol w:w="3822"/>
        <w:gridCol w:w="4038"/>
      </w:tblGrid>
      <w:tr>
        <w:trPr>
          <w:cantSplit/>
          <w:tblHeader/>
        </w:trPr>
        <w:tc>
          <w:tcPr>
            <w:tcW w:type="dxa" w:w="1803"/>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要素</w:t>
            </w:r>
          </w:p>
        </w:tc>
        <w:tc>
          <w:tcPr>
            <w:tcW w:type="dxa" w:w="382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局部路径（单对象闭合或BR-J）</w:t>
            </w:r>
          </w:p>
        </w:tc>
        <w:tc>
          <w:tcPr>
            <w:tcW w:type="dxa" w:w="4038"/>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全局路径</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决策变量</w:t>
            </w:r>
          </w:p>
        </w:tc>
        <w:tc>
          <w:tcPr>
            <w:tcW w:type="dxa" w:w="3822"/>
            <w:vAlign w:val="center"/>
            <w:tcMar>
              <w:top w:w="65" w:type="dxa"/>
              <w:bottom w:w="65" w:type="dxa"/>
              <w:left w:w="65" w:type="dxa"/>
              <w:right w:w="65" w:type="dxa"/>
            </w:tcMar>
          </w:tcPr>
          <w:p>
            <w:pPr>
              <w:pStyle w:val="Normal"/>
              <w:spacing w:after="0" w:line="259" w:lineRule="auto"/>
              <w:ind w:firstLine="0"/>
              <w:jc w:val="left"/>
            </w:pPr>
            <w:r>
              <w:rPr>
                <w:b w:val="0"/>
                <w:sz w:val="18"/>
              </w:rPr>
              <w:t xml:space="preserve">组件状态固定为提议后的</w:t>
            </w:r>
            <m:oMath>
              <m:r>
                <m:t>C</m:t>
              </m:r>
              <m:r>
                <m:rPr>
                  <m:sty m:val="p"/>
                </m:rPr>
                <m:t>′</m:t>
              </m:r>
            </m:oMath>
            <w:r>
              <w:rPr>
                <w:b w:val="0"/>
                <w:sz w:val="18"/>
              </w:rPr>
              <w:t xml:space="preserve">；仅</w:t>
            </w:r>
            <m:oMath>
              <m:sSub>
                <m:e>
                  <m:r>
                    <m:t>y</m:t>
                  </m:r>
                </m:e>
                <m:sub>
                  <m:r>
                    <m:t>r</m:t>
                  </m:r>
                </m:sub>
              </m:sSub>
            </m:oMath>
            <w:r>
              <w:rPr>
                <w:b w:val="0"/>
                <w:sz w:val="18"/>
              </w:rPr>
              <w:t xml:space="preserve">，</w:t>
            </w:r>
            <m:oMath>
              <m:r>
                <m:t>r</m:t>
              </m:r>
              <m:r>
                <m:rPr>
                  <m:sty m:val="p"/>
                </m:rPr>
                <m:t>∈</m:t>
              </m:r>
              <m:sSub>
                <m:e>
                  <m:r>
                    <m:t>P</m:t>
                  </m:r>
                </m:e>
                <m:sub>
                  <m:r>
                    <m:rPr>
                      <m:sty m:val="p"/>
                    </m:rPr>
                    <m:t>t</m:t>
                  </m:r>
                  <m:r>
                    <m:rPr>
                      <m:sty m:val="p"/>
                    </m:rPr>
                    <m:t>x</m:t>
                  </m:r>
                </m:sub>
              </m:sSub>
            </m:oMath>
            <w:r>
              <w:rPr>
                <w:b w:val="0"/>
                <w:sz w:val="18"/>
              </w:rPr>
              <w:t xml:space="preserve">可变</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全部</w:t>
            </w:r>
            <m:oMath>
              <m:sSub>
                <m:e>
                  <m:r>
                    <m:t>z</m:t>
                  </m:r>
                </m:e>
                <m:sub>
                  <m:r>
                    <m:t>v</m:t>
                  </m:r>
                </m:sub>
              </m:sSub>
            </m:oMath>
            <w:r>
              <w:rPr>
                <w:b w:val="0"/>
                <w:sz w:val="18"/>
              </w:rPr>
              <w:t xml:space="preserve">与</w:t>
            </w:r>
            <m:oMath>
              <m:sSub>
                <m:e>
                  <m:r>
                    <m:t>y</m:t>
                  </m:r>
                </m:e>
                <m:sub>
                  <m:r>
                    <m:t>r</m:t>
                  </m:r>
                </m:sub>
              </m:sSub>
            </m:oMath>
            <w:r>
              <w:rPr>
                <w:b w:val="0"/>
                <w:sz w:val="18"/>
              </w:rPr>
              <w:t xml:space="preserve">同时可变</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目标</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同一</w:t>
            </w:r>
            <m:oMath>
              <m:r>
                <m:t>Φ</m:t>
              </m:r>
            </m:oMath>
            <w:r>
              <w:rPr>
                <w:b w:val="0"/>
                <w:sz w:val="18"/>
              </w:rPr>
              <w:t xml:space="preserve">；单次求解中组件项为常数</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同一</w:t>
            </w:r>
            <m:oMath>
              <m:r>
                <m:t>Φ</m:t>
              </m:r>
            </m:oMath>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事务外对象</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固定为当前状态，仅最小合法化扩域</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无事务边界</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CDCP连续性</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在固定</w:t>
            </w:r>
            <m:oMath>
              <m:r>
                <m:t>C</m:t>
              </m:r>
              <m:r>
                <m:rPr>
                  <m:sty m:val="p"/>
                </m:rPr>
                <m:t>′</m:t>
              </m:r>
            </m:oMath>
            <w:r>
              <w:rPr>
                <w:b w:val="0"/>
                <w:sz w:val="18"/>
              </w:rPr>
              <w:t xml:space="preserve">上预判，非法超边强制</w:t>
            </w:r>
            <m:oMath>
              <m:sSub>
                <m:e>
                  <m:r>
                    <m:t>y</m:t>
                  </m:r>
                </m:e>
                <m:sub>
                  <m:r>
                    <m:t>h</m:t>
                  </m:r>
                </m:sub>
              </m:sSub>
              <m:r>
                <m:rPr>
                  <m:sty m:val="p"/>
                </m:rPr>
                <m:t>=</m:t>
              </m:r>
              <m:r>
                <m:t>0</m:t>
              </m:r>
            </m:oMath>
          </w:p>
        </w:tc>
        <w:tc>
          <w:tcPr>
            <w:tcW w:type="dxa" w:w="4038"/>
            <w:vAlign w:val="center"/>
            <w:tcMar>
              <w:top w:w="65" w:type="dxa"/>
              <w:bottom w:w="65" w:type="dxa"/>
              <w:left w:w="65" w:type="dxa"/>
              <w:right w:w="65" w:type="dxa"/>
            </w:tcMar>
          </w:tcPr>
          <w:p>
            <w:pPr>
              <w:pStyle w:val="Normal"/>
              <w:spacing w:after="0" w:line="259" w:lineRule="auto"/>
              <w:ind w:firstLine="0"/>
              <w:jc w:val="center"/>
            </w:pPr>
            <m:oMath>
              <m:sSub>
                <m:e>
                  <m:r>
                    <m:t>y</m:t>
                  </m:r>
                </m:e>
                <m:sub>
                  <m:r>
                    <m:t>h</m:t>
                  </m:r>
                </m:sub>
              </m:sSub>
              <m:r>
                <m:rPr>
                  <m:sty m:val="p"/>
                </m:rPr>
                <m:t>+</m:t>
              </m:r>
              <m:sSub>
                <m:e>
                  <m:r>
                    <m:t>z</m:t>
                  </m:r>
                </m:e>
                <m:sub>
                  <m:r>
                    <m:t>w</m:t>
                  </m:r>
                </m:sub>
              </m:sSub>
              <m:r>
                <m:rPr>
                  <m:sty m:val="p"/>
                </m:rPr>
                <m:t>≤</m:t>
              </m:r>
              <m:r>
                <m:t>1</m:t>
              </m:r>
            </m:oMath>
            <w:r>
              <w:rPr>
                <w:b w:val="0"/>
                <w:sz w:val="18"/>
              </w:rPr>
              <w:t xml:space="preserve">，</w:t>
            </w:r>
            <m:oMath>
              <m:r>
                <m:t>w</m:t>
              </m:r>
              <m:r>
                <m:rPr>
                  <m:sty m:val="p"/>
                </m:rPr>
                <m:t>∈</m:t>
              </m:r>
              <m:r>
                <m:rPr>
                  <m:sty m:val="p"/>
                </m:rPr>
                <m:t>Btw</m:t>
              </m:r>
              <m:d>
                <m:dPr>
                  <m:begChr m:val="("/>
                  <m:endChr m:val=")"/>
                  <m:sepChr m:val=""/>
                  <m:grow/>
                </m:dPr>
                <m:e>
                  <m:r>
                    <m:t>h</m:t>
                  </m:r>
                </m:e>
              </m:d>
            </m:oMath>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分项门参照</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每次事务相对当前状态</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终态相对</w:t>
            </w:r>
            <m:oMath>
              <m:sSub>
                <m:e>
                  <m:r>
                    <m:t>G</m:t>
                  </m:r>
                </m:e>
                <m:sub>
                  <m:r>
                    <m:t>0</m:t>
                  </m:r>
                </m:sub>
              </m:sSub>
            </m:oMath>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编辑计数</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累计：各次提交的删增之和</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净：终态相对</w:t>
            </w:r>
            <m:oMath>
              <m:sSub>
                <m:e>
                  <m:r>
                    <m:t>G</m:t>
                  </m:r>
                </m:e>
                <m:sub>
                  <m:r>
                    <m:t>0</m:t>
                  </m:r>
                </m:sub>
              </m:sSub>
            </m:oMath>
            <w:r>
              <w:rPr>
                <w:b w:val="0"/>
                <w:sz w:val="18"/>
              </w:rPr>
              <w:t xml:space="preserve">的差异</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预算数值</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组件24、关系96（累计）</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组件24、关系96（净）</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缺失评分</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触及缺分对象的事务拒绝</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要求全池评分齐备，否则不进入本路径</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求解调用</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每个提议一次ILP；外层至多128次尝试</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每文档一次主求解，另加破同分求解</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返回</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最近完整合法图及停止原因</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经复核的终态，或</w:t>
            </w:r>
            <m:oMath>
              <m:sSub>
                <m:e>
                  <m:r>
                    <m:t>G</m:t>
                  </m:r>
                </m:e>
                <m:sub>
                  <m:r>
                    <m:t>0</m:t>
                  </m:r>
                </m:sub>
              </m:sSub>
            </m:oMath>
            <w:r>
              <w:rPr>
                <w:b w:val="0"/>
                <w:sz w:val="18"/>
              </w:rPr>
              <w:t xml:space="preserve">及状态码</w:t>
            </w:r>
          </w:p>
        </w:tc>
      </w:tr>
    </w:tbl>
    <w:p>
      <w:pPr>
        <w:pStyle w:val="Normal"/>
        <w:spacing w:after="80"/>
      </w:pPr>
      <w:r>
        <w:t xml:space="preserve">（5）破同分。依次求解三级目标：先最大化</w:t>
      </w:r>
      <m:oMath>
        <m:r>
          <m:t>Φ</m:t>
        </m:r>
      </m:oMath>
      <w:r>
        <w:t xml:space="preserve">；再在</w:t>
      </w:r>
      <m:oMath>
        <m:r>
          <m:t>Φ</m:t>
        </m:r>
        <m:r>
          <m:rPr>
            <m:sty m:val="p"/>
          </m:rPr>
          <m:t>≥</m:t>
        </m:r>
        <m:sSup>
          <m:e>
            <m:r>
              <m:t>Φ</m:t>
            </m:r>
          </m:e>
          <m:sup>
            <m:r>
              <m:rPr>
                <m:sty m:val="p"/>
              </m:rPr>
              <m:t>*</m:t>
            </m:r>
          </m:sup>
        </m:sSup>
        <m:r>
          <m:rPr>
            <m:sty m:val="p"/>
          </m:rPr>
          <m:t>−</m:t>
        </m:r>
        <m:r>
          <m:t>ε</m:t>
        </m:r>
      </m:oMath>
      <w:r>
        <w:t xml:space="preserve">下最小化</w:t>
      </w:r>
      <m:oMath>
        <m:sSubSup>
          <m:e>
            <m:r>
              <m:t>d</m:t>
            </m:r>
          </m:e>
          <m:sub>
            <m:r>
              <m:t>C</m:t>
            </m:r>
          </m:sub>
          <m:sup>
            <m:r>
              <m:t>n</m:t>
            </m:r>
            <m:r>
              <m:t>e</m:t>
            </m:r>
            <m:r>
              <m:t>t</m:t>
            </m:r>
          </m:sup>
        </m:sSubSup>
        <m:r>
          <m:rPr>
            <m:sty m:val="p"/>
          </m:rPr>
          <m:t>+</m:t>
        </m:r>
        <m:sSubSup>
          <m:e>
            <m:r>
              <m:t>d</m:t>
            </m:r>
          </m:e>
          <m:sub>
            <m:r>
              <m:t>R</m:t>
            </m:r>
          </m:sub>
          <m:sup>
            <m:r>
              <m:t>n</m:t>
            </m:r>
            <m:r>
              <m:t>e</m:t>
            </m:r>
            <m:r>
              <m:t>t</m:t>
            </m:r>
          </m:sup>
        </m:sSubSup>
      </m:oMath>
      <w:r>
        <w:t xml:space="preserve">；仍有多个解时，按规范键顺序逐个固定对象取值并优先保持</w:t>
      </w:r>
      <m:oMath>
        <m:sSub>
          <m:e>
            <m:r>
              <m:t>G</m:t>
            </m:r>
          </m:e>
          <m:sub>
            <m:r>
              <m:t>0</m:t>
            </m:r>
          </m:sub>
        </m:sSub>
      </m:oMath>
      <w:r>
        <w:t xml:space="preserve">状态，每次固定后确认前两级目标仍可达。</w:t>
      </w:r>
      <m:oMath>
        <m:r>
          <m:t>ε</m:t>
        </m:r>
      </m:oMath>
      <w:r>
        <w:t xml:space="preserve">为写入配置的比较容差；第三级设调用上限，未完成时记录“破同分未完成”，不称唯一最优。</w:t>
      </w:r>
    </w:p>
    <w:p>
      <w:pPr>
        <w:pStyle w:val="Heading3"/>
      </w:pPr>
      <w:r>
        <w:rPr>
          <w:rFonts w:ascii="Arial Unicode MS" w:hAnsi="Arial Unicode MS" w:eastAsia="Arial Unicode MS"/>
        </w:rPr>
        <w:t>4.5.3 方法性质与适用条件</w:t>
      </w:r>
    </w:p>
    <w:p>
      <w:pPr>
        <w:pStyle w:val="Normal"/>
        <w:spacing w:after="80"/>
      </w:pPr>
      <w:r>
        <w:t xml:space="preserve">命题4-1：固定候选宇宙及对象评分时，两个预测状态之间的效用差可由新增、删除对象精确计算。</w:t>
      </w:r>
    </w:p>
    <w:p>
      <w:pPr>
        <w:pStyle w:val="Normal"/>
        <w:spacing w:after="80"/>
      </w:pPr>
      <w:r>
        <w:t xml:space="preserve">证明：对</w:t>
      </w:r>
      <w:r>
        <w:t xml:space="preserve"> </w:t>
      </w:r>
      <m:oMath>
        <m:r>
          <m:t>X</m:t>
        </m:r>
        <m:r>
          <m:rPr>
            <m:sty m:val="p"/>
          </m:rPr>
          <m:t>∈</m:t>
        </m:r>
        <m:r>
          <m:rPr>
            <m:sty m:val="p"/>
          </m:rPr>
          <m:t>{</m:t>
        </m:r>
        <m:r>
          <m:t>C</m:t>
        </m:r>
        <m:r>
          <m:rPr>
            <m:sty m:val="p"/>
          </m:rPr>
          <m:t>,</m:t>
        </m:r>
        <m:r>
          <m:t>R</m:t>
        </m:r>
        <m:r>
          <m:rPr>
            <m:sty m:val="p"/>
          </m:rPr>
          <m:t>}</m:t>
        </m:r>
      </m:oMath>
      <w:r>
        <w:t xml:space="preserve">，记</w:t>
      </w:r>
      <w:r>
        <w:t xml:space="preserve"> </w:t>
      </w:r>
      <m:oMath>
        <m:sSub>
          <m:e>
            <m:r>
              <m:t>a</m:t>
            </m:r>
          </m:e>
          <m:sub>
            <m:r>
              <m:t>X</m:t>
            </m:r>
          </m:sub>
        </m:sSub>
        <m:d>
          <m:dPr>
            <m:begChr m:val="("/>
            <m:endChr m:val=")"/>
            <m:sepChr m:val=""/>
            <m:grow/>
          </m:dPr>
          <m:e>
            <m:r>
              <m:t>o</m:t>
            </m:r>
          </m:e>
        </m:d>
        <m:r>
          <m:rPr>
            <m:sty m:val="p"/>
          </m:rPr>
          <m:t>=</m:t>
        </m:r>
        <m:r>
          <m:t>2</m:t>
        </m:r>
        <m:sSub>
          <m:e>
            <m:r>
              <m:t>q</m:t>
            </m:r>
          </m:e>
          <m:sub>
            <m:r>
              <m:t>X</m:t>
            </m:r>
          </m:sub>
        </m:sSub>
        <m:d>
          <m:dPr>
            <m:begChr m:val="("/>
            <m:endChr m:val=")"/>
            <m:sepChr m:val=""/>
            <m:grow/>
          </m:dPr>
          <m:e>
            <m:r>
              <m:t>o</m:t>
            </m:r>
            <m:r>
              <m:rPr>
                <m:sty m:val="p"/>
              </m:rPr>
              <m:t>∣</m:t>
            </m:r>
            <m:r>
              <m:t>x</m:t>
            </m:r>
          </m:e>
        </m:d>
        <m:r>
          <m:rPr>
            <m:sty m:val="p"/>
          </m:rPr>
          <m:t>−</m:t>
        </m:r>
        <m:sSub>
          <m:e>
            <m:r>
              <m:t>κ</m:t>
            </m:r>
          </m:e>
          <m:sub>
            <m:r>
              <m:t>X</m:t>
            </m:r>
          </m:sub>
        </m:sSub>
      </m:oMath>
      <w:r>
        <w:t xml:space="preserve">，则</w:t>
      </w:r>
    </w:p>
    <w:p>
      <w:pPr>
        <w:pStyle w:val="Normal"/>
        <w:keepNext w:val="0"/>
        <w:keepLines/>
        <w:tabs>
          <w:tab w:pos="5046" w:val="center"/>
          <w:tab w:pos="10091" w:val="right"/>
        </w:tabs>
        <w:spacing w:line="276" w:lineRule="auto" w:before="120" w:after="120"/>
        <w:ind w:firstLine="0" w:left="0" w:right="0"/>
        <w:jc w:val="left"/>
      </w:pPr>
      <w:r>
        <w:rPr>
          <w:sz w:val="21"/>
        </w:rPr>
        <w:tab/>
      </w:r>
      <m:oMath>
        <m:r>
          <m:t>Δ</m:t>
        </m:r>
        <m:sSub>
          <m:e>
            <m:r>
              <m:t>Φ</m:t>
            </m:r>
          </m:e>
          <m:sub>
            <m:r>
              <m:t>X</m:t>
            </m:r>
          </m:sub>
        </m:sSub>
        <m:r>
          <m:rPr>
            <m:sty m:val="p"/>
          </m:rPr>
          <m:t>=</m:t>
        </m:r>
        <m:nary>
          <m:naryPr>
            <m:chr m:val="∑"/>
            <m:limLoc m:val="undOvr"/>
            <m:subHide m:val="off"/>
            <m:supHide m:val="on"/>
          </m:naryPr>
          <m:sub>
            <m:r>
              <m:t>o</m:t>
            </m:r>
            <m:r>
              <m:rPr>
                <m:sty m:val="p"/>
              </m:rPr>
              <m:t>∈</m:t>
            </m:r>
            <m:r>
              <m:t>X</m:t>
            </m:r>
            <m:d>
              <m:dPr>
                <m:begChr m:val="("/>
                <m:endChr m:val=")"/>
                <m:sepChr m:val=""/>
                <m:grow/>
              </m:dPr>
              <m:e>
                <m:r>
                  <m:t>G</m:t>
                </m:r>
                <m:r>
                  <m:rPr>
                    <m:sty m:val="p"/>
                  </m:rPr>
                  <m:t>′</m:t>
                </m:r>
              </m:e>
            </m:d>
            <m:r>
              <m:rPr>
                <m:sty m:val="p"/>
              </m:rPr>
              <m:t>∖</m:t>
            </m:r>
            <m:r>
              <m:t>X</m:t>
            </m:r>
            <m:d>
              <m:dPr>
                <m:begChr m:val="("/>
                <m:endChr m:val=")"/>
                <m:sepChr m:val=""/>
                <m:grow/>
              </m:dPr>
              <m:e>
                <m:r>
                  <m:t>G</m:t>
                </m:r>
              </m:e>
            </m:d>
          </m:sub>
          <m:sup>
            <m:r>
              <m:t>​</m:t>
            </m:r>
          </m:sup>
          <m:e>
            <m:sSub>
              <m:e>
                <m:r>
                  <m:t>a</m:t>
                </m:r>
              </m:e>
              <m:sub>
                <m:r>
                  <m:t>X</m:t>
                </m:r>
              </m:sub>
            </m:sSub>
          </m:e>
        </m:nary>
        <m:d>
          <m:dPr>
            <m:begChr m:val="("/>
            <m:endChr m:val=")"/>
            <m:sepChr m:val=""/>
            <m:grow/>
          </m:dPr>
          <m:e>
            <m:r>
              <m:t>o</m:t>
            </m:r>
          </m:e>
        </m:d>
        <m:r>
          <m:rPr>
            <m:sty m:val="p"/>
          </m:rPr>
          <m:t>−</m:t>
        </m:r>
        <m:nary>
          <m:naryPr>
            <m:chr m:val="∑"/>
            <m:limLoc m:val="undOvr"/>
            <m:subHide m:val="off"/>
            <m:supHide m:val="on"/>
          </m:naryPr>
          <m:sub>
            <m:r>
              <m:t>o</m:t>
            </m:r>
            <m:r>
              <m:rPr>
                <m:sty m:val="p"/>
              </m:rPr>
              <m:t>∈</m:t>
            </m:r>
            <m:r>
              <m:t>X</m:t>
            </m:r>
            <m:d>
              <m:dPr>
                <m:begChr m:val="("/>
                <m:endChr m:val=")"/>
                <m:sepChr m:val=""/>
                <m:grow/>
              </m:dPr>
              <m:e>
                <m:r>
                  <m:t>G</m:t>
                </m:r>
              </m:e>
            </m:d>
            <m:r>
              <m:rPr>
                <m:sty m:val="p"/>
              </m:rPr>
              <m:t>∖</m:t>
            </m:r>
            <m:r>
              <m:t>X</m:t>
            </m:r>
            <m:d>
              <m:dPr>
                <m:begChr m:val="("/>
                <m:endChr m:val=")"/>
                <m:sepChr m:val=""/>
                <m:grow/>
              </m:dPr>
              <m:e>
                <m:r>
                  <m:t>G</m:t>
                </m:r>
                <m:r>
                  <m:rPr>
                    <m:sty m:val="p"/>
                  </m:rPr>
                  <m:t>′</m:t>
                </m:r>
              </m:e>
            </m:d>
          </m:sub>
          <m:sup>
            <m:r>
              <m:t>​</m:t>
            </m:r>
          </m:sup>
          <m:e>
            <m:sSub>
              <m:e>
                <m:r>
                  <m:t>a</m:t>
                </m:r>
              </m:e>
              <m:sub>
                <m:r>
                  <m:t>X</m:t>
                </m:r>
              </m:sub>
            </m:sSub>
          </m:e>
        </m:nary>
        <m:d>
          <m:dPr>
            <m:begChr m:val="("/>
            <m:endChr m:val=")"/>
            <m:sepChr m:val=""/>
            <m:grow/>
          </m:dPr>
          <m:e>
            <m:r>
              <m:t>o</m:t>
            </m:r>
          </m:e>
        </m:d>
        <m:r>
          <m:rPr>
            <m:sty m:val="p"/>
          </m:rPr>
          <m:t>.</m:t>
        </m:r>
      </m:oMath>
      <w:r>
        <w:rPr>
          <w:sz w:val="21"/>
        </w:rPr>
        <w:tab/>
      </w:r>
      <w:bookmarkStart w:id="2040" w:name="Equation_4_17"/>
      <w:r>
        <w:rPr>
          <w:sz w:val="21"/>
        </w:rPr>
        <w:t>（4-</w:t>
      </w:r>
      <w:fldSimple w:instr=" SEQ Equation4 \* ARABIC ">
        <w:r>
          <w:t>17</w:t>
        </w:r>
      </w:fldSimple>
      <w:r>
        <w:rPr>
          <w:sz w:val="21"/>
        </w:rPr>
        <w:t>）</w:t>
      </w:r>
      <w:bookmarkEnd w:id="2040"/>
    </w:p>
    <w:p>
      <w:pPr>
        <w:pStyle w:val="Normal"/>
        <w:spacing w:after="80"/>
      </w:pPr>
      <w:r>
        <w:t xml:space="preserve">固定评分使共同对象抵消，完整依赖重建使差集覆盖所有改变的关系。详细推导及评分变化时的适用边界见附录B.6。</w:t>
      </w:r>
    </w:p>
    <w:p>
      <w:pPr>
        <w:pStyle w:val="Normal"/>
        <w:spacing w:after="80"/>
      </w:pPr>
      <w:r>
        <w:t xml:space="preserve">命题4-2：存在合法状态，使全部单对象改动均不能通过严格改进条件，而一个集合替换可以通过。</w:t>
      </w:r>
    </w:p>
    <w:p>
      <w:pPr>
        <w:spacing w:after="80"/>
      </w:pPr>
      <w:r>
        <w:t>可取两个兼容旧组件c1=[0,4)、c2=[4,8)，候选新组件b=[0,8)与二者均冲突。三者类型相同、关系集合为空，κC=1、wC=wR=1。令qC(c1)=qC(c2)=0.65、qC(b)=0.95，则旧组件效用为0.30+0.30=0.60，新组件效用为0.90，整体增量为0.30，严格超过默认δ=0.20；关系增量为0，实际成本为dC=3、dR=0。</w:t>
      </w:r>
    </w:p>
    <w:p>
      <w:pPr>
        <w:spacing w:after="80"/>
      </w:pPr>
      <w:r>
        <w:t>删除任何一个旧组件的增量均为−0.30，不能先通过严格改进门；直接插入b或以b替换一个旧组件，都必须经冲突闭合同时删除另一个旧组件，因此实际成为2→1事务，不属于单对象邻域。允许2→1动作且组件预算至少为3时，整体替换可以接受。该构造的关键在于整体增量严格大于δ，且单对象动作不能通过同一接受门；等于δ的增量仍应拒绝。</w:t>
      </w:r>
    </w:p>
    <w:p>
      <w:pPr>
        <w:pStyle w:val="Normal"/>
        <w:spacing w:after="80"/>
      </w:pPr>
      <w:r>
        <w:t xml:space="preserve">该例说明成组事务可以跨越单对象严格改进的限制，而非证明真实样本上的 F1 必然提高。它也不意味着集合事务具有任意大小的搜索能力；本章默认邻域不能跨越所有可能的局部障碍。</w:t>
      </w:r>
    </w:p>
    <w:p>
      <w:pPr>
        <w:pStyle w:val="Normal"/>
        <w:spacing w:after="80"/>
      </w:pPr>
      <w:r>
        <w:t xml:space="preserve">命题4-3：在有限候选状态空间内，严格提高同一固定</w:t>
      </w:r>
      <w:r>
        <w:t xml:space="preserve"> </w:t>
      </w:r>
      <m:oMath>
        <m:r>
          <m:t>Φ</m:t>
        </m:r>
      </m:oMath>
      <w:r>
        <w:t xml:space="preserve"> </w:t>
      </w:r>
      <w:r>
        <w:t xml:space="preserve">的接受序列不可能重复访问状态，因此必定有限终止。</w:t>
      </w:r>
    </w:p>
    <w:p>
      <w:pPr>
        <w:pStyle w:val="Normal"/>
        <w:spacing w:after="80"/>
      </w:pPr>
      <w:r>
        <w:t xml:space="preserve">严格增加同一固定效用排除状态重复；有限候选空间使接受序列有限。证明及预算停止的区别见附录B.6。</w:t>
      </w:r>
    </w:p>
    <w:p>
      <w:pPr>
        <w:pStyle w:val="Normal"/>
        <w:spacing w:after="80"/>
      </w:pPr>
      <w:r>
        <w:t xml:space="preserve">对于单项语料 micro-F1，设真实正确数为</w:t>
      </w:r>
      <w:r>
        <w:t xml:space="preserve"> </w:t>
      </w:r>
      <m:oMath>
        <m:r>
          <m:t>T</m:t>
        </m:r>
      </m:oMath>
      <w:r>
        <w:t xml:space="preserve">、预测数为</w:t>
      </w:r>
      <w:r>
        <w:t xml:space="preserve"> </w:t>
      </w:r>
      <m:oMath>
        <m:sSub>
          <m:e>
            <m:r>
              <m:t>P</m:t>
            </m:r>
          </m:e>
          <m:sub>
            <m:r>
              <m:t>0</m:t>
            </m:r>
          </m:sub>
        </m:sSub>
      </m:oMath>
      <w:r>
        <w:t xml:space="preserve">、金标准数为</w:t>
      </w:r>
      <w:r>
        <w:t xml:space="preserve"> </w:t>
      </w:r>
      <m:oMath>
        <m:r>
          <m:t>Q</m:t>
        </m:r>
      </m:oMath>
      <w:r>
        <w:t xml:space="preserve">，</w:t>
      </w:r>
      <m:oMath>
        <m:r>
          <m:t>F</m:t>
        </m:r>
        <m:r>
          <m:rPr>
            <m:sty m:val="p"/>
          </m:rPr>
          <m:t>=</m:t>
        </m:r>
        <m:r>
          <m:t>2</m:t>
        </m:r>
        <m:r>
          <m:t>T</m:t>
        </m:r>
        <m:r>
          <m:rPr>
            <m:sty m:val="p"/>
          </m:rPr>
          <m:t>/</m:t>
        </m:r>
        <m:d>
          <m:dPr>
            <m:begChr m:val="("/>
            <m:endChr m:val=")"/>
            <m:sepChr m:val=""/>
            <m:grow/>
          </m:dPr>
          <m:e>
            <m:sSub>
              <m:e>
                <m:r>
                  <m:t>P</m:t>
                </m:r>
              </m:e>
              <m:sub>
                <m:r>
                  <m:t>0</m:t>
                </m:r>
              </m:sub>
            </m:sSub>
            <m:r>
              <m:rPr>
                <m:sty m:val="p"/>
              </m:rPr>
              <m:t>+</m:t>
            </m:r>
            <m:r>
              <m:t>Q</m:t>
            </m:r>
          </m:e>
        </m:d>
      </m:oMath>
      <w:r>
        <w:t xml:space="preserve">。当修改前后分母均非零时，直接展开可得</w:t>
      </w:r>
    </w:p>
    <w:p>
      <w:pPr>
        <w:pStyle w:val="Normal"/>
        <w:keepNext w:val="0"/>
        <w:keepLines/>
        <w:tabs>
          <w:tab w:pos="5046" w:val="center"/>
          <w:tab w:pos="10091" w:val="right"/>
        </w:tabs>
        <w:spacing w:line="276" w:lineRule="auto" w:before="120" w:after="120"/>
        <w:ind w:firstLine="0" w:left="0" w:right="0"/>
        <w:jc w:val="left"/>
      </w:pPr>
      <w:r>
        <w:rPr>
          <w:sz w:val="21"/>
        </w:rPr>
        <w:tab/>
      </w:r>
      <m:oMath>
        <m:r>
          <m:t>F</m:t>
        </m:r>
        <m:r>
          <m:rPr>
            <m:sty m:val="p"/>
          </m:rPr>
          <m:t>′</m:t>
        </m:r>
        <m:r>
          <m:rPr>
            <m:sty m:val="p"/>
          </m:rPr>
          <m:t>−</m:t>
        </m:r>
        <m:r>
          <m:t>F</m:t>
        </m:r>
        <m:r>
          <m:rPr>
            <m:sty m:val="p"/>
          </m:rPr>
          <m:t>=</m:t>
        </m:r>
        <m:f>
          <m:fPr>
            <m:type m:val="bar"/>
          </m:fPr>
          <m:num>
            <m:r>
              <m:t>2</m:t>
            </m:r>
            <m:r>
              <m:t>Δ</m:t>
            </m:r>
            <m:r>
              <m:t>T</m:t>
            </m:r>
            <m:r>
              <m:rPr>
                <m:sty m:val="p"/>
              </m:rPr>
              <m:t>−</m:t>
            </m:r>
            <m:r>
              <m:t>F</m:t>
            </m:r>
            <m:r>
              <m:t>Δ</m:t>
            </m:r>
            <m:sSub>
              <m:e>
                <m:r>
                  <m:t>P</m:t>
                </m:r>
              </m:e>
              <m:sub>
                <m:r>
                  <m:t>0</m:t>
                </m:r>
              </m:sub>
            </m:sSub>
          </m:num>
          <m:den>
            <m:sSub>
              <m:e>
                <m:r>
                  <m:t>P</m:t>
                </m:r>
              </m:e>
              <m:sub>
                <m:r>
                  <m:t>0</m:t>
                </m:r>
              </m:sub>
            </m:sSub>
            <m:r>
              <m:rPr>
                <m:sty m:val="p"/>
              </m:rPr>
              <m:t>+</m:t>
            </m:r>
            <m:r>
              <m:t>Q</m:t>
            </m:r>
            <m:r>
              <m:rPr>
                <m:sty m:val="p"/>
              </m:rPr>
              <m:t>+</m:t>
            </m:r>
            <m:r>
              <m:t>Δ</m:t>
            </m:r>
            <m:sSub>
              <m:e>
                <m:r>
                  <m:t>P</m:t>
                </m:r>
              </m:e>
              <m:sub>
                <m:r>
                  <m:t>0</m:t>
                </m:r>
              </m:sub>
            </m:sSub>
          </m:den>
        </m:f>
        <m:r>
          <m:rPr>
            <m:sty m:val="p"/>
          </m:rPr>
          <m:t>.</m:t>
        </m:r>
      </m:oMath>
      <w:r>
        <w:rPr>
          <w:sz w:val="21"/>
        </w:rPr>
        <w:tab/>
      </w:r>
      <w:bookmarkStart w:id="2041" w:name="Equation_4_18"/>
      <w:r>
        <w:rPr>
          <w:sz w:val="21"/>
        </w:rPr>
        <w:t>（4-</w:t>
      </w:r>
      <w:fldSimple w:instr=" SEQ Equation4 \* ARABIC ">
        <w:r>
          <w:t>18</w:t>
        </w:r>
      </w:fldSimple>
      <w:r>
        <w:rPr>
          <w:sz w:val="21"/>
        </w:rPr>
        <w:t>）</w:t>
      </w:r>
      <w:bookmarkEnd w:id="2041"/>
    </w:p>
    <w:p>
      <w:pPr>
        <w:pStyle w:val="Normal"/>
        <w:spacing w:after="80"/>
      </w:pPr>
      <w:r>
        <w:t xml:space="preserve">该恒等式说明真实增益同时取决于正确数和预测数的变化。推理时不知道真实</w:t>
      </w:r>
      <w:r>
        <w:t xml:space="preserve"> </w:t>
      </w:r>
      <m:oMath>
        <m:r>
          <m:t>Δ</m:t>
        </m:r>
        <m:r>
          <m:t>T</m:t>
        </m:r>
      </m:oMath>
      <w:r>
        <w:t xml:space="preserve"> </w:t>
      </w:r>
      <w:r>
        <w:t xml:space="preserve">与</w:t>
      </w:r>
      <w:r>
        <w:t xml:space="preserve"> </w:t>
      </w:r>
      <m:oMath>
        <m:r>
          <m:t>F</m:t>
        </m:r>
      </m:oMath>
      <w:r>
        <w:t xml:space="preserve">，估计概率及固定</w:t>
      </w:r>
      <w:r>
        <w:t xml:space="preserve"> </w:t>
      </w:r>
      <m:oMath>
        <m:r>
          <m:t>κ</m:t>
        </m:r>
      </m:oMath>
      <w:r>
        <w:t xml:space="preserve"> </w:t>
      </w:r>
      <w:r>
        <w:t xml:space="preserve">也不能替代它们。即使候选级校准良好，仍不能得到每次事务的误差上界。因此，本章只保证接受过程的代理效用单调，不宣称真实 F1 单调、期望 F1 最优或全局最优。</w:t>
      </w:r>
    </w:p>
    <w:p>
      <w:pPr>
        <w:pStyle w:val="Heading3"/>
      </w:pPr>
      <w:r>
        <w:rPr>
          <w:rFonts w:ascii="Arial Unicode MS" w:hAnsi="Arial Unicode MS" w:eastAsia="Arial Unicode MS"/>
        </w:rPr>
        <w:t>4.5.4 规模路由与返回语义</w:t>
      </w:r>
    </w:p>
    <w:p>
      <w:pPr>
        <w:pStyle w:val="Normal"/>
        <w:spacing w:after="80"/>
      </w:pPr>
      <w:r>
        <w:t xml:space="preserve">依赖闭合规定一次修改必须共同处理哪些关系，不要求所有输入都使用集合动作或局部搜索。默认路由按以下顺序执行，所用统计量与阈值在训练侧冻结：</w:t>
      </w:r>
    </w:p>
    <w:p>
      <w:pPr>
        <w:pStyle w:val="Normal"/>
        <w:spacing w:after="80"/>
      </w:pPr>
      <w:r>
        <w:t xml:space="preserve">评分齐备检查。</w:t>
      </w:r>
      <w:r>
        <w:t xml:space="preserve">“</w:t>
      </w:r>
      <w:r>
        <w:t xml:space="preserve">齐备</w:t>
      </w:r>
      <w:r>
        <w:t xml:space="preserve">”</w:t>
      </w:r>
      <w:r>
        <w:t xml:space="preserve">指</w:t>
      </w:r>
      <m:oMath>
        <m:r>
          <m:rPr>
            <m:sty m:val="p"/>
            <m:scr m:val="script"/>
          </m:rPr>
          <m:t>V</m:t>
        </m:r>
        <m:r>
          <m:rPr>
            <m:sty m:val="p"/>
          </m:rPr>
          <m:t>∪</m:t>
        </m:r>
        <m:r>
          <m:t>P</m:t>
        </m:r>
      </m:oMath>
      <w:r>
        <w:t xml:space="preserve">中每个对象都有有限的有效分数。全部评分失败时直接返回</w:t>
      </w:r>
      <m:oMath>
        <m:sSub>
          <m:e>
            <m:r>
              <m:t>G</m:t>
            </m:r>
          </m:e>
          <m:sub>
            <m:r>
              <m:t>0</m:t>
            </m:r>
          </m:sub>
        </m:sSub>
      </m:oMath>
      <w:r>
        <w:t xml:space="preserve">；存在部分缺分时不进入全局路径，转入局部路径，由4.3.1节规则拒绝触及缺分对象的事务，其余事务照常评估。</w:t>
      </w:r>
      <w:r>
        <w:t xml:space="preserve">“</w:t>
      </w:r>
      <w:r>
        <w:t xml:space="preserve">冻结缺分对象后全局求解</w:t>
      </w:r>
      <w:r>
        <w:t xml:space="preserve">”</w:t>
      </w:r>
      <w:r>
        <w:t xml:space="preserve">只作为独立消融。</w:t>
      </w:r>
    </w:p>
    <w:p>
      <w:pPr>
        <w:spacing w:after="80"/>
      </w:pPr>
      <w:r>
        <w:t>规模判定取n=|V|+|P|，即裁剪后含受保护对象的组件与关系决策变量数；无环序变量、约束数量、CDCP源连续性约束数量及破同分调用另行记录。当前模拟配置规定n≤2500使用全局路径，超过该值使用有界局部路径。附录H的2.71／4.12秒P95及3000变量超时均属于合成规模扫描，仅用于展示阈值选择规则，不作为真实大池部署验收。本章主评价全部走全局路径，真实大池分支仍须单独验证。</w:t>
      </w:r>
    </w:p>
    <w:p>
      <w:pPr>
        <w:pStyle w:val="Normal"/>
        <w:spacing w:after="80"/>
      </w:pPr>
      <w:r>
        <w:t xml:space="preserve">求解与返回。全局路径使用与局部相同的逐文档时限（AAEC 3秒、CDCP 5秒）。取得最优证书时按</w:t>
      </w:r>
      <m:oMath>
        <m:r>
          <m:t>δ</m:t>
        </m:r>
      </m:oMath>
      <w:r>
        <w:t xml:space="preserve">规则返回；超时但有不同于</w:t>
      </w:r>
      <m:oMath>
        <m:sSub>
          <m:e>
            <m:r>
              <m:t>G</m:t>
            </m:r>
          </m:e>
          <m:sub>
            <m:r>
              <m:t>0</m:t>
            </m:r>
          </m:sub>
        </m:sSub>
      </m:oMath>
      <w:r>
        <w:t xml:space="preserve">的incumbent时，重新核对全部约束、分项门和</w:t>
      </w:r>
      <m:oMath>
        <m:r>
          <m:t>Φ</m:t>
        </m:r>
        <m:r>
          <m:rPr>
            <m:sty m:val="p"/>
          </m:rPr>
          <m:t>−</m:t>
        </m:r>
        <m:r>
          <m:t>Φ</m:t>
        </m:r>
        <m:d>
          <m:dPr>
            <m:begChr m:val="("/>
            <m:endChr m:val=")"/>
            <m:sepChr m:val=""/>
            <m:grow/>
          </m:dPr>
          <m:e>
            <m:sSub>
              <m:e>
                <m:r>
                  <m:t>G</m:t>
                </m:r>
              </m:e>
              <m:sub>
                <m:r>
                  <m:t>0</m:t>
                </m:r>
              </m:sub>
            </m:sSub>
          </m:e>
        </m:d>
        <m:r>
          <m:rPr>
            <m:sty m:val="p"/>
          </m:rPr>
          <m:t>&gt;</m:t>
        </m:r>
        <m:r>
          <m:t>δ</m:t>
        </m:r>
      </m:oMath>
      <w:r>
        <w:t xml:space="preserve">，通过则以“可行非最优”返回并记录gap，否则返回</w:t>
      </w:r>
      <m:oMath>
        <m:sSub>
          <m:e>
            <m:r>
              <m:t>G</m:t>
            </m:r>
          </m:e>
          <m:sub>
            <m:r>
              <m:t>0</m:t>
            </m:r>
          </m:sub>
        </m:sSub>
      </m:oMath>
      <w:r>
        <w:t xml:space="preserve">；超时且无改进incumbent时记“超时无改进”并返回</w:t>
      </w:r>
      <m:oMath>
        <m:sSub>
          <m:e>
            <m:r>
              <m:t>G</m:t>
            </m:r>
          </m:e>
          <m:sub>
            <m:r>
              <m:t>0</m:t>
            </m:r>
          </m:sub>
        </m:sSub>
      </m:oMath>
      <w:r>
        <w:t xml:space="preserve">；求解器报错、数值异常或报告不可行时记“求解失败”并返回</w:t>
      </w:r>
      <m:oMath>
        <m:sSub>
          <m:e>
            <m:r>
              <m:t>G</m:t>
            </m:r>
          </m:e>
          <m:sub>
            <m:r>
              <m:t>0</m:t>
            </m:r>
          </m:sub>
        </m:sSub>
      </m:oMath>
      <w:r>
        <w:t xml:space="preserve">。默认不在同一预算内回退到局部路径，以保持成本口径可比；回退方案作为独立配置报告。</w:t>
      </w:r>
    </w:p>
    <w:p>
      <w:pPr>
        <w:pStyle w:val="Normal"/>
        <w:spacing w:after="80"/>
      </w:pPr>
      <w:r>
        <w:t xml:space="preserve">局部路径默认采用单对象闭合；只有训练侧拆分／合并诊断及受控比较支持时才开启集合动作。算法4-1、4-2描述集合局部子程序，仍用于可达性分析和独立消融。小池直接全局求解不经过局部循环，大池也不因局部运行而获得真实F1改进保证。</w:t>
      </w:r>
    </w:p>
    <w:p>
      <w:pPr>
        <w:pStyle w:val="Normal"/>
        <w:spacing w:after="80"/>
      </w:pPr>
      <w:r>
        <w:t xml:space="preserve">相同候选、评分和时限的比较需同时报告预算语义及求解证书。综合配置I1是依赖闭合决策及上述固定路由；</w:t>
      </w:r>
      <w:r>
        <w:t xml:space="preserve">“</w:t>
      </w:r>
      <w:r>
        <w:t xml:space="preserve">集合局部BR-J</w:t>
      </w:r>
      <w:r>
        <w:t xml:space="preserve">”</w:t>
      </w:r>
      <w:r>
        <w:t xml:space="preserve">单独命名，防止把整套方法的总收益全部归给局部算法。</w:t>
      </w:r>
    </w:p>
    <w:p>
      <w:pPr>
        <w:pStyle w:val="Heading2"/>
      </w:pPr>
      <w:r>
        <w:rPr>
          <w:rFonts w:ascii="Arial Unicode MS" w:hAnsi="Arial Unicode MS" w:eastAsia="Arial Unicode MS"/>
        </w:rPr>
        <w:t>4.6 实验与分析</w:t>
      </w:r>
    </w:p>
    <w:p>
      <w:pPr>
        <w:pStyle w:val="Heading3"/>
      </w:pPr>
      <w:r>
        <w:rPr>
          <w:rFonts w:ascii="Arial Unicode MS" w:hAnsi="Arial Unicode MS" w:eastAsia="Arial Unicode MS"/>
        </w:rPr>
        <w:t>4.6.1 主结果与受控比较</w:t>
      </w:r>
    </w:p>
    <w:p>
      <w:pPr>
        <w:spacing w:after="80"/>
      </w:pPr>
      <w:r>
        <w:t>各对照在模拟主条件中固定T1检查点、候选快照、对象评分和合法化规则。RelationOnly固定组件，Sequential先后接受组件与关系，Single在单对象动作中闭合关系依赖，SetLocal允许集合动作，Global共同选择全部对象。I1按规模路由，但所报告690个文档—种子输入均小于2500变量，全部走Global。因此本节结论限定于这一规模与评分条件，不能从Single或SetLocal独立消融推断大池路由已经验收。</w:t>
      </w:r>
    </w:p>
    <w:p>
      <w:pPr>
        <w:pStyle w:val="Normal"/>
        <w:spacing w:after="80"/>
      </w:pPr>
      <w:r>
        <w:t xml:space="preserve">Regenerate使用相同的追加模型调用及token上限进行完整图采样与重排序。NoRisk取消开发保留约束并将δ降为数值正间隔，保留合法性和两个分项门。NoCalibration使用未校准分数。MissingLow把缺失分数替为低值；正常评价缺分为零时，它只构成空效应检查。</w:t>
      </w:r>
    </w:p>
    <w:p>
      <w:pPr>
        <w:pStyle w:val="Caption"/>
        <w:keepNext/>
        <w:spacing w:after="80"/>
        <w:ind w:firstLine="0"/>
        <w:jc w:val="center"/>
      </w:pPr>
      <w:r>
        <w:rPr>
          <w:rFonts w:ascii="Arial Unicode MS" w:hAnsi="Arial Unicode MS" w:eastAsia="Arial Unicode MS"/>
        </w:rPr>
        <w:t xml:space="preserve">表4-4 推理比较的公共条件与变化项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3"/>
        <w:gridCol w:w="3822"/>
        <w:gridCol w:w="4038"/>
      </w:tblGrid>
      <w:tr>
        <w:trPr>
          <w:cantSplit/>
          <w:tblHeader/>
        </w:trPr>
        <w:tc>
          <w:tcPr>
            <w:tcW w:type="dxa" w:w="1803"/>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配置</w:t>
            </w:r>
          </w:p>
        </w:tc>
        <w:tc>
          <w:tcPr>
            <w:tcW w:type="dxa" w:w="382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冻结候选与评分</w:t>
            </w:r>
          </w:p>
        </w:tc>
        <w:tc>
          <w:tcPr>
            <w:tcW w:type="dxa" w:w="4038"/>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变化项</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RelationOnly</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是</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组件固定，只选择关系</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Sequential／Single</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是</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组件优先接受／共同接受</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SetLocal／Global</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是</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动作与可行域；累计／净编辑</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NoRisk</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是</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开发风险选择与δ</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NoCalibration</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候选相同</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使用原始分数</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MissingLow</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正常缺分为0</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缺分解释</w:t>
            </w:r>
          </w:p>
        </w:tc>
      </w:tr>
      <w:tr>
        <w:trPr>
          <w:cantSplit/>
        </w:trPr>
        <w:tc>
          <w:tcPr>
            <w:tcW w:type="dxa" w:w="1803"/>
            <w:vAlign w:val="center"/>
            <w:tcMar>
              <w:top w:w="65" w:type="dxa"/>
              <w:bottom w:w="65" w:type="dxa"/>
              <w:left w:w="65" w:type="dxa"/>
              <w:right w:w="65" w:type="dxa"/>
            </w:tcMar>
          </w:tcPr>
          <w:p>
            <w:pPr>
              <w:pStyle w:val="Normal"/>
              <w:spacing w:after="0" w:line="259" w:lineRule="auto"/>
              <w:ind w:firstLine="0"/>
              <w:jc w:val="center"/>
            </w:pPr>
            <w:r>
              <w:rPr>
                <w:b w:val="0"/>
                <w:sz w:val="18"/>
              </w:rPr>
              <w:t xml:space="preserve">Regenerate</w:t>
            </w:r>
          </w:p>
        </w:tc>
        <w:tc>
          <w:tcPr>
            <w:tcW w:type="dxa" w:w="3822"/>
            <w:vAlign w:val="center"/>
            <w:tcMar>
              <w:top w:w="65" w:type="dxa"/>
              <w:bottom w:w="65" w:type="dxa"/>
              <w:left w:w="65" w:type="dxa"/>
              <w:right w:w="65" w:type="dxa"/>
            </w:tcMar>
          </w:tcPr>
          <w:p>
            <w:pPr>
              <w:pStyle w:val="Normal"/>
              <w:spacing w:after="0" w:line="259" w:lineRule="auto"/>
              <w:ind w:firstLine="0"/>
              <w:jc w:val="center"/>
            </w:pPr>
            <w:r>
              <w:rPr>
                <w:b w:val="0"/>
                <w:sz w:val="18"/>
              </w:rPr>
              <w:t xml:space="preserve">同检查点与追加资源</w:t>
            </w:r>
          </w:p>
        </w:tc>
        <w:tc>
          <w:tcPr>
            <w:tcW w:type="dxa" w:w="4038"/>
            <w:vAlign w:val="center"/>
            <w:tcMar>
              <w:top w:w="65" w:type="dxa"/>
              <w:bottom w:w="65" w:type="dxa"/>
              <w:left w:w="65" w:type="dxa"/>
              <w:right w:w="65" w:type="dxa"/>
            </w:tcMar>
          </w:tcPr>
          <w:p>
            <w:pPr>
              <w:pStyle w:val="Normal"/>
              <w:spacing w:after="0" w:line="259" w:lineRule="auto"/>
              <w:ind w:firstLine="0"/>
              <w:jc w:val="center"/>
            </w:pPr>
            <w:r>
              <w:rPr>
                <w:b w:val="0"/>
                <w:sz w:val="18"/>
              </w:rPr>
              <w:t xml:space="preserve">重生成完整图并重排序</w:t>
            </w:r>
          </w:p>
        </w:tc>
      </w:tr>
    </w:tbl>
    <w:p>
      <w:pPr>
        <w:pStyle w:val="Caption"/>
        <w:keepNext/>
        <w:spacing w:after="80"/>
        <w:ind w:firstLine="0"/>
        <w:jc w:val="center"/>
      </w:pPr>
      <w:r>
        <w:rPr>
          <w:rFonts w:ascii="Arial Unicode MS" w:hAnsi="Arial Unicode MS" w:eastAsia="Arial Unicode MS"/>
        </w:rPr>
        <w:t xml:space="preserve">表4-5 固定T1检查点的推理比较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750"/>
        <w:gridCol w:w="1750"/>
        <w:gridCol w:w="1750"/>
        <w:gridCol w:w="1750"/>
      </w:tblGrid>
      <w:tr>
        <w:trPr>
          <w:cantSplit/>
          <w:tblHeader/>
        </w:trPr>
        <w:tc>
          <w:tcPr>
            <w:tcW w:type="dxa" w:w="2664"/>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配置</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AAEC组件F1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AAEC关系F1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CDCP组件F1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CDCP关系F1</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T1/I0：完整成对</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86.73 ± 0.67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68.81 ± 2.05</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79.92 ± 1.51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43.65 ± 3.53</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固定组件，RelationOnly</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86.73 ± 0.67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72.61 ± 2.11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79.92 ± 1.51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50.67 ± 2.65</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组件优先分步</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87.31 ± 0.54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72.93 ± 2.15</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81.74 ± 1.54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51.94 ± 3.13</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单对象闭合</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87.30 ± 0.51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73.12 ± 1.80</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81.87 ± 1.31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51.94 ± 2.54</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集合局部</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87.30 ± 0.51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73.12 ± 1.80</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81.87 ± 1.31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51.94 ± 2.54</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全局选择</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87.60 ± 0.44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73.29 ± 1.76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81.91 ± 1.22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52.02 ± 2.59</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T1/I1：完整配置</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87.60 ± 0.44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73.29 ± 1.76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81.91 ± 1.22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52.02 ± 2.59</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等预算重生成</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86.84 ± 2.23</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69.22 ± 2.24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81.06 ± 0.59</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44.18 ± 2.19</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取消开发风险限制</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87.63 ± 0.41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73.29 ± 1.76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81.95 ± 1.23</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52.02 ± 2.59</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取消概率校准</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88.02 ± 0.36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73.73 ± 1.87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81.94 ± 1.24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52.05 ± 2.64</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缺分当低分</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87.60 ± 0.44</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73.29 ± 1.76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81.91 ± 1.22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52.02 ± 2.59</w:t>
            </w:r>
          </w:p>
        </w:tc>
      </w:tr>
    </w:tbl>
    <w:p>
      <w:pPr>
        <w:pStyle w:val="Caption"/>
        <w:keepNext/>
        <w:spacing w:after="80"/>
        <w:ind w:firstLine="0"/>
        <w:jc w:val="center"/>
      </w:pPr>
      <w:r>
        <w:rPr>
          <w:rFonts w:ascii="Arial Unicode MS" w:hAnsi="Arial Unicode MS" w:eastAsia="Arial Unicode MS"/>
        </w:rPr>
        <w:t xml:space="preserve">表4-6 推理侧配对比较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2434"/>
        <w:gridCol w:w="749"/>
        <w:gridCol w:w="1483"/>
        <w:gridCol w:w="1613"/>
        <w:gridCol w:w="749"/>
        <w:gridCol w:w="1800"/>
      </w:tblGrid>
      <w:tr>
        <w:trPr>
          <w:cantSplit/>
          <w:tblHeader/>
        </w:trPr>
        <w:tc>
          <w:tcPr>
            <w:tcW w:type="dxa" w:w="835"/>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语料</w:t>
            </w:r>
          </w:p>
        </w:tc>
        <w:tc>
          <w:tcPr>
            <w:tcW w:type="dxa" w:w="2434"/>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比较</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差值/pp</w:t>
            </w:r>
          </w:p>
        </w:tc>
        <w:tc>
          <w:tcPr>
            <w:tcW w:type="dxa" w:w="148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95% CI</w:t>
            </w:r>
          </w:p>
        </w:tc>
        <w:tc>
          <w:tcPr>
            <w:tcW w:type="dxa" w:w="161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种子17 / 29 / 43</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p</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比较身份</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4.48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[3.43, 5.54]</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3.88 / 4.90 / 4.66</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0.0070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RelationOnly</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0.67</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[0.23, 1.37]</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0.53 / 0.40 / 1.09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0.1924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Single − Sequential</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[-0.33, 0.92]</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-0.01 / -0.03 / 0.59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Regenerate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4.07</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[-1.65, 9.40]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7.71 / 2.67 / 1.81</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0.6797</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NoRisk</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SetLocal − Single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Global − SetLocal</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0.17</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[-0.06, 0.45]</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0.27 / 0.01 / 0.23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0.1294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Global − Single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0.17</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[-0.06, 0.45]</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0.27 / 0.01 / 0.23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0.1294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MissingLow</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NoCalibration</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-0.45</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[-0.88, -0.09]</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-0.53 / -0.48 / -0.32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0.0300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8.37</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[6.11, 10.94]</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7.14 / 8.20 / 9.77</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0.0070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RelationOnly</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1.35</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[0.45, 2.49]</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1.54 / 1.20 / 1.31</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0.1239</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Single − Sequential</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[-0.92, 1.17]</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0.08 / -0.63 / 0.56</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Regenerate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7.84</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[-0.75, 15.48]</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9.92 / 10.58 / 3.02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0.3508</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NoRisk</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SetLocal − Single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Global − SetLocal</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[-0.50, 0.50]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-0.33 / 0.35 / 0.22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0.7151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Global − Single</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[-0.50, 0.50]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-0.33 / 0.35 / 0.22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0.7151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MissingLow</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0.00 / 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T1I1 − NoCalibration</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-0.03</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[-0.48, 0.22]</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-0.21 / 0.00 / 0.11</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0.9115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bl>
    <w:p>
      <w:pPr>
        <w:spacing w:after="80"/>
      </w:pPr>
      <w:r>
        <w:t>模拟结果中，I1相对I0的AAEC、CDCP关系F1增量分别为4.48 pp、8.37 pp，两项主要比较通过Holm校正。RelationOnly已达到72.61和50.67，完整I1为73.29和52.02；组件可变性的附加点估计为正，但对应校正p为0.1924和0.1239，未独立确认其收益。Single−Sequential的区间跨零，SetLocal与Single的报告结果相同。因此整套配置增益、共同接受的规约价值及集合动作的表达能力必须分别解释。</w:t>
      </w:r>
    </w:p>
    <w:p>
      <w:pPr>
        <w:spacing w:after="80"/>
      </w:pPr>
      <w:r>
        <w:t>表4-6的95%区间是单项未调整区间，主要比较p按第二章2.5节的14项比较族作Holm校正。区间不含零但校正p超过0.05并不构成计算矛盾；真实复核还需要逐文档联合计数，仅有摘要统计不足以重建联合重采样分布。</w:t>
      </w:r>
    </w:p>
    <w:p>
      <w:pPr>
        <w:pStyle w:val="Normal"/>
        <w:spacing w:after="80"/>
      </w:pPr>
      <w:r>
        <w:t xml:space="preserve">SetLocal与Single在当前池中得到相同计数，集合动作没有新增收益；Global相对局部的微小差值区间跨零。全局路径的选择依据包括可行解证书、较少调度与资源成本，而非必然更高的F1。主路径690个输入均获得最优证书，gap为0，正常评价无超时；破同分与故障输入另见附录B。</w:t>
      </w:r>
    </w:p>
    <w:p>
      <w:pPr>
        <w:pStyle w:val="Normal"/>
        <w:spacing w:after="80"/>
      </w:pPr>
      <w:r>
        <w:t xml:space="preserve">重生成点估计低于I1，但文档与种子联合区间跨零，不能仅据均值称I1显著优于等预算重生成。取消风险限制在关系F1上与主配置持平；概率校准也并非F1的普遍增益项，AAEC未校准版本更高但原TP损失由3增至5。完整报告这些取舍有助于区分系统效果和机制作用。</w:t>
      </w:r>
    </w:p>
    <w:p>
      <w:pPr>
        <w:pStyle w:val="Heading3"/>
      </w:pPr>
      <w:r>
        <w:rPr>
          <w:rFonts w:ascii="Arial Unicode MS" w:hAnsi="Arial Unicode MS" w:eastAsia="Arial Unicode MS"/>
        </w:rPr>
        <w:t>4.6.2 候选覆盖与修正空间</w:t>
      </w:r>
    </w:p>
    <w:p>
      <w:pPr>
        <w:pStyle w:val="Caption"/>
        <w:keepNext/>
        <w:spacing w:after="80"/>
        <w:ind w:firstLine="0"/>
        <w:jc w:val="center"/>
      </w:pPr>
      <w:r>
        <w:rPr>
          <w:rFonts w:ascii="Arial Unicode MS" w:hAnsi="Arial Unicode MS" w:eastAsia="Arial Unicode MS"/>
        </w:rPr>
        <w:t xml:space="preserve">表4-7 候选—评分—选择链（三种子对象合计）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224"/>
        <w:gridCol w:w="907"/>
        <w:gridCol w:w="864"/>
        <w:gridCol w:w="936"/>
        <w:gridCol w:w="1800"/>
        <w:gridCol w:w="965"/>
        <w:gridCol w:w="1123"/>
        <w:gridCol w:w="1066"/>
      </w:tblGrid>
      <w:tr>
        <w:trPr>
          <w:cantSplit/>
          <w:tblHeader/>
        </w:trPr>
        <w:tc>
          <w:tcPr>
            <w:tcW w:type="dxa" w:w="77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金标组件</w:t>
            </w:r>
          </w:p>
        </w:tc>
        <w:tc>
          <w:tcPr>
            <w:tcW w:type="dxa" w:w="90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组件入池</w:t>
            </w:r>
          </w:p>
        </w:tc>
        <w:tc>
          <w:tcPr>
            <w:tcW w:type="dxa" w:w="86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金标关系</w:t>
            </w:r>
          </w:p>
        </w:tc>
        <w:tc>
          <w:tcPr>
            <w:tcW w:type="dxa" w:w="93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全部端点入池</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完整关系入池</w:t>
            </w:r>
          </w:p>
        </w:tc>
        <w:tc>
          <w:tcPr>
            <w:tcW w:type="dxa" w:w="96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评分过门</w:t>
            </w:r>
          </w:p>
        </w:tc>
        <w:tc>
          <w:tcPr>
            <w:tcW w:type="dxa" w:w="1123"/>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过门且端点被选</w:t>
            </w:r>
          </w:p>
        </w:tc>
        <w:tc>
          <w:tcPr>
            <w:tcW w:type="dxa" w:w="106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最终TP</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3798</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3781</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2427</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2411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2391</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1788</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1704</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1704</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3078</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3031</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756</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734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705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399</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358</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358</w:t>
            </w:r>
          </w:p>
        </w:tc>
      </w:tr>
    </w:tbl>
    <w:p>
      <w:pPr>
        <w:pStyle w:val="Normal"/>
        <w:spacing w:after="80"/>
      </w:pPr>
      <w:r>
        <w:t xml:space="preserve">计数单位为文档×种子×唯一语义对象。组件金标供给为3798与3078，完整关系供给为2427与756；所有候选正例不超过供给。</w:t>
      </w:r>
      <w:r>
        <w:t xml:space="preserve">“</w:t>
      </w:r>
      <w:r>
        <w:t xml:space="preserve">评分过门</w:t>
      </w:r>
      <w:r>
        <w:t xml:space="preserve">”</w:t>
      </w:r>
      <w:r>
        <w:t xml:space="preserve">还要求完整关系已入池，</w:t>
      </w:r>
      <w:r>
        <w:t xml:space="preserve">“</w:t>
      </w:r>
      <w:r>
        <w:t xml:space="preserve">端点被选</w:t>
      </w:r>
      <w:r>
        <w:t xml:space="preserve">”</w:t>
      </w:r>
      <w:r>
        <w:t xml:space="preserve">进一步要求这些过门关系的全部端点出现在终态。最终TP按原生完整对象重新计数，不把单源片段恢复记成联合源命中。</w:t>
      </w:r>
    </w:p>
    <w:p>
      <w:pPr>
        <w:pStyle w:val="Normal"/>
        <w:spacing w:after="80"/>
      </w:pPr>
      <w:r>
        <w:t xml:space="preserve">候选裁剪前后规模与受保护对象逐项登记于candidate_complete；本评价没有资源裁剪，没有初始对象丢失。扩充候选仅提高可达性，不能替代评分或选择。CDCP长源集合的分组结果见5.4。</w:t>
      </w:r>
    </w:p>
    <w:p>
      <w:pPr>
        <w:pStyle w:val="Heading3"/>
      </w:pPr>
      <w:r>
        <w:rPr>
          <w:rFonts w:ascii="Arial Unicode MS" w:hAnsi="Arial Unicode MS" w:eastAsia="Arial Unicode MS"/>
        </w:rPr>
        <w:t>4.6.3 评分质量与修正代价</w:t>
      </w:r>
    </w:p>
    <w:p>
      <w:pPr>
        <w:pStyle w:val="Caption"/>
        <w:keepNext/>
        <w:spacing w:after="80"/>
        <w:ind w:firstLine="0"/>
        <w:jc w:val="center"/>
      </w:pPr>
      <w:r>
        <w:rPr>
          <w:rFonts w:ascii="Arial Unicode MS" w:hAnsi="Arial Unicode MS" w:eastAsia="Arial Unicode MS"/>
        </w:rPr>
        <w:t xml:space="preserve">表4-8 终态误改与逐文档影响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224"/>
        <w:gridCol w:w="907"/>
        <w:gridCol w:w="864"/>
        <w:gridCol w:w="936"/>
        <w:gridCol w:w="1800"/>
        <w:gridCol w:w="965"/>
        <w:gridCol w:w="1123"/>
        <w:gridCol w:w="1066"/>
      </w:tblGrid>
      <w:tr>
        <w:trPr>
          <w:cantSplit/>
          <w:tblHeader/>
        </w:trPr>
        <w:tc>
          <w:tcPr>
            <w:tcW w:type="dxa" w:w="77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配置</w:t>
            </w:r>
          </w:p>
        </w:tc>
        <w:tc>
          <w:tcPr>
            <w:tcW w:type="dxa" w:w="90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原TP</w:t>
            </w:r>
          </w:p>
        </w:tc>
        <w:tc>
          <w:tcPr>
            <w:tcW w:type="dxa" w:w="86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恢复TP</w:t>
            </w:r>
          </w:p>
        </w:tc>
        <w:tc>
          <w:tcPr>
            <w:tcW w:type="dxa" w:w="93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误删TP</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删除FP</w:t>
            </w:r>
          </w:p>
        </w:tc>
        <w:tc>
          <w:tcPr>
            <w:tcW w:type="dxa" w:w="96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新增FP</w:t>
            </w:r>
          </w:p>
        </w:tc>
        <w:tc>
          <w:tcPr>
            <w:tcW w:type="dxa" w:w="1123"/>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原TP保留率</w:t>
            </w:r>
          </w:p>
        </w:tc>
        <w:tc>
          <w:tcPr>
            <w:tcW w:type="dxa" w:w="106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F1下降记录／总记录</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99.82%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RelationOnly</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26</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220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99.82%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233</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99.82%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Sequential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28</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237</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99.82%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NoRisk</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99.82%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NoCalibration</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39</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272</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Regenerate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1670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516</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680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670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69.70%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99／240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RelationOnly</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157</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Sequential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182</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99.39%</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NoRisk</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NoCalibration</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168</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99.70%</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2／450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Regenerate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330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178</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345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341</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47.27%</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88／450</w:t>
            </w:r>
          </w:p>
        </w:tc>
      </w:tr>
    </w:tbl>
    <w:p>
      <w:pPr>
        <w:pStyle w:val="Normal"/>
        <w:spacing w:after="80"/>
      </w:pPr>
      <w:r>
        <w:t xml:space="preserve">AAEC与CDCP主配置分别有4/240与2/450条文档—种子记录下降。开发侧5%规则是经验筛选，不是逐文档质量保证。表4-8的终态净变化与表4-11的逐次提交分开；全局路径一次提交时二者相同，局部路径不得省略中间新增或删除。</w:t>
      </w:r>
    </w:p>
    <w:p>
      <w:pPr>
        <w:pStyle w:val="Caption"/>
        <w:keepNext/>
        <w:spacing w:after="80"/>
        <w:ind w:firstLine="0"/>
        <w:jc w:val="center"/>
      </w:pPr>
      <w:r>
        <w:rPr>
          <w:rFonts w:ascii="Arial Unicode MS" w:hAnsi="Arial Unicode MS" w:eastAsia="Arial Unicode MS"/>
        </w:rPr>
        <w:t xml:space="preserve">表4-9 开发候选角色与评分质量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5"/>
        <w:gridCol w:w="805"/>
        <w:gridCol w:w="805"/>
        <w:gridCol w:w="805"/>
        <w:gridCol w:w="805"/>
        <w:gridCol w:w="805"/>
        <w:gridCol w:w="805"/>
        <w:gridCol w:w="805"/>
        <w:gridCol w:w="805"/>
        <w:gridCol w:w="805"/>
        <w:gridCol w:w="805"/>
        <w:gridCol w:w="805"/>
      </w:tblGrid>
      <w:tr>
        <w:trPr>
          <w:cantSplit/>
          <w:tblHeader/>
        </w:trPr>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用途</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族</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候选</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正例</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AUROC</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AP</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Brier</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先验Brier</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ECE10</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决策n</w:t>
            </w:r>
          </w:p>
        </w:tc>
        <w:tc>
          <w:tcPr>
            <w:tcW w:type="dxa" w:w="80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区域精确率</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calibration</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3253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1403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0.8967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0.8490</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0.0909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0.2453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0.0083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1412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0.880</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calibration</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R</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14118</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849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0.8641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0.5995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0.0263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0.0566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0.0036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855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0.747</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strategy</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3041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1321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0.8909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0.8453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0.0962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0.2457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0.0175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1333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0.872</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strategy</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R</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12532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803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0.8659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0.6082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0.0285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0.0600</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0.0032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805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0.742</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calibration</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3607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1041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0.8660</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0.7323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0.0985</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0.2053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0.0084</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1061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0.795</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calibration</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R</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10972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266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0.7403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0.3391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0.0176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0.0237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0.0010</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271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0.506</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strategy</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3837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1092</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0.8748</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0.7454</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0.0933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0.2036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0.0150</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1101</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0.809</w:t>
            </w:r>
          </w:p>
        </w:tc>
      </w:tr>
      <w:tr>
        <w:trPr>
          <w:cantSplit/>
        </w:trPr>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strategy</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R</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13326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226</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0.8013</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0.3649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0.0118</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0.0167</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0.0068</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239</w:t>
            </w:r>
          </w:p>
        </w:tc>
        <w:tc>
          <w:tcPr>
            <w:tcW w:type="dxa" w:w="80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0.548</w:t>
            </w:r>
          </w:p>
        </w:tc>
      </w:tr>
    </w:tbl>
    <w:p>
      <w:pPr>
        <w:pStyle w:val="Normal"/>
        <w:spacing w:after="80"/>
      </w:pPr>
      <w:r>
        <w:t xml:space="preserve">表4-9的AUROC、AP、Brier和ECE为三个种子的指标均值，候选数与正例数为三种子合计，区域精确率由合计正确数计算。校准用途为拟合内质量，策略用途为样本外但参与阈值选择；两者均不替代独立测试质量。</w:t>
      </w:r>
    </w:p>
    <w:p>
      <w:pPr>
        <w:pStyle w:val="Caption"/>
        <w:keepNext/>
        <w:spacing w:after="80"/>
        <w:ind w:firstLine="0"/>
        <w:jc w:val="center"/>
      </w:pPr>
      <w:r>
        <w:rPr>
          <w:rFonts w:ascii="Arial Unicode MS" w:hAnsi="Arial Unicode MS" w:eastAsia="Arial Unicode MS"/>
        </w:rPr>
        <w:t xml:space="preserve">表4-10 独立测试候选评分质量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224"/>
        <w:gridCol w:w="907"/>
        <w:gridCol w:w="864"/>
        <w:gridCol w:w="936"/>
        <w:gridCol w:w="1800"/>
        <w:gridCol w:w="965"/>
        <w:gridCol w:w="1123"/>
        <w:gridCol w:w="1066"/>
      </w:tblGrid>
      <w:tr>
        <w:trPr>
          <w:cantSplit/>
          <w:tblHeader/>
        </w:trPr>
        <w:tc>
          <w:tcPr>
            <w:tcW w:type="dxa" w:w="77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语料／族</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候选n／正例</w:t>
            </w:r>
          </w:p>
        </w:tc>
        <w:tc>
          <w:tcPr>
            <w:tcW w:type="dxa" w:w="90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AUROC</w:t>
            </w:r>
          </w:p>
        </w:tc>
        <w:tc>
          <w:tcPr>
            <w:tcW w:type="dxa" w:w="86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AP</w:t>
            </w:r>
          </w:p>
        </w:tc>
        <w:tc>
          <w:tcPr>
            <w:tcW w:type="dxa" w:w="93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Brier／先验Brier</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ECE10</w:t>
            </w:r>
          </w:p>
        </w:tc>
        <w:tc>
          <w:tcPr>
            <w:tcW w:type="dxa" w:w="96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门限</w:t>
            </w:r>
          </w:p>
        </w:tc>
        <w:tc>
          <w:tcPr>
            <w:tcW w:type="dxa" w:w="1123"/>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决策n／正确</w:t>
            </w:r>
          </w:p>
        </w:tc>
        <w:tc>
          <w:tcPr>
            <w:tcW w:type="dxa" w:w="106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区域精确率／平均q</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8779／3781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0.898</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0.853</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0.0913／0.2452</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0.0081</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3810／3349</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0.879／0.879</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AAEC/R</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41876／2391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0.863</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0.602</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0.0250／0.0538</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0.0033</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2378／1788</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0.752／0.736</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10525／3031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0.875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0.761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0.0892／0.2050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0.0146</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3091／2525</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0.817／0.793</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CDCP/R</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41818／705</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0.789</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0.368</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0.0116／0.0166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0.0059</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714／399</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0.559／0.512</w:t>
            </w:r>
          </w:p>
        </w:tc>
      </w:tr>
    </w:tbl>
    <w:p>
      <w:pPr>
        <w:pStyle w:val="Caption"/>
        <w:keepNext/>
        <w:spacing w:after="80"/>
        <w:ind w:firstLine="0"/>
        <w:jc w:val="center"/>
      </w:pPr>
      <w:r>
        <w:rPr>
          <w:rFonts w:ascii="Arial Unicode MS" w:hAnsi="Arial Unicode MS" w:eastAsia="Arial Unicode MS"/>
        </w:rPr>
        <w:t xml:space="preserve">表4-11 接受账本与错误代价</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224"/>
        <w:gridCol w:w="907"/>
        <w:gridCol w:w="864"/>
        <w:gridCol w:w="936"/>
        <w:gridCol w:w="1800"/>
        <w:gridCol w:w="965"/>
        <w:gridCol w:w="1123"/>
        <w:gridCol w:w="1066"/>
      </w:tblGrid>
      <w:tr>
        <w:trPr>
          <w:cantSplit/>
          <w:tblHeader/>
        </w:trPr>
        <w:tc>
          <w:tcPr>
            <w:tcW w:type="dxa" w:w="77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方法</w:t>
            </w:r>
          </w:p>
        </w:tc>
        <w:tc>
          <w:tcPr>
            <w:tcW w:type="dxa" w:w="90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提交数</w:t>
            </w:r>
          </w:p>
        </w:tc>
        <w:tc>
          <w:tcPr>
            <w:tcW w:type="dxa" w:w="86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组件增／删</w:t>
            </w:r>
          </w:p>
        </w:tc>
        <w:tc>
          <w:tcPr>
            <w:tcW w:type="dxa" w:w="93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关系增／删</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新增关系正确</w:t>
            </w:r>
          </w:p>
        </w:tc>
        <w:tc>
          <w:tcPr>
            <w:tcW w:type="dxa" w:w="96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新增精确率</w:t>
            </w:r>
          </w:p>
        </w:tc>
        <w:tc>
          <w:tcPr>
            <w:tcW w:type="dxa" w:w="1123"/>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删除正确关系</w:t>
            </w:r>
          </w:p>
        </w:tc>
        <w:tc>
          <w:tcPr>
            <w:tcW w:type="dxa" w:w="106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误删占删除</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Sequential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22／22</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34／240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28</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82.35%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1.25%</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16／31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43／236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86.05%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1.27%</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SetLocal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16／31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43／236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86.05%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1.27%</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143</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26／49</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43／247</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86.05%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1.21%</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Sequential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182</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68／68</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31／184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80.65%</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2</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1.09%</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187</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52／81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36／166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83.33%</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SetLocal</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187</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52／81</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36／166</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83.33%</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51／86</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35／171</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82.86%</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0.58%</w:t>
            </w:r>
          </w:p>
        </w:tc>
      </w:tr>
    </w:tbl>
    <w:p>
      <w:pPr>
        <w:pStyle w:val="Normal"/>
        <w:spacing w:after="80"/>
      </w:pPr>
      <w:r>
        <w:t xml:space="preserve">AAEC关系决策门限为0.5，CDCP为0.25；组件门限均为0.5。区域平均q与经验精确率并列展示，避免大量低分负例使整体ECE看似很小。新增关系正确率与决策池精确率不是同一条件分布，因为搜索还施加端点和预算约束。主配置新增关系中AAEC有37/43正确，CDCP有29/35正确；这与其候选区域质量方向一致，但仍有错误新增和正确删除。</w:t>
      </w:r>
    </w:p>
    <w:p>
      <w:pPr>
        <w:keepNext/>
        <w:ind w:firstLine="0"/>
        <w:jc w:val="center"/>
      </w:pPr>
      <w:r>
        <w:drawing>
          <wp:inline>
            <wp:extent cx="6080760" cy="4256532"/>
            <wp:docPr id="8" name="Picture 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080760" cy="4256532"/>
                    </a:xfrm>
                    <a:prstGeom prst="rect"/>
                  </pic:spPr>
                </pic:pic>
              </a:graphicData>
            </a:graphic>
          </wp:inline>
        </w:drawing>
      </w:r>
    </w:p>
    <w:p>
      <w:pPr>
        <w:pStyle w:val="Caption"/>
        <w:keepNext w:val="0"/>
        <w:spacing w:after="80"/>
        <w:ind w:firstLine="0"/>
        <w:jc w:val="center"/>
      </w:pPr>
      <w:r>
        <w:rPr>
          <w:rFonts w:ascii="Arial Unicode MS" w:hAnsi="Arial Unicode MS" w:eastAsia="Arial Unicode MS"/>
        </w:rPr>
        <w:t xml:space="preserve">图4-3 测试候选的校准与决策门限</w:t>
      </w:r>
    </w:p>
    <w:p>
      <w:pPr>
        <w:pStyle w:val="Normal"/>
        <w:spacing w:after="80"/>
      </w:pPr>
      <w:r>
        <w:t xml:space="preserve">主流程缺分率为0，裁剪、超长和数值异常未产生遗漏评分，因此MissingLow与I1完全一致，不承担质量增益主张。60项独立缺分注入检查覆盖NaN、未评估及对象缺失，均保持未知状态并拒绝触及对象的事务。</w:t>
      </w:r>
    </w:p>
    <w:p>
      <w:pPr>
        <w:pStyle w:val="Caption"/>
        <w:keepNext/>
        <w:spacing w:after="80"/>
        <w:ind w:firstLine="0"/>
        <w:jc w:val="center"/>
      </w:pPr>
      <w:r>
        <w:rPr>
          <w:rFonts w:ascii="Arial Unicode MS" w:hAnsi="Arial Unicode MS" w:eastAsia="Arial Unicode MS"/>
        </w:rPr>
        <w:t xml:space="preserve">表4-12 逐文档推理成本（秒）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0"/>
        <w:gridCol w:w="634"/>
        <w:gridCol w:w="734"/>
        <w:gridCol w:w="850"/>
        <w:gridCol w:w="749"/>
        <w:gridCol w:w="821"/>
        <w:gridCol w:w="792"/>
        <w:gridCol w:w="1426"/>
        <w:gridCol w:w="1037"/>
        <w:gridCol w:w="950"/>
      </w:tblGrid>
      <w:tr>
        <w:trPr>
          <w:cantSplit/>
          <w:tblHeader/>
        </w:trPr>
        <w:tc>
          <w:tcPr>
            <w:tcW w:type="dxa" w:w="167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63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方法</w:t>
            </w:r>
          </w:p>
        </w:tc>
        <w:tc>
          <w:tcPr>
            <w:tcW w:type="dxa" w:w="73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生成</w:t>
            </w:r>
          </w:p>
        </w:tc>
        <w:tc>
          <w:tcPr>
            <w:tcW w:type="dxa" w:w="85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提案</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评分</w:t>
            </w:r>
          </w:p>
        </w:tc>
        <w:tc>
          <w:tcPr>
            <w:tcW w:type="dxa" w:w="821"/>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求解均值</w:t>
            </w:r>
          </w:p>
        </w:tc>
        <w:tc>
          <w:tcPr>
            <w:tcW w:type="dxa" w:w="792"/>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求解P95</w:t>
            </w:r>
          </w:p>
        </w:tc>
        <w:tc>
          <w:tcPr>
            <w:tcW w:type="dxa" w:w="142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端到端均值</w:t>
            </w:r>
          </w:p>
        </w:tc>
        <w:tc>
          <w:tcPr>
            <w:tcW w:type="dxa" w:w="103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端到端P95</w:t>
            </w:r>
          </w:p>
        </w:tc>
        <w:tc>
          <w:tcPr>
            <w:tcW w:type="dxa" w:w="95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达时限</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T0I0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17.58</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0.70</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0.90</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18.28</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21.47</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17.58</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0.68</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0.90</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18.26</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21.40</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17.58</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12.93</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0.47</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0.61</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31.91</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37.60</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SetLocal</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17.58</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12.93</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1.28</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1.70</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32.72</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38.25</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17.58</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12.93</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0.73</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0.96</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32.17</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37.78</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Regenerate</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31.44</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0.05</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0.07</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31.49</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37.21</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0/240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T0I0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24.45</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1.12</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1.46</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25.57</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30.02</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24.45</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1.11</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1.46</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25.56</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30.02</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Single</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24.45</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1.35</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17.92</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0.75</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0.97</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44.46</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52.55</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SetLocal</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24.45</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1.35</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17.92</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2.10</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2.74</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45.82</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53.75</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T1I1</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24.45</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1.35</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17.92</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1.18</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1.53</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44.89</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52.93</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Regenerate</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43.71</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0.08</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0.11</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43.79</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51.88</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0/450</w:t>
            </w:r>
          </w:p>
        </w:tc>
      </w:tr>
    </w:tbl>
    <w:p>
      <w:pPr>
        <w:pStyle w:val="Normal"/>
        <w:spacing w:after="80"/>
      </w:pPr>
      <w:r>
        <w:t xml:space="preserve">共享生成、提案与评分仅计一次，策略求解追加单独计时。I1与Regenerate分别匹配AAEC追加4096输入／2048输出token、CDCP追加6144／3072，两者均为2次追加模型调用；完整图候选采样在调用内部成批处理。重生成不再计算提案与对象评分两列，其开销移入生成。主配置总时延大于I0，因此质量增益伴随明确资源代价。路由规模扫描另见附录H。</w:t>
      </w:r>
    </w:p>
    <w:p>
      <w:pPr>
        <w:pStyle w:val="Heading3"/>
      </w:pPr>
      <w:r>
        <w:rPr>
          <w:rFonts w:ascii="Arial Unicode MS" w:hAnsi="Arial Unicode MS" w:eastAsia="Arial Unicode MS"/>
        </w:rPr>
        <w:t>4.6.4 实际规则诊断与原生关系案例</w:t>
      </w:r>
    </w:p>
    <w:p>
      <w:pPr>
        <w:spacing w:after="80"/>
      </w:pPr>
      <w:r>
        <w:t>以下保留原稿中的实际CPU程序诊断。官方测试文档essay098的全文哈希为f68e231bdf7576fe87d57e801350c2b0ef2f513d51e29938b223671a392f528c；CPU-BIO-SGD在训练侧拟合组件和关系模型。种子17原始输出含1条正确关系和54条误边。后处理只使用训练侧类型—关系签名，并为同一预测源保留中点距离最近的目标，平局按语义键排序，评价前固定规则。该处理不读取测试金标决定删边，也没有执行本章的完整对象评分与ILP事务。</w:t>
      </w:r>
    </w:p>
    <w:p>
      <w:pPr>
        <w:pStyle w:val="Caption"/>
        <w:keepNext/>
        <w:spacing w:after="80"/>
        <w:ind w:firstLine="0"/>
        <w:jc w:val="center"/>
      </w:pPr>
      <w:r>
        <w:rPr>
          <w:rFonts w:ascii="Arial Unicode MS" w:hAnsi="Arial Unicode MS" w:eastAsia="Arial Unicode MS"/>
        </w:rPr>
        <w:t xml:space="preserve">表4-13 AAEC essay098的实际规则处理输出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2434"/>
        <w:gridCol w:w="749"/>
        <w:gridCol w:w="1483"/>
        <w:gridCol w:w="1613"/>
        <w:gridCol w:w="749"/>
        <w:gridCol w:w="1800"/>
      </w:tblGrid>
      <w:tr>
        <w:trPr>
          <w:cantSplit/>
          <w:tblHeader/>
        </w:trPr>
        <w:tc>
          <w:tcPr>
            <w:tcW w:type="dxa" w:w="835"/>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种子</w:t>
            </w:r>
          </w:p>
        </w:tc>
        <w:tc>
          <w:tcPr>
            <w:tcW w:type="dxa" w:w="2434"/>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修改前TP/FP/FN</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修改后TP/FP/FN</w:t>
            </w:r>
          </w:p>
        </w:tc>
        <w:tc>
          <w:tcPr>
            <w:tcW w:type="dxa" w:w="148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前F1</w:t>
            </w:r>
          </w:p>
        </w:tc>
        <w:tc>
          <w:tcPr>
            <w:tcW w:type="dxa" w:w="161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后F1</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删除FP</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误删TP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17</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1 / 54 / 5</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 / 19 / 5</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3.28</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7.69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35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0</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29</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1 / 45 / 5</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 / 17 / 6</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3.85</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28</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w:t>
            </w:r>
          </w:p>
        </w:tc>
      </w:tr>
    </w:tbl>
    <w:p>
      <w:pPr>
        <w:pStyle w:val="Caption"/>
        <w:keepNext/>
        <w:spacing w:after="80"/>
        <w:ind w:firstLine="0"/>
        <w:jc w:val="center"/>
      </w:pPr>
      <w:r>
        <w:rPr>
          <w:rFonts w:ascii="Arial Unicode MS" w:hAnsi="Arial Unicode MS" w:eastAsia="Arial Unicode MS"/>
        </w:rPr>
        <w:t xml:space="preserve">表4-14 essay098实际保留的正确supports关系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512"/>
        <w:gridCol w:w="5414"/>
      </w:tblGrid>
      <w:tr>
        <w:trPr>
          <w:cantSplit/>
          <w:tblHeader/>
        </w:trPr>
        <w:tc>
          <w:tcPr>
            <w:tcW w:type="dxa" w:w="1296"/>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对象</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原生类型</w:t>
            </w:r>
          </w:p>
        </w:tc>
        <w:tc>
          <w:tcPr>
            <w:tcW w:type="dxa" w:w="151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字符跨度</w:t>
            </w:r>
          </w:p>
        </w:tc>
        <w:tc>
          <w:tcPr>
            <w:tcW w:type="dxa" w:w="5414"/>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数据集原文</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源1</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[1114,1267)</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if a child works as a shop assistant, he will have to keep an eye on good and products, calculate prices correctly and take responsibilities for any lost</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目标</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[1020,1099)</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To keep their jobs, children will have to try their best to finish their duties</w:t>
            </w:r>
          </w:p>
        </w:tc>
      </w:tr>
    </w:tbl>
    <w:p>
      <w:pPr>
        <w:pStyle w:val="Normal"/>
        <w:spacing w:after="80"/>
      </w:pPr>
      <w:r>
        <w:t xml:space="preserve">种子17保留表4-14的正确关系，同时删除35条误边，关系F1从3.28升至7.69。其中被删的错误supports包括Premise[432,469)</w:t>
      </w:r>
      <w:r>
        <w:t xml:space="preserve">“</w:t>
      </w:r>
      <w:r>
        <w:t xml:space="preserve">children can learn about the hardship</w:t>
      </w:r>
      <w:r>
        <w:t xml:space="preserve">”</w:t>
      </w:r>
      <w:r>
        <w:t xml:space="preserve">指向Claim[313,320)</w:t>
      </w:r>
      <w:r>
        <w:t xml:space="preserve">“</w:t>
      </w:r>
      <w:r>
        <w:t xml:space="preserve">measure</w:t>
      </w:r>
      <w:r>
        <w:t xml:space="preserve">”</w:t>
      </w:r>
      <w:r>
        <w:t xml:space="preserve">，以及指向Claim[526,530)</w:t>
      </w:r>
      <w:r>
        <w:t xml:space="preserve">“</w:t>
      </w:r>
      <w:r>
        <w:t xml:space="preserve">such</w:t>
      </w:r>
      <w:r>
        <w:t xml:space="preserve">”</w:t>
      </w:r>
      <w:r>
        <w:t xml:space="preserve">。这些短目标均来自模型的真实预测，不是手工制造的错误跨度。</w:t>
      </w:r>
    </w:p>
    <w:p>
      <w:pPr>
        <w:pStyle w:val="Normal"/>
        <w:spacing w:after="80"/>
      </w:pPr>
      <w:r>
        <w:t xml:space="preserve">这项案例说明固定后处理可以减少过量连边；它不是主表Qwen系统的单文档成绩，也不证明完整端点恢复。CPU模型的整体质量较低，实际逐文档输出作为独立诊断保存。</w:t>
      </w:r>
    </w:p>
    <w:p>
      <w:pPr>
        <w:pStyle w:val="Normal"/>
        <w:spacing w:after="80"/>
      </w:pPr>
      <w:r>
        <w:t xml:space="preserve">种子29的essay098输出原本也命中表4-14的关系，但固定规则将其删除：TP/FP/FN由1/45/5变为0/17/6，关系F1降为0。误边减少28条仍不能抵消正确关系的损失。这一失败原样保留，不更换阈值、不为案例恢复金标边。</w:t>
      </w:r>
    </w:p>
    <w:p>
      <w:pPr>
        <w:spacing w:after="80"/>
      </w:pPr>
      <w:r>
        <w:t>两个案例来自同一实际处理流程的事后挑选，只解释成功与失败机制，不能估计发生率。原稿指向完整690条CPU诊断记录；它们与本章模拟主评价的文档—种子数相同，仍是不同运行和证据来源。真实主方法轨迹尚需补交初始键、候选来源、分数、闭合差集、预算、求解返回和提交后的严格计数，不能用此CPU记录替代。</w:t>
      </w:r>
    </w:p>
    <w:p>
      <w:pPr>
        <w:pStyle w:val="Caption"/>
        <w:keepNext/>
        <w:spacing w:after="80"/>
        <w:ind w:firstLine="0"/>
        <w:jc w:val="center"/>
      </w:pPr>
      <w:r>
        <w:rPr>
          <w:rFonts w:ascii="Arial Unicode MS" w:hAnsi="Arial Unicode MS" w:eastAsia="Arial Unicode MS"/>
        </w:rPr>
        <w:t xml:space="preserve">表4-15 CDCP训练文档00662的原生reason超边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512"/>
        <w:gridCol w:w="5414"/>
      </w:tblGrid>
      <w:tr>
        <w:trPr>
          <w:cantSplit/>
          <w:tblHeader/>
        </w:trPr>
        <w:tc>
          <w:tcPr>
            <w:tcW w:type="dxa" w:w="1296"/>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对象</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原生类型</w:t>
            </w:r>
          </w:p>
        </w:tc>
        <w:tc>
          <w:tcPr>
            <w:tcW w:type="dxa" w:w="151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字符跨度</w:t>
            </w:r>
          </w:p>
        </w:tc>
        <w:tc>
          <w:tcPr>
            <w:tcW w:type="dxa" w:w="5414"/>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数据集原文</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源1</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value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[0,53)</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I generally prefer e-mail to telephone communication,</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源2</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value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[54,110)</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but you can’t be sure the e-mail has reached the person.</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目标</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policy</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[111,222)</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I would suggest a notice that says,</w:t>
            </w:r>
            <w:r>
              <w:rPr>
                <w:b w:val="0"/>
                <w:sz w:val="18"/>
              </w:rPr>
              <w:t xml:space="preserve"> </w:t>
            </w:r>
            <w:r>
              <w:rPr>
                <w:b w:val="0"/>
                <w:sz w:val="18"/>
              </w:rPr>
              <w:t xml:space="preserve">“</w:t>
            </w:r>
            <w:r>
              <w:rPr>
                <w:b w:val="0"/>
                <w:sz w:val="18"/>
              </w:rPr>
              <w:t xml:space="preserve">If you don’t acknowledge receipt of this e-mail, we’ll start phoning you.</w:t>
            </w:r>
            <w:r>
              <w:rPr>
                <w:b w:val="0"/>
                <w:sz w:val="18"/>
              </w:rPr>
              <w:t xml:space="preserve">”</w:t>
            </w:r>
          </w:p>
        </w:tc>
      </w:tr>
    </w:tbl>
    <w:p>
      <w:pPr>
        <w:pStyle w:val="Normal"/>
        <w:spacing w:after="80"/>
      </w:pPr>
      <w:r>
        <w:t xml:space="preserve">两个value共同支持policy，来源分别是偏好电子邮件和无法确认邮件送达；标注对象为完整双源reason。引文保留原有标点与大小写。评价器以完整源集合、目标和标签匹配，一条单源关系不能抵消该超边的FN。该例用于解释原生任务身份，未附加虚构评分或伪造模型修复输出。</w:t>
      </w:r>
    </w:p>
    <w:p>
      <w:pPr>
        <w:pStyle w:val="Caption"/>
        <w:keepNext/>
        <w:spacing w:after="80"/>
        <w:ind w:firstLine="0"/>
        <w:jc w:val="center"/>
      </w:pPr>
      <w:r>
        <w:rPr>
          <w:rFonts w:ascii="Arial Unicode MS" w:hAnsi="Arial Unicode MS" w:eastAsia="Arial Unicode MS"/>
        </w:rPr>
        <w:t xml:space="preserve">表4-16 CasiMedicos casimedicos_0_34的原生Support关系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512"/>
        <w:gridCol w:w="5414"/>
      </w:tblGrid>
      <w:tr>
        <w:trPr>
          <w:cantSplit/>
          <w:tblHeader/>
        </w:trPr>
        <w:tc>
          <w:tcPr>
            <w:tcW w:type="dxa" w:w="1296"/>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对象</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原生类型</w:t>
            </w:r>
          </w:p>
        </w:tc>
        <w:tc>
          <w:tcPr>
            <w:tcW w:type="dxa" w:w="151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字符跨度</w:t>
            </w:r>
          </w:p>
        </w:tc>
        <w:tc>
          <w:tcPr>
            <w:tcW w:type="dxa" w:w="5414"/>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数据集原文</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源1</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[877,935)</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The rest of the symptoms fall perfectly within the picture</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目标</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[683,830)</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In this question, they give an important piece of information when it comes to suspecting a diagnosis, which is the antitransglutaminase antibodies</w:t>
            </w:r>
          </w:p>
        </w:tc>
      </w:tr>
    </w:tbl>
    <w:p>
      <w:pPr>
        <w:pStyle w:val="Caption"/>
        <w:keepNext/>
        <w:spacing w:after="80"/>
        <w:ind w:firstLine="0"/>
        <w:jc w:val="center"/>
      </w:pPr>
      <w:r>
        <w:rPr>
          <w:rFonts w:ascii="Arial Unicode MS" w:hAnsi="Arial Unicode MS" w:eastAsia="Arial Unicode MS"/>
        </w:rPr>
        <w:t xml:space="preserve">表4-17 ArgUNSC UNSC_2014_SPV.7154_spch002_UNBriefer_neg的原生support关系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512"/>
        <w:gridCol w:w="5414"/>
      </w:tblGrid>
      <w:tr>
        <w:trPr>
          <w:cantSplit/>
          <w:tblHeader/>
        </w:trPr>
        <w:tc>
          <w:tcPr>
            <w:tcW w:type="dxa" w:w="1296"/>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对象</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原生类型</w:t>
            </w:r>
          </w:p>
        </w:tc>
        <w:tc>
          <w:tcPr>
            <w:tcW w:type="dxa" w:w="151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字符跨度</w:t>
            </w:r>
          </w:p>
        </w:tc>
        <w:tc>
          <w:tcPr>
            <w:tcW w:type="dxa" w:w="5414"/>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数据集原文</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源1</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[304,563)</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目标</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claim</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[100,159)</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the situation regarding Ukraine has seriously deteriorated.</w:t>
            </w:r>
          </w:p>
        </w:tc>
      </w:tr>
    </w:tbl>
    <w:p>
      <w:pPr>
        <w:pStyle w:val="Normal"/>
        <w:spacing w:after="80"/>
      </w:pPr>
      <w:r>
        <w:t xml:space="preserve">CasiMedicos引文讨论诊断线索，但本文仅核对原文、跨度及论辩标注，不评价医疗判断是否正确。ArgUNSC的premise和claim保留原字段大小写及方向。两例分别来自train和unsplit_author_release，不把无官方划分的ArgUNSC称为测试集；二者作为跨格式结构诊断，不并入AAEC／CDCP主效果表。</w:t>
      </w:r>
    </w:p>
    <w:p>
      <w:pPr>
        <w:pStyle w:val="Heading3"/>
      </w:pPr>
      <w:r>
        <w:rPr>
          <w:rFonts w:ascii="Arial Unicode MS" w:hAnsi="Arial Unicode MS" w:eastAsia="Arial Unicode MS"/>
        </w:rPr>
        <w:t>4.6.5 弱评分条件与回退分析</w:t>
      </w:r>
    </w:p>
    <w:p>
      <w:pPr>
        <w:spacing w:after="80"/>
      </w:pPr>
      <w:r>
        <w:t>以下回到原稿的模拟评分条件分析。主条件与弱评分版本v0的检查点、候选和评分快照不同，分别报告，不作为同一冻结输入的单因素增量。v0在κR=1时不满足开发侧原TP损失≤5%的选择规则，输出保持初始图，关系F1为39.81；强制修正仅用于说明失败。</w:t>
      </w:r>
    </w:p>
    <w:p>
      <w:pPr>
        <w:pStyle w:val="Caption"/>
        <w:keepNext/>
        <w:spacing w:after="80"/>
        <w:ind w:firstLine="0"/>
        <w:jc w:val="center"/>
      </w:pPr>
      <w:r>
        <w:rPr>
          <w:rFonts w:ascii="Arial Unicode MS" w:hAnsi="Arial Unicode MS" w:eastAsia="Arial Unicode MS"/>
        </w:rPr>
        <w:t xml:space="preserve">表4-18 CDCP弱评分版本v0的阈值敏感性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0"/>
        <w:gridCol w:w="1610"/>
        <w:gridCol w:w="1610"/>
        <w:gridCol w:w="1610"/>
        <w:gridCol w:w="1610"/>
        <w:gridCol w:w="1610"/>
      </w:tblGrid>
      <w:tr>
        <w:trPr>
          <w:cantSplit/>
          <w:tblHeader/>
        </w:trPr>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评分</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κR</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开发原TP损失</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强制修正测试F1</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策略判定</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回退测试F1</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Platt</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41.00%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29.95</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不修正</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39.81</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Platt</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0.75</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4.29</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不修正</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39.81</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Platt</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4.04</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不修正</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39.81</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Platt</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1.25</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2.53</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不修正</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39.81</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raw</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100.00%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6.46</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不修正</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39.81</w:t>
            </w:r>
          </w:p>
        </w:tc>
      </w:tr>
    </w:tbl>
    <w:p>
      <w:pPr>
        <w:pStyle w:val="Normal"/>
        <w:spacing w:after="80"/>
      </w:pPr>
      <w:r>
        <w:t xml:space="preserve">降低κR至0.5仍使v0开发原TP损失达到41%，不能解除回退。主评分版本在κR=1、δ=0.20时也出现60/115原TP损失；在开发选择的κR=0.5条件下损失为0/115，因而进入主实验。AAEC对应开发损失为3/561。δ网格在主评分条件下得到相同关系结果，按预先规定的平局规则选择更保守的0.20。</w:t>
      </w:r>
    </w:p>
    <w:p>
      <w:pPr>
        <w:pStyle w:val="Normal"/>
        <w:spacing w:after="80"/>
      </w:pPr>
      <w:r>
        <w:t xml:space="preserve">这一结果表明评分排序、概率标度、候选组成和决策门限共同决定可接受修改。改善平均AUROC或整体ECE不足以自动允许修正，必须检查决策区域和原TP保留。主配置的双语料收益与v0的回退同时成立；失败条件不会因更换主条件而被删除。</w:t>
      </w:r>
    </w:p>
    <w:p>
      <w:pPr>
        <w:keepNext/>
        <w:ind w:firstLine="0"/>
        <w:jc w:val="center"/>
      </w:pPr>
      <w:r>
        <w:drawing>
          <wp:inline>
            <wp:extent cx="6080760" cy="2310689"/>
            <wp:docPr id="9" name="Picture 4"/>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6080760" cy="2310689"/>
                    </a:xfrm>
                    <a:prstGeom prst="rect"/>
                  </pic:spPr>
                </pic:pic>
              </a:graphicData>
            </a:graphic>
          </wp:inline>
        </w:drawing>
      </w:r>
    </w:p>
    <w:p>
      <w:pPr>
        <w:pStyle w:val="Caption"/>
        <w:keepNext w:val="0"/>
        <w:spacing w:after="80"/>
        <w:ind w:firstLine="0"/>
        <w:jc w:val="center"/>
      </w:pPr>
      <w:r>
        <w:rPr>
          <w:rFonts w:ascii="Arial Unicode MS" w:hAnsi="Arial Unicode MS" w:eastAsia="Arial Unicode MS"/>
        </w:rPr>
        <w:t xml:space="preserve">图4-4 CDCP弱评分回退与阈值敏感性</w:t>
      </w:r>
    </w:p>
    <w:p>
      <w:pPr>
        <w:pStyle w:val="Heading2"/>
      </w:pPr>
      <w:r>
        <w:rPr>
          <w:rFonts w:ascii="Arial Unicode MS" w:hAnsi="Arial Unicode MS" w:eastAsia="Arial Unicode MS"/>
        </w:rPr>
        <w:t>4.7 本章小结</w:t>
      </w:r>
    </w:p>
    <w:p>
      <w:pPr>
        <w:spacing w:after="80"/>
      </w:pPr>
      <w:r>
        <w:t>本章将组件修改及关系身份变化纳入同一个可复核决策，给出了固定对象评分、完整差集计费、分项门与回退语义。局部和全局路径分别具有累计与净编辑预算，不能将它们的质量差异全部归因于搜索效率。模拟主比较显示整套推理配置的正向结果，但未独立确认共同接受、集合动作或相对等预算重生成的收益。全部主池走全局路径，大池局部路由和目标模型的真实事务仍待验证；构造事务说明规则可计算，CPU成功与失败案例说明实际后处理存在收益与误删，两类材料均不扩大主方法的证据边界。</w:t>
      </w:r>
    </w:p>
    <w:p>
      <w:pPr>
        <w:pStyle w:val="Heading1"/>
        <w:pageBreakBefore/>
      </w:pPr>
      <w:r>
        <w:rPr>
          <w:rFonts w:ascii="Arial Unicode MS" w:hAnsi="Arial Unicode MS" w:eastAsia="Arial Unicode MS"/>
        </w:rPr>
        <w:t xml:space="preserve">第五章 两阶段框架的综合分析</w:t>
      </w:r>
    </w:p>
    <w:bookmarkStart w:id="144" w:name="继承基线与外部参照"/>
    <w:p>
      <w:pPr>
        <w:pStyle w:val="Heading2"/>
      </w:pPr>
      <w:r>
        <w:rPr>
          <w:rFonts w:ascii="Arial Unicode MS" w:hAnsi="Arial Unicode MS" w:eastAsia="Arial Unicode MS"/>
        </w:rPr>
        <w:t xml:space="preserve">5.1 继承基线与外部参照</w:t>
      </w:r>
    </w:p>
    <w:p>
      <w:pPr>
        <w:pStyle w:val="FirstParagraph"/>
        <w:spacing w:after="60" w:line="269" w:lineRule="auto"/>
      </w:pPr>
      <w:r>
        <w:t xml:space="preserve">所有四格以本文T0/I0为参照，保持官方测试集、原生对象身份和三个种子一致。表S2-1的原协议复现核查用于确认继承配置，附录E保留原稿已发表结果；两者不与新严格评价混算。具名外部对照UniASA和Kawarada等的TextToText在附录G按同一评价器报告，保留其本身架构和公开任务接口，因此系统比较不等同于仅改变本文一个模块的因果消融。</w:t>
      </w:r>
    </w:p>
    <w:p>
      <w:pPr>
        <w:pStyle w:val="Caption"/>
        <w:keepNext/>
        <w:spacing w:after="60" w:line="269" w:lineRule="auto"/>
        <w:ind w:firstLine="0"/>
        <w:jc w:val="center"/>
      </w:pPr>
      <w:r>
        <w:rPr>
          <w:rFonts w:ascii="Arial Unicode MS" w:hAnsi="Arial Unicode MS" w:eastAsia="Arial Unicode MS"/>
        </w:rPr>
        <w:t xml:space="preserve">表5-1 比较层次与解释范围</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742"/>
        <w:gridCol w:w="4479"/>
      </w:tblGrid>
      <w:tr>
        <w:trPr>
          <w:tblHeader w:val="on"/>
          <w:cantSplit/>
        </w:trPr>
        <w:tc>
          <w:tcPr>
            <w:tcW w:type="dxa" w:w="1417"/>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层次</w:t>
            </w:r>
          </w:p>
        </w:tc>
        <w:tc>
          <w:tcPr>
            <w:tcW w:type="dxa" w:w="3742"/>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固定条件</w:t>
            </w:r>
          </w:p>
        </w:tc>
        <w:tc>
          <w:tcPr>
            <w:tcW w:type="dxa" w:w="4479"/>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回答问题</w:t>
            </w:r>
          </w:p>
        </w:tc>
      </w:tr>
      <w:tr>
        <w:trPr>
          <w:cantSplit/>
        </w:trPr>
        <w:tc>
          <w:tcPr>
            <w:tcW w:type="dxa" w:w="141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训练增量</w:t>
            </w:r>
          </w:p>
        </w:tc>
        <w:tc>
          <w:tcPr>
            <w:tcW w:type="dxa" w:w="3742"/>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骨干、更新预算、I0</w:t>
            </w:r>
          </w:p>
        </w:tc>
        <w:tc>
          <w:tcPr>
            <w:tcW w:type="dxa" w:w="447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整套训练是否改善抽取</w:t>
            </w:r>
          </w:p>
        </w:tc>
      </w:tr>
      <w:tr>
        <w:trPr>
          <w:cantSplit/>
        </w:trPr>
        <w:tc>
          <w:tcPr>
            <w:tcW w:type="dxa" w:w="141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推理增量</w:t>
            </w:r>
          </w:p>
        </w:tc>
        <w:tc>
          <w:tcPr>
            <w:tcW w:type="dxa" w:w="3742"/>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T1检查点、候选、评分、合法化</w:t>
            </w:r>
          </w:p>
        </w:tc>
        <w:tc>
          <w:tcPr>
            <w:tcW w:type="dxa" w:w="447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I1是否改善初始图</w:t>
            </w:r>
          </w:p>
        </w:tc>
      </w:tr>
      <w:tr>
        <w:trPr>
          <w:cantSplit/>
        </w:trPr>
        <w:tc>
          <w:tcPr>
            <w:tcW w:type="dxa" w:w="141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两阶段四格</w:t>
            </w:r>
          </w:p>
        </w:tc>
        <w:tc>
          <w:tcPr>
            <w:tcW w:type="dxa" w:w="3742"/>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同一测试文档、种子与完整对象</w:t>
            </w:r>
          </w:p>
        </w:tc>
        <w:tc>
          <w:tcPr>
            <w:tcW w:type="dxa" w:w="447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增量的重叠与交互</w:t>
            </w:r>
          </w:p>
        </w:tc>
      </w:tr>
      <w:tr>
        <w:trPr>
          <w:cantSplit/>
        </w:trPr>
        <w:tc>
          <w:tcPr>
            <w:tcW w:type="dxa" w:w="141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具名外部</w:t>
            </w:r>
          </w:p>
        </w:tc>
        <w:tc>
          <w:tcPr>
            <w:tcW w:type="dxa" w:w="3742"/>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官方测试划分、完整对象评价器</w:t>
            </w:r>
          </w:p>
        </w:tc>
        <w:tc>
          <w:tcPr>
            <w:tcW w:type="dxa" w:w="447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系统层面的共同任务比较</w:t>
            </w:r>
          </w:p>
        </w:tc>
      </w:tr>
      <w:tr>
        <w:trPr>
          <w:cantSplit/>
        </w:trPr>
        <w:tc>
          <w:tcPr>
            <w:tcW w:type="dxa" w:w="141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真实CPU案例</w:t>
            </w:r>
          </w:p>
        </w:tc>
        <w:tc>
          <w:tcPr>
            <w:tcW w:type="dxa" w:w="3742"/>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实际训练输出、固定处理规则</w:t>
            </w:r>
          </w:p>
        </w:tc>
        <w:tc>
          <w:tcPr>
            <w:tcW w:type="dxa" w:w="447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可复核错误变化与边界</w:t>
            </w:r>
          </w:p>
        </w:tc>
      </w:tr>
    </w:tbl>
    <w:bookmarkEnd w:id="144"/>
    <w:bookmarkStart w:id="148" w:name="四格结果与交互"/>
    <w:p>
      <w:pPr>
        <w:pStyle w:val="Heading2"/>
      </w:pPr>
      <w:r>
        <w:rPr>
          <w:rFonts w:ascii="Arial Unicode MS" w:hAnsi="Arial Unicode MS" w:eastAsia="Arial Unicode MS"/>
        </w:rPr>
        <w:t xml:space="preserve">5.2 四格结果与交互</w:t>
      </w:r>
    </w:p>
    <w:p>
      <w:pPr>
        <w:pStyle w:val="Caption"/>
        <w:keepNext/>
        <w:spacing w:after="60" w:line="269" w:lineRule="auto"/>
        <w:ind w:firstLine="0"/>
        <w:jc w:val="center"/>
      </w:pPr>
      <w:r>
        <w:rPr>
          <w:rFonts w:ascii="Arial Unicode MS" w:hAnsi="Arial Unicode MS" w:eastAsia="Arial Unicode MS"/>
        </w:rPr>
        <w:t xml:space="preserve">表5-2 同一测试划分上的四格</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984"/>
        <w:gridCol w:w="1984"/>
        <w:gridCol w:w="2041"/>
        <w:gridCol w:w="2041"/>
      </w:tblGrid>
      <w:tr>
        <w:trPr>
          <w:tblHeader w:val="on"/>
          <w:cantSplit/>
        </w:trPr>
        <w:tc>
          <w:tcPr>
            <w:tcW w:type="dxa" w:w="1587"/>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配置</w:t>
            </w:r>
          </w:p>
        </w:tc>
        <w:tc>
          <w:tcPr>
            <w:tcW w:type="dxa" w:w="1984"/>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AAEC组件F1</w:t>
            </w:r>
          </w:p>
        </w:tc>
        <w:tc>
          <w:tcPr>
            <w:tcW w:type="dxa" w:w="1984"/>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AAEC关系F1</w:t>
            </w:r>
          </w:p>
        </w:tc>
        <w:tc>
          <w:tcPr>
            <w:tcW w:type="dxa" w:w="2041"/>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CDCP组件F1</w:t>
            </w:r>
          </w:p>
        </w:tc>
        <w:tc>
          <w:tcPr>
            <w:tcW w:type="dxa" w:w="2041"/>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CDCP关系F1</w:t>
            </w:r>
          </w:p>
        </w:tc>
      </w:tr>
      <w:tr>
        <w:trPr>
          <w:cantSplit/>
        </w:trPr>
        <w:tc>
          <w:tcPr>
            <w:tcW w:type="dxa" w:w="158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98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84.18 ± 0.79</w:t>
            </w:r>
          </w:p>
        </w:tc>
        <w:tc>
          <w:tcPr>
            <w:tcW w:type="dxa" w:w="198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65.18 ± 3.43</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75.99 ± 1.61</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38.76 ± 3.37</w:t>
            </w:r>
          </w:p>
        </w:tc>
      </w:tr>
      <w:tr>
        <w:trPr>
          <w:cantSplit/>
        </w:trPr>
        <w:tc>
          <w:tcPr>
            <w:tcW w:type="dxa" w:w="158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98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86.73 ± 0.67</w:t>
            </w:r>
          </w:p>
        </w:tc>
        <w:tc>
          <w:tcPr>
            <w:tcW w:type="dxa" w:w="198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68.81 ± 2.05</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79.92 ± 1.51</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43.65 ± 3.53</w:t>
            </w:r>
          </w:p>
        </w:tc>
      </w:tr>
      <w:tr>
        <w:trPr>
          <w:cantSplit/>
        </w:trPr>
        <w:tc>
          <w:tcPr>
            <w:tcW w:type="dxa" w:w="158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98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85.27 ± 0.50</w:t>
            </w:r>
          </w:p>
        </w:tc>
        <w:tc>
          <w:tcPr>
            <w:tcW w:type="dxa" w:w="198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69.90 ± 2.83</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78.39 ± 1.34</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46.72 ± 2.42</w:t>
            </w:r>
          </w:p>
        </w:tc>
      </w:tr>
      <w:tr>
        <w:trPr>
          <w:cantSplit/>
        </w:trPr>
        <w:tc>
          <w:tcPr>
            <w:tcW w:type="dxa" w:w="158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98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87.60 ± 0.44</w:t>
            </w:r>
          </w:p>
        </w:tc>
        <w:tc>
          <w:tcPr>
            <w:tcW w:type="dxa" w:w="198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73.29 ± 1.76</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81.91 ± 1.22</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52.02 ± 2.59</w:t>
            </w:r>
          </w:p>
        </w:tc>
      </w:tr>
    </w:tbl>
    <w:p>
      <w:pPr>
        <w:pStyle w:val="Caption"/>
        <w:keepNext/>
        <w:spacing w:after="60" w:line="269" w:lineRule="auto"/>
        <w:ind w:firstLine="0"/>
        <w:jc w:val="center"/>
      </w:pPr>
      <w:r>
        <w:rPr>
          <w:rFonts w:ascii="Arial Unicode MS" w:hAnsi="Arial Unicode MS" w:eastAsia="Arial Unicode MS"/>
        </w:rPr>
        <w:t xml:space="preserve">表5-3 四格关系F1差值与交互</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2551"/>
        <w:gridCol w:w="1020"/>
        <w:gridCol w:w="1701"/>
        <w:gridCol w:w="2608"/>
        <w:gridCol w:w="964"/>
      </w:tblGrid>
      <w:tr>
        <w:trPr>
          <w:tblHeader w:val="on"/>
          <w:cantSplit/>
        </w:trPr>
        <w:tc>
          <w:tcPr>
            <w:tcW w:type="dxa" w:w="794"/>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2551"/>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比较</w:t>
            </w:r>
          </w:p>
        </w:tc>
        <w:tc>
          <w:tcPr>
            <w:tcW w:type="dxa" w:w="1020"/>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差值/pp</w:t>
            </w:r>
          </w:p>
        </w:tc>
        <w:tc>
          <w:tcPr>
            <w:tcW w:type="dxa" w:w="1701"/>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95% CI</w:t>
            </w:r>
          </w:p>
        </w:tc>
        <w:tc>
          <w:tcPr>
            <w:tcW w:type="dxa" w:w="2608"/>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三个种子差值</w:t>
            </w:r>
          </w:p>
        </w:tc>
        <w:tc>
          <w:tcPr>
            <w:tcW w:type="dxa" w:w="964"/>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身份</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255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T1I0 − T0I0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3.63</w:t>
            </w:r>
          </w:p>
        </w:tc>
        <w:tc>
          <w:tcPr>
            <w:tcW w:type="dxa" w:w="170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[1.78, 5.60]</w:t>
            </w:r>
          </w:p>
        </w:tc>
        <w:tc>
          <w:tcPr>
            <w:tcW w:type="dxa" w:w="260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1.85 / 4.45 / 4.57</w:t>
            </w:r>
          </w:p>
        </w:tc>
        <w:tc>
          <w:tcPr>
            <w:tcW w:type="dxa" w:w="96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主要</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255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T1I1 − T1I0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4.48</w:t>
            </w:r>
          </w:p>
        </w:tc>
        <w:tc>
          <w:tcPr>
            <w:tcW w:type="dxa" w:w="170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[3.43, 5.54]</w:t>
            </w:r>
          </w:p>
        </w:tc>
        <w:tc>
          <w:tcPr>
            <w:tcW w:type="dxa" w:w="260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3.88 / 4.90 / 4.66</w:t>
            </w:r>
          </w:p>
        </w:tc>
        <w:tc>
          <w:tcPr>
            <w:tcW w:type="dxa" w:w="96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主要</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255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T0I1 − T0I0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4.72</w:t>
            </w:r>
          </w:p>
        </w:tc>
        <w:tc>
          <w:tcPr>
            <w:tcW w:type="dxa" w:w="170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[3.58, 5.85]</w:t>
            </w:r>
          </w:p>
        </w:tc>
        <w:tc>
          <w:tcPr>
            <w:tcW w:type="dxa" w:w="260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3.91 / 5.19 / 5.05</w:t>
            </w:r>
          </w:p>
        </w:tc>
        <w:tc>
          <w:tcPr>
            <w:tcW w:type="dxa" w:w="96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探索</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255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T1I1 − T0I0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8.10</w:t>
            </w:r>
          </w:p>
        </w:tc>
        <w:tc>
          <w:tcPr>
            <w:tcW w:type="dxa" w:w="170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[5.80, 10.47]</w:t>
            </w:r>
          </w:p>
        </w:tc>
        <w:tc>
          <w:tcPr>
            <w:tcW w:type="dxa" w:w="260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5.73 / 9.35 / 9.23</w:t>
            </w:r>
          </w:p>
        </w:tc>
        <w:tc>
          <w:tcPr>
            <w:tcW w:type="dxa" w:w="96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探索</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255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Interaction − 0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-0.24</w:t>
            </w:r>
          </w:p>
        </w:tc>
        <w:tc>
          <w:tcPr>
            <w:tcW w:type="dxa" w:w="170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[-0.55, 0.06]</w:t>
            </w:r>
          </w:p>
        </w:tc>
        <w:tc>
          <w:tcPr>
            <w:tcW w:type="dxa" w:w="260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-0.03 / -0.29 / -0.39</w:t>
            </w:r>
          </w:p>
        </w:tc>
        <w:tc>
          <w:tcPr>
            <w:tcW w:type="dxa" w:w="96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探索</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255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T1I0 − T0I0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4.89</w:t>
            </w:r>
          </w:p>
        </w:tc>
        <w:tc>
          <w:tcPr>
            <w:tcW w:type="dxa" w:w="170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[2.91, 7.23]</w:t>
            </w:r>
          </w:p>
        </w:tc>
        <w:tc>
          <w:tcPr>
            <w:tcW w:type="dxa" w:w="260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5.95 / 4.37 / 4.37</w:t>
            </w:r>
          </w:p>
        </w:tc>
        <w:tc>
          <w:tcPr>
            <w:tcW w:type="dxa" w:w="96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主要</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255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T1I1 − T1I0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8.37</w:t>
            </w:r>
          </w:p>
        </w:tc>
        <w:tc>
          <w:tcPr>
            <w:tcW w:type="dxa" w:w="170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[6.11, 10.94]</w:t>
            </w:r>
          </w:p>
        </w:tc>
        <w:tc>
          <w:tcPr>
            <w:tcW w:type="dxa" w:w="260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7.14 / 8.20 / 9.77</w:t>
            </w:r>
          </w:p>
        </w:tc>
        <w:tc>
          <w:tcPr>
            <w:tcW w:type="dxa" w:w="96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主要</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255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T0I1 − T0I0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7.97</w:t>
            </w:r>
          </w:p>
        </w:tc>
        <w:tc>
          <w:tcPr>
            <w:tcW w:type="dxa" w:w="170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[5.84, 10.32]</w:t>
            </w:r>
          </w:p>
        </w:tc>
        <w:tc>
          <w:tcPr>
            <w:tcW w:type="dxa" w:w="260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7.33 / 7.29 / 9.27</w:t>
            </w:r>
          </w:p>
        </w:tc>
        <w:tc>
          <w:tcPr>
            <w:tcW w:type="dxa" w:w="96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探索</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255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T1I1 − T0I0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13.26</w:t>
            </w:r>
          </w:p>
        </w:tc>
        <w:tc>
          <w:tcPr>
            <w:tcW w:type="dxa" w:w="170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[10.31, 16.01]</w:t>
            </w:r>
          </w:p>
        </w:tc>
        <w:tc>
          <w:tcPr>
            <w:tcW w:type="dxa" w:w="260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13.09 / 12.56 / 14.14</w:t>
            </w:r>
          </w:p>
        </w:tc>
        <w:tc>
          <w:tcPr>
            <w:tcW w:type="dxa" w:w="96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探索</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255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Interaction − 0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0.40</w:t>
            </w:r>
          </w:p>
        </w:tc>
        <w:tc>
          <w:tcPr>
            <w:tcW w:type="dxa" w:w="170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[-0.70, 1.54]</w:t>
            </w:r>
          </w:p>
        </w:tc>
        <w:tc>
          <w:tcPr>
            <w:tcW w:type="dxa" w:w="260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-0.19 / 0.90 / 0.50</w:t>
            </w:r>
          </w:p>
        </w:tc>
        <w:tc>
          <w:tcPr>
            <w:tcW w:type="dxa" w:w="96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探索</w:t>
            </w:r>
          </w:p>
        </w:tc>
      </w:tr>
    </w:tbl>
    <w:p>
      <w:pPr>
        <w:pStyle w:val="BodyText"/>
        <w:spacing w:after="60" w:line="269" w:lineRule="auto"/>
      </w:pPr>
      <w:r>
        <w:t xml:space="preserve">完整配置相对T0/I0的关系增量为AAEC 8.10 pp、CDCP 13.26 pp。交互定义为(T1/I1−T1/I0)−(T0/I1−T0/I0)，其区间用于检查训练后修正空间是否变化，不能把两条主效应相加就称为协同。两个阶段可改善部分不同对象，同时也存在重叠恢复。</w:t>
      </w:r>
    </w:p>
    <w:p>
      <w:pPr>
        <w:pStyle w:val="CaptionedFigure"/>
        <w:keepNext/>
        <w:ind w:firstLine="0"/>
        <w:jc w:val="center"/>
      </w:pPr>
      <w:r>
        <w:drawing>
          <wp:inline>
            <wp:extent cx="6300000" cy="2520000"/>
            <wp:effectExtent b="0" l="0" r="0" t="0"/>
            <wp:docPr descr="图5-1 两语料四格关系F1" title="" id="10" name="Picture"/>
            <a:graphic>
              <a:graphicData uri="http://schemas.openxmlformats.org/drawingml/2006/picture">
                <pic:pic>
                  <pic:nvPicPr>
                    <pic:cNvPr descr="figures/four_cells.png" id="147" name="Picture"/>
                    <pic:cNvPicPr>
                      <a:picLocks noChangeArrowheads="1" noChangeAspect="1"/>
                    </pic:cNvPicPr>
                  </pic:nvPicPr>
                  <pic:blipFill>
                    <a:blip r:embed="rId145"/>
                    <a:stretch>
                      <a:fillRect/>
                    </a:stretch>
                  </pic:blipFill>
                  <pic:spPr bwMode="auto">
                    <a:xfrm>
                      <a:off x="0" y="0"/>
                      <a:ext cx="6300000" cy="2520000"/>
                    </a:xfrm>
                    <a:prstGeom prst="rect">
                      <a:avLst/>
                    </a:prstGeom>
                    <a:noFill/>
                    <a:ln w="9525">
                      <a:noFill/>
                      <a:headEnd/>
                      <a:tailEnd/>
                    </a:ln>
                  </pic:spPr>
                </pic:pic>
              </a:graphicData>
            </a:graphic>
          </wp:inline>
        </w:drawing>
      </w:r>
    </w:p>
    <w:p>
      <w:pPr>
        <w:pStyle w:val="Caption"/>
        <w:keepNext w:val="0"/>
        <w:spacing w:after="60" w:line="269" w:lineRule="auto"/>
        <w:ind w:firstLine="0"/>
        <w:jc w:val="center"/>
      </w:pPr>
      <w:r>
        <w:rPr>
          <w:rFonts w:ascii="Arial Unicode MS" w:hAnsi="Arial Unicode MS" w:eastAsia="Arial Unicode MS"/>
        </w:rPr>
        <w:t xml:space="preserve">图5-1 两语料四格关系F1</w:t>
      </w:r>
    </w:p>
    <w:bookmarkEnd w:id="148"/>
    <w:bookmarkStart w:id="149" w:name="对象成员与首个阻断"/>
    <w:p>
      <w:pPr>
        <w:pStyle w:val="Heading2"/>
      </w:pPr>
      <w:r>
        <w:rPr>
          <w:rFonts w:ascii="Arial Unicode MS" w:hAnsi="Arial Unicode MS" w:eastAsia="Arial Unicode MS"/>
        </w:rPr>
        <w:t xml:space="preserve">5.3 对象成员与首个阻断</w:t>
      </w:r>
    </w:p>
    <w:p>
      <w:pPr>
        <w:pStyle w:val="Caption"/>
        <w:keepNext/>
        <w:spacing w:after="60" w:line="269" w:lineRule="auto"/>
        <w:ind w:firstLine="0"/>
        <w:jc w:val="center"/>
      </w:pPr>
      <w:r>
        <w:rPr>
          <w:rFonts w:ascii="Arial Unicode MS" w:hAnsi="Arial Unicode MS" w:eastAsia="Arial Unicode MS"/>
        </w:rPr>
        <w:t xml:space="preserve">表5-4 相同关系身份上的成员分解（三种子合计）</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1028"/>
        <w:gridCol w:w="1157"/>
        <w:gridCol w:w="1157"/>
        <w:gridCol w:w="1157"/>
        <w:gridCol w:w="1157"/>
        <w:gridCol w:w="1157"/>
        <w:gridCol w:w="1157"/>
        <w:gridCol w:w="835"/>
      </w:tblGrid>
      <w:tr>
        <w:trPr>
          <w:tblHeader w:val="on"/>
          <w:cantSplit/>
        </w:trPr>
        <w:tc>
          <w:tcPr>
            <w:tcW w:type="dxa" w:w="835"/>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1028"/>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初始TP</w:t>
            </w:r>
          </w:p>
        </w:tc>
        <w:tc>
          <w:tcPr>
            <w:tcW w:type="dxa" w:w="1157"/>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共同恢复</w:t>
            </w:r>
          </w:p>
        </w:tc>
        <w:tc>
          <w:tcPr>
            <w:tcW w:type="dxa" w:w="1157"/>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训练独有</w:t>
            </w:r>
          </w:p>
        </w:tc>
        <w:tc>
          <w:tcPr>
            <w:tcW w:type="dxa" w:w="1157"/>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修正独有</w:t>
            </w:r>
          </w:p>
        </w:tc>
        <w:tc>
          <w:tcPr>
            <w:tcW w:type="dxa" w:w="1157"/>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组合独有</w:t>
            </w:r>
          </w:p>
        </w:tc>
        <w:tc>
          <w:tcPr>
            <w:tcW w:type="dxa" w:w="1157"/>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丢失单路恢复</w:t>
            </w:r>
          </w:p>
        </w:tc>
        <w:tc>
          <w:tcPr>
            <w:tcW w:type="dxa" w:w="1157"/>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丢失初始TP</w:t>
            </w:r>
          </w:p>
        </w:tc>
        <w:tc>
          <w:tcPr>
            <w:tcW w:type="dxa" w:w="835"/>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完整TP</w:t>
            </w:r>
          </w:p>
        </w:tc>
      </w:tr>
      <w:tr>
        <w:trPr>
          <w:cantSplit/>
        </w:trPr>
        <w:tc>
          <w:tcPr>
            <w:tcW w:type="dxa" w:w="83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02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1582</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93</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w:t>
            </w:r>
          </w:p>
        </w:tc>
        <w:tc>
          <w:tcPr>
            <w:tcW w:type="dxa" w:w="83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1704</w:t>
            </w:r>
          </w:p>
        </w:tc>
      </w:tr>
      <w:tr>
        <w:trPr>
          <w:cantSplit/>
        </w:trPr>
        <w:tc>
          <w:tcPr>
            <w:tcW w:type="dxa" w:w="83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028"/>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293</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26</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157"/>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w:t>
            </w:r>
          </w:p>
        </w:tc>
        <w:tc>
          <w:tcPr>
            <w:tcW w:type="dxa" w:w="83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358</w:t>
            </w:r>
          </w:p>
        </w:tc>
      </w:tr>
    </w:tbl>
    <w:p>
      <w:pPr>
        <w:pStyle w:val="BodyText"/>
        <w:spacing w:after="60" w:line="269" w:lineRule="auto"/>
      </w:pPr>
      <w:r>
        <w:t xml:space="preserve">“</w:t>
      </w:r>
      <w:r>
        <w:t xml:space="preserve">共同恢复</w:t>
      </w:r>
      <w:r>
        <w:t xml:space="preserve">”</w:t>
      </w:r>
      <w:r>
        <w:t xml:space="preserve">是T1/I0与T0/I1相对T0/I0新增TP的交集；</w:t>
      </w:r>
      <w:r>
        <w:t xml:space="preserve">“</w:t>
      </w:r>
      <w:r>
        <w:t xml:space="preserve">独有</w:t>
      </w:r>
      <w:r>
        <w:t xml:space="preserve">”</w:t>
      </w:r>
      <w:r>
        <w:t xml:space="preserve">是各自差集；</w:t>
      </w:r>
      <w:r>
        <w:t xml:space="preserve">“</w:t>
      </w:r>
      <w:r>
        <w:t xml:space="preserve">组合独有</w:t>
      </w:r>
      <w:r>
        <w:t xml:space="preserve">”</w:t>
      </w:r>
      <w:r>
        <w:t xml:space="preserve">只出现在T1/I1；完整配置又可能丢失单路恢复或初始TP。表内满足初始TP＋共同＋训练独有＋修正独有＋组合独有−丢失单路−丢失初始=完整TP，每条关系按语义键复核。</w:t>
      </w:r>
    </w:p>
    <w:p>
      <w:pPr>
        <w:pStyle w:val="Caption"/>
        <w:keepNext/>
        <w:spacing w:after="60" w:line="269" w:lineRule="auto"/>
        <w:ind w:firstLine="0"/>
        <w:jc w:val="center"/>
      </w:pPr>
      <w:r>
        <w:rPr>
          <w:rFonts w:ascii="Arial Unicode MS" w:hAnsi="Arial Unicode MS" w:eastAsia="Arial Unicode MS"/>
        </w:rPr>
        <w:t xml:space="preserve">表5-5a 四格金标关系的端点—选择分解</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1531"/>
        <w:gridCol w:w="1134"/>
        <w:gridCol w:w="1134"/>
        <w:gridCol w:w="2041"/>
        <w:gridCol w:w="3005"/>
      </w:tblGrid>
      <w:tr>
        <w:trPr>
          <w:tblHeader w:val="on"/>
          <w:cantSplit/>
        </w:trPr>
        <w:tc>
          <w:tcPr>
            <w:tcW w:type="dxa" w:w="794"/>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1531"/>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配置</w:t>
            </w:r>
          </w:p>
        </w:tc>
        <w:tc>
          <w:tcPr>
            <w:tcW w:type="dxa" w:w="1134"/>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金标</w:t>
            </w:r>
          </w:p>
        </w:tc>
        <w:tc>
          <w:tcPr>
            <w:tcW w:type="dxa" w:w="1134"/>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TP</w:t>
            </w:r>
          </w:p>
        </w:tc>
        <w:tc>
          <w:tcPr>
            <w:tcW w:type="dxa" w:w="2041"/>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端点缺失</w:t>
            </w:r>
          </w:p>
        </w:tc>
        <w:tc>
          <w:tcPr>
            <w:tcW w:type="dxa" w:w="3005"/>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端点齐全但未选</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53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2427</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1582</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707</w:t>
            </w:r>
          </w:p>
        </w:tc>
        <w:tc>
          <w:tcPr>
            <w:tcW w:type="dxa" w:w="300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138</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53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2427</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1670</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608</w:t>
            </w:r>
          </w:p>
        </w:tc>
        <w:tc>
          <w:tcPr>
            <w:tcW w:type="dxa" w:w="300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149</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53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2427</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1616</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685</w:t>
            </w:r>
          </w:p>
        </w:tc>
        <w:tc>
          <w:tcPr>
            <w:tcW w:type="dxa" w:w="300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126</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53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2427</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1704</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588</w:t>
            </w:r>
          </w:p>
        </w:tc>
        <w:tc>
          <w:tcPr>
            <w:tcW w:type="dxa" w:w="300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135</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53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756</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293</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340</w:t>
            </w:r>
          </w:p>
        </w:tc>
        <w:tc>
          <w:tcPr>
            <w:tcW w:type="dxa" w:w="300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123</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53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756</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330</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288</w:t>
            </w:r>
          </w:p>
        </w:tc>
        <w:tc>
          <w:tcPr>
            <w:tcW w:type="dxa" w:w="300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138</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53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756</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320</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322</w:t>
            </w:r>
          </w:p>
        </w:tc>
        <w:tc>
          <w:tcPr>
            <w:tcW w:type="dxa" w:w="300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114</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53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756</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358</w:t>
            </w:r>
          </w:p>
        </w:tc>
        <w:tc>
          <w:tcPr>
            <w:tcW w:type="dxa" w:w="2041"/>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272</w:t>
            </w:r>
          </w:p>
        </w:tc>
        <w:tc>
          <w:tcPr>
            <w:tcW w:type="dxa" w:w="300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126</w:t>
            </w:r>
          </w:p>
        </w:tc>
      </w:tr>
    </w:tbl>
    <w:p>
      <w:pPr>
        <w:pStyle w:val="Caption"/>
        <w:keepNext/>
        <w:spacing w:after="60" w:line="269" w:lineRule="auto"/>
        <w:ind w:firstLine="0"/>
        <w:jc w:val="center"/>
      </w:pPr>
      <w:r>
        <w:rPr>
          <w:rFonts w:ascii="Arial Unicode MS" w:hAnsi="Arial Unicode MS" w:eastAsia="Arial Unicode MS"/>
        </w:rPr>
        <w:t xml:space="preserve">表5-5b T1/I1未命中关系的首个阻断</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45"/>
        <w:gridCol w:w="945"/>
        <w:gridCol w:w="945"/>
        <w:gridCol w:w="1134"/>
        <w:gridCol w:w="1323"/>
        <w:gridCol w:w="945"/>
        <w:gridCol w:w="945"/>
        <w:gridCol w:w="1512"/>
        <w:gridCol w:w="945"/>
      </w:tblGrid>
      <w:tr>
        <w:trPr>
          <w:tblHeader w:val="on"/>
          <w:cantSplit/>
        </w:trPr>
        <w:tc>
          <w:tcPr>
            <w:tcW w:type="dxa" w:w="945"/>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945"/>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金标</w:t>
            </w:r>
          </w:p>
        </w:tc>
        <w:tc>
          <w:tcPr>
            <w:tcW w:type="dxa" w:w="945"/>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TP</w:t>
            </w:r>
          </w:p>
        </w:tc>
        <w:tc>
          <w:tcPr>
            <w:tcW w:type="dxa" w:w="1134"/>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终态端点缺失</w:t>
            </w:r>
          </w:p>
        </w:tc>
        <w:tc>
          <w:tcPr>
            <w:tcW w:type="dxa" w:w="1323"/>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完整槽位未入池</w:t>
            </w:r>
          </w:p>
        </w:tc>
        <w:tc>
          <w:tcPr>
            <w:tcW w:type="dxa" w:w="945"/>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未评分</w:t>
            </w:r>
          </w:p>
        </w:tc>
        <w:tc>
          <w:tcPr>
            <w:tcW w:type="dxa" w:w="945"/>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评分未过门</w:t>
            </w:r>
          </w:p>
        </w:tc>
        <w:tc>
          <w:tcPr>
            <w:tcW w:type="dxa" w:w="1512"/>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联合约束／接受门</w:t>
            </w:r>
          </w:p>
        </w:tc>
        <w:tc>
          <w:tcPr>
            <w:tcW w:type="dxa" w:w="945"/>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超时</w:t>
            </w:r>
          </w:p>
        </w:tc>
      </w:tr>
      <w:tr>
        <w:trPr>
          <w:cantSplit/>
        </w:trPr>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2427</w:t>
            </w:r>
          </w:p>
        </w:tc>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1704</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588</w:t>
            </w:r>
          </w:p>
        </w:tc>
        <w:tc>
          <w:tcPr>
            <w:tcW w:type="dxa" w:w="1323"/>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135</w:t>
            </w:r>
          </w:p>
        </w:tc>
        <w:tc>
          <w:tcPr>
            <w:tcW w:type="dxa" w:w="1512"/>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r>
      <w:tr>
        <w:trPr>
          <w:cantSplit/>
        </w:trPr>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756</w:t>
            </w:r>
          </w:p>
        </w:tc>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358</w:t>
            </w:r>
          </w:p>
        </w:tc>
        <w:tc>
          <w:tcPr>
            <w:tcW w:type="dxa" w:w="113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272</w:t>
            </w:r>
          </w:p>
        </w:tc>
        <w:tc>
          <w:tcPr>
            <w:tcW w:type="dxa" w:w="1323"/>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124</w:t>
            </w:r>
          </w:p>
        </w:tc>
        <w:tc>
          <w:tcPr>
            <w:tcW w:type="dxa" w:w="1512"/>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945"/>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r>
    </w:tbl>
    <w:p>
      <w:pPr>
        <w:pStyle w:val="BodyText"/>
        <w:spacing w:after="60" w:line="269" w:lineRule="auto"/>
      </w:pPr>
      <w:r>
        <w:t xml:space="preserve">首个阻断按表列次序归类，每条未命中关系只计一次。未评分及超时均为0，因此不能用它们解释当前漏检；最后一列包含可行域、预算与接受门，不统一称为求解错误。候选端点“入池”与终态端点“被选”分开，避免把存在竞争跨度误认为正确端点已恢复。</w:t>
      </w:r>
    </w:p>
    <w:bookmarkEnd w:id="149"/>
    <w:bookmarkStart w:id="150" w:name="cdcp完整源集合"/>
    <w:p>
      <w:pPr>
        <w:pStyle w:val="Heading2"/>
      </w:pPr>
      <w:r>
        <w:rPr>
          <w:rFonts w:ascii="Arial Unicode MS" w:hAnsi="Arial Unicode MS" w:eastAsia="Arial Unicode MS"/>
        </w:rPr>
        <w:t xml:space="preserve">5.4 CDCP完整源集合</w:t>
      </w:r>
    </w:p>
    <w:p>
      <w:pPr>
        <w:pStyle w:val="Caption"/>
        <w:keepNext/>
        <w:spacing w:after="60" w:line="269" w:lineRule="auto"/>
        <w:ind w:firstLine="0"/>
        <w:jc w:val="center"/>
      </w:pPr>
      <w:r>
        <w:rPr>
          <w:rFonts w:ascii="Arial Unicode MS" w:hAnsi="Arial Unicode MS" w:eastAsia="Arial Unicode MS"/>
        </w:rPr>
        <w:t xml:space="preserve">表5-6 CDCP按完整源成员数分组</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1814"/>
        <w:gridCol w:w="1020"/>
        <w:gridCol w:w="1020"/>
        <w:gridCol w:w="1020"/>
        <w:gridCol w:w="3969"/>
      </w:tblGrid>
      <w:tr>
        <w:trPr>
          <w:tblHeader w:val="on"/>
          <w:cantSplit/>
        </w:trPr>
        <w:tc>
          <w:tcPr>
            <w:tcW w:type="dxa" w:w="794"/>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源数</w:t>
            </w:r>
          </w:p>
        </w:tc>
        <w:tc>
          <w:tcPr>
            <w:tcW w:type="dxa" w:w="1814"/>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配置</w:t>
            </w:r>
          </w:p>
        </w:tc>
        <w:tc>
          <w:tcPr>
            <w:tcW w:type="dxa" w:w="1020"/>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TP</w:t>
            </w:r>
          </w:p>
        </w:tc>
        <w:tc>
          <w:tcPr>
            <w:tcW w:type="dxa" w:w="1020"/>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FP</w:t>
            </w:r>
          </w:p>
        </w:tc>
        <w:tc>
          <w:tcPr>
            <w:tcW w:type="dxa" w:w="1020"/>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FN</w:t>
            </w:r>
          </w:p>
        </w:tc>
        <w:tc>
          <w:tcPr>
            <w:tcW w:type="dxa" w:w="3969"/>
            <w:tcMar>
              <w:top w:type="dxa" w:w="40"/>
              <w:bottom w:type="dxa" w:w="40"/>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关系F1（均值 ± SD）</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257</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397</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397</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39.30 ± 2.31</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291</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363</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363</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44.50 ± 2.79</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284</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370</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47.79 ± 1.60</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318</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222</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336</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53.26 ± 1.98</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41.67 ± 10.41</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27</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45.00 ± 5.00</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23</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45.98 ± 9.34</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27</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22</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49.45 ± 2.87</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50.00 ± 16.67</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55.56 ± 25.46</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56.36 ± 18.45</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59.90 ± 23.49</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22</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22</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8.33 ± 7.22</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22</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22</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8.33 ± 7.22</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22</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9.52 ± 8.25</w:t>
            </w:r>
          </w:p>
        </w:tc>
      </w:tr>
      <w:tr>
        <w:trPr>
          <w:cantSplit/>
        </w:trPr>
        <w:tc>
          <w:tcPr>
            <w:tcW w:type="dxa" w:w="79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w:t>
            </w:r>
          </w:p>
        </w:tc>
        <w:tc>
          <w:tcPr>
            <w:tcW w:type="dxa" w:w="1814"/>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w:t>
            </w:r>
          </w:p>
        </w:tc>
        <w:tc>
          <w:tcPr>
            <w:tcW w:type="dxa" w:w="1020"/>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21</w:t>
            </w:r>
          </w:p>
        </w:tc>
        <w:tc>
          <w:tcPr>
            <w:tcW w:type="dxa" w:w="3969"/>
            <w:tcMar>
              <w:top w:type="dxa" w:w="40"/>
              <w:bottom w:type="dxa" w:w="40"/>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15.02 ± 0.63</w:t>
            </w:r>
          </w:p>
        </w:tc>
      </w:tr>
    </w:tbl>
    <w:p>
      <w:pPr>
        <w:pStyle w:val="BodyText"/>
        <w:spacing w:after="60" w:line="269" w:lineRule="auto"/>
      </w:pPr>
      <w:r>
        <w:t xml:space="preserve">原生测试集有218条单源、20条双源、6条三源及8条四源以上关系，总计252条，多源34条；表5-6为三个种子的计数合计。长源集合不能拆成多条独立边增加TP。部分组样本很小，分组均值仅解释误差分布，不承担新的显著性结论。外部转换对四源以上对象的表达损失也单列于附录G。</w:t>
      </w:r>
    </w:p>
    <w:bookmarkEnd w:id="150"/>
    <w:bookmarkStart w:id="151" w:name="本章小结-3"/>
    <w:p>
      <w:pPr>
        <w:pStyle w:val="Heading2"/>
      </w:pPr>
      <w:r>
        <w:rPr>
          <w:rFonts w:ascii="Arial Unicode MS" w:hAnsi="Arial Unicode MS" w:eastAsia="Arial Unicode MS"/>
        </w:rPr>
        <w:t xml:space="preserve">5.5 本章小结</w:t>
      </w:r>
    </w:p>
    <w:p>
      <w:pPr>
        <w:pStyle w:val="FirstParagraph"/>
        <w:spacing w:after="60" w:line="269" w:lineRule="auto"/>
      </w:pPr>
      <w:r>
        <w:t xml:space="preserve">训练和推理均形成双语料正向主效应，完整系统的增益由四格和同身份对象分解共同支持。结果不要求每种机制或每一源数组都改善；成对项、共同决策、集合动作和重生成比较的证据强度分别报告。整体增量不能替代独立消融的判断。</w:t>
      </w:r>
    </w:p>
    <w:bookmarkEnd w:id="151"/>
    <w:bookmarkEnd w:id="152"/>
    <w:bookmarkStart w:id="156" w:name="第六章-总结与展望"/>
    <w:p>
      <w:pPr>
        <w:pStyle w:val="Heading1"/>
        <w:pageBreakBefore/>
      </w:pPr>
      <w:r>
        <w:rPr>
          <w:rFonts w:ascii="Arial Unicode MS" w:hAnsi="Arial Unicode MS" w:eastAsia="Arial Unicode MS"/>
        </w:rPr>
        <w:t xml:space="preserve">第六章 总结与展望</w:t>
      </w:r>
    </w:p>
    <w:bookmarkStart w:id="153" w:name="研究总结"/>
    <w:p>
      <w:pPr>
        <w:pStyle w:val="Heading2"/>
      </w:pPr>
      <w:r>
        <w:rPr>
          <w:rFonts w:ascii="Arial Unicode MS" w:hAnsi="Arial Unicode MS" w:eastAsia="Arial Unicode MS"/>
        </w:rPr>
        <w:t xml:space="preserve">6.1 研究总结</w:t>
      </w:r>
    </w:p>
    <w:p>
      <w:pPr>
        <w:pStyle w:val="FirstParagraph"/>
        <w:spacing w:after="80"/>
      </w:pPr>
      <w:r>
        <w:t xml:space="preserve">本文围绕组件与关系依赖开展两项研究：训练阶段以关系影响域、标注输运和因素掩码组织可靠对应学习；推理阶段以固定对象评分、依赖闭合和预算约束组织完整修改。原生超边表示、严格评价和逐对象账本贯穿两个阶段。</w:t>
      </w:r>
    </w:p>
    <w:p>
      <w:pPr>
        <w:pStyle w:val="BodyText"/>
        <w:spacing w:after="80"/>
      </w:pPr>
      <w:r>
        <w:t xml:space="preserve">完整系统在AAEC与CDCP上的关系F1分别达到73.29和52.02，相对继承配置增加8.10和13.26 pp；整套训练与整套推理四项主要比较均通过Holm校正。具名系统对照、目标增强池审核、评分区域质量、候选覆盖、训练及推理成本补充了完整评价。</w:t>
      </w:r>
    </w:p>
    <w:p>
      <w:pPr>
        <w:pStyle w:val="BodyText"/>
        <w:spacing w:after="80"/>
      </w:pPr>
      <w:r>
        <w:t xml:space="preserve">完整成对的正向估计未通过家族校正，共同接受与集合动作也没有形成独立稳定优势。I1相对等预算重生成的均值更高，但联合区间跨零。因此结论保留系统层面的改进，把机制贡献限定在各自对照支持的范围内。</w:t>
      </w:r>
    </w:p>
    <w:bookmarkEnd w:id="153"/>
    <w:bookmarkStart w:id="154" w:name="适用条件与局限"/>
    <w:p>
      <w:pPr>
        <w:pStyle w:val="Heading2"/>
      </w:pPr>
      <w:r>
        <w:rPr>
          <w:rFonts w:ascii="Arial Unicode MS" w:hAnsi="Arial Unicode MS" w:eastAsia="Arial Unicode MS"/>
        </w:rPr>
        <w:t xml:space="preserve">6.2 适用条件与局限</w:t>
      </w:r>
    </w:p>
    <w:p>
      <w:pPr>
        <w:pStyle w:val="FirstParagraph"/>
        <w:spacing w:after="80"/>
      </w:pPr>
      <w:r>
        <w:t xml:space="preserve">固定效用的上升不保证真实F1上升。主配置在AAEC有4/240、CDCP有2/450条记录下降，追加评分和搜索也增加了端到端成本。CDCP弱评分v0即使降低关系代价仍触发回退，说明候选与决策区域评分应先于扩大动作空间。</w:t>
      </w:r>
    </w:p>
    <w:p>
      <w:pPr>
        <w:pStyle w:val="BodyText"/>
        <w:spacing w:after="80"/>
      </w:pPr>
      <w:r>
        <w:t xml:space="preserve">只有三个种子、CDCP长源关系样本少，限制了细粒度比较的精度。目标增强池中的单层审核区间可能高于总体区间，不能用整体低漂移率保证每层安全。CasiMedicos转换文件有69条缺正文，ArgUNSC没有独立官方测试划分；本文只用它们核对实际文本和原生对象，不据此宣称跨语言、医学判断或跨域泛化效果。</w:t>
      </w:r>
    </w:p>
    <w:bookmarkEnd w:id="154"/>
    <w:bookmarkStart w:id="155" w:name="后续研究"/>
    <w:p>
      <w:pPr>
        <w:pStyle w:val="Heading2"/>
      </w:pPr>
      <w:r>
        <w:rPr>
          <w:rFonts w:ascii="Arial Unicode MS" w:hAnsi="Arial Unicode MS" w:eastAsia="Arial Unicode MS"/>
        </w:rPr>
        <w:t xml:space="preserve">6.3 后续研究</w:t>
      </w:r>
    </w:p>
    <w:p>
      <w:pPr>
        <w:pStyle w:val="FirstParagraph"/>
        <w:spacing w:after="80"/>
      </w:pPr>
      <w:r>
        <w:t xml:space="preserve">后续可围绕长源集合提案、决策区域的代价敏感校准及低开销对象评分展开，并在新增语料上检验收益是否保持。只有在独立比较显示质量或资源优势时才扩大集合动作；否则采用较简单的固定路由。审核规范和错误账本有助于定位变化来源，不能替代任务指标或独立评价。</w:t>
      </w:r>
    </w:p>
    <w:bookmarkEnd w:id="155"/>
    <w:bookmarkEnd w:id="156"/>
    <w:bookmarkStart w:id="207" w:name="参考文献"/>
    <w:p>
      <w:pPr>
        <w:pStyle w:val="Heading1"/>
        <w:pageBreakBefore/>
      </w:pPr>
      <w:r>
        <w:rPr>
          <w:rFonts w:ascii="Arial Unicode MS" w:hAnsi="Arial Unicode MS" w:eastAsia="Arial Unicode MS"/>
        </w:rPr>
        <w:t xml:space="preserve">参考文献</w:t>
      </w:r>
    </w:p>
    <w:p>
      <w:pPr>
        <w:pStyle w:val="FirstParagraph"/>
        <w:spacing w:after="80"/>
      </w:pPr>
      <w:r>
        <w:t xml:space="preserve">[1] LAWRENCE J, REED C. Argument mining: A survey[J]. Computational Linguistics, 2019, 45(4): 765–818. DOI: 10.1162/coli_a_00364.</w:t>
      </w:r>
      <w:r>
        <w:t xml:space="preserve"> </w:t>
      </w:r>
      <w:hyperlink r:id="rId157">
        <w:r>
          <w:rPr>
            <w:rStyle w:val="Hyperlink"/>
          </w:rPr>
          <w:t xml:space="preserve">来源</w:t>
        </w:r>
      </w:hyperlink>
    </w:p>
    <w:p>
      <w:pPr>
        <w:pStyle w:val="BodyText"/>
        <w:spacing w:after="80"/>
      </w:pPr>
      <w:r>
        <w:t xml:space="preserve">[2] STAB C, GUREVYCH I. Parsing argumentation structures in persuasive essays[J]. Computational Linguistics, 2017, 43(3): 619–659. DOI: 10.1162/COLI_a_00295.</w:t>
      </w:r>
      <w:r>
        <w:t xml:space="preserve"> </w:t>
      </w:r>
      <w:hyperlink r:id="rId158">
        <w:r>
          <w:rPr>
            <w:rStyle w:val="Hyperlink"/>
          </w:rPr>
          <w:t xml:space="preserve">来源</w:t>
        </w:r>
      </w:hyperlink>
    </w:p>
    <w:p>
      <w:pPr>
        <w:pStyle w:val="BodyText"/>
        <w:spacing w:after="80"/>
      </w:pPr>
      <w:r>
        <w:t xml:space="preserve">[3] PARK J, CARDIE C. A corpus of eRulemaking user comments for measuring evaluability of arguments[C]//Proceedings of the Eleventh International Conference on Language Resources and Evaluation. Miyazaki: European Language Resources Association, 2018.</w:t>
      </w:r>
      <w:r>
        <w:t xml:space="preserve"> </w:t>
      </w:r>
      <w:hyperlink r:id="rId159">
        <w:r>
          <w:rPr>
            <w:rStyle w:val="Hyperlink"/>
          </w:rPr>
          <w:t xml:space="preserve">来源</w:t>
        </w:r>
      </w:hyperlink>
    </w:p>
    <w:p>
      <w:pPr>
        <w:pStyle w:val="BodyText"/>
        <w:spacing w:after="80"/>
      </w:pPr>
      <w: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r>
        <w:t xml:space="preserve"> </w:t>
      </w:r>
      <w:hyperlink r:id="rId160">
        <w:r>
          <w:rPr>
            <w:rStyle w:val="Hyperlink"/>
          </w:rPr>
          <w:t xml:space="preserve">来源</w:t>
        </w:r>
      </w:hyperlink>
    </w:p>
    <w:p>
      <w:pPr>
        <w:pStyle w:val="BodyText"/>
        <w:spacing w:after="80"/>
      </w:pPr>
      <w: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r>
        <w:t xml:space="preserve"> </w:t>
      </w:r>
      <w:hyperlink r:id="rId161">
        <w:r>
          <w:rPr>
            <w:rStyle w:val="Hyperlink"/>
          </w:rPr>
          <w:t xml:space="preserve">来源</w:t>
        </w:r>
      </w:hyperlink>
    </w:p>
    <w:p>
      <w:pPr>
        <w:pStyle w:val="BodyText"/>
        <w:spacing w:after="80"/>
      </w:pPr>
      <w: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w:t>
      </w:r>
      <w:r>
        <w:t xml:space="preserve"> </w:t>
      </w:r>
      <w:hyperlink r:id="rId162">
        <w:r>
          <w:rPr>
            <w:rStyle w:val="Hyperlink"/>
          </w:rPr>
          <w:t xml:space="preserve">来源</w:t>
        </w:r>
      </w:hyperlink>
    </w:p>
    <w:p>
      <w:pPr>
        <w:pStyle w:val="BodyText"/>
        <w:spacing w:after="80"/>
      </w:pPr>
      <w: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r>
        <w:t xml:space="preserve"> </w:t>
      </w:r>
      <w:hyperlink r:id="rId163">
        <w:r>
          <w:rPr>
            <w:rStyle w:val="Hyperlink"/>
          </w:rPr>
          <w:t xml:space="preserve">来源</w:t>
        </w:r>
      </w:hyperlink>
    </w:p>
    <w:p>
      <w:pPr>
        <w:pStyle w:val="BodyText"/>
        <w:spacing w:after="80"/>
      </w:pPr>
      <w:r>
        <w:t xml:space="preserve">[8] CABESSA J, HERNAULT H, MUSHTAQ U. Argument mining with fine-tuned large language models[C]//Proceedings of the 31st International Conference on Computational Linguistics. Abu Dhabi: Association for Computational Linguistics, 2025: 6624–6635.</w:t>
      </w:r>
      <w:r>
        <w:t xml:space="preserve"> </w:t>
      </w:r>
      <w:hyperlink r:id="rId164">
        <w:r>
          <w:rPr>
            <w:rStyle w:val="Hyperlink"/>
          </w:rPr>
          <w:t xml:space="preserve">来源</w:t>
        </w:r>
      </w:hyperlink>
    </w:p>
    <w:p>
      <w:pPr>
        <w:pStyle w:val="BodyText"/>
        <w:spacing w:after="80"/>
      </w:pPr>
      <w:r>
        <w:t xml:space="preserve">[9] DAS N, VAIBHAV V, CHOUDHARY Y S, et al. End-to-end argument mining through autoregressive argumentative structure prediction[EB/OL]. arXiv:2510.16363v1, 2025[2026-09-14]. DOI: 10.48550/arXiv.2510.16363.</w:t>
      </w:r>
      <w:r>
        <w:t xml:space="preserve"> </w:t>
      </w:r>
      <w:hyperlink r:id="rId165">
        <w:r>
          <w:rPr>
            <w:rStyle w:val="Hyperlink"/>
          </w:rPr>
          <w:t xml:space="preserve">来源</w:t>
        </w:r>
      </w:hyperlink>
    </w:p>
    <w:p>
      <w:pPr>
        <w:pStyle w:val="BodyText"/>
        <w:spacing w:after="80"/>
      </w:pPr>
      <w:r>
        <w:t xml:space="preserve">[10] CAPUTO E, GRECO S, LA CAVA L. ARGUS: Towards end-to-end argument mining with large language models[C]//Proceedings of the AAAI Conference on Artificial Intelligence, 2026, 40(48): 41547–41549. DOI: 10.1609/aaai.v40i48.42335.</w:t>
      </w:r>
      <w:r>
        <w:t xml:space="preserve"> </w:t>
      </w:r>
      <w:hyperlink r:id="rId166">
        <w:r>
          <w:rPr>
            <w:rStyle w:val="Hyperlink"/>
          </w:rPr>
          <w:t xml:space="preserve">来源</w:t>
        </w:r>
      </w:hyperlink>
    </w:p>
    <w:p>
      <w:pPr>
        <w:pStyle w:val="BodyText"/>
        <w:spacing w:after="80"/>
      </w:pPr>
      <w:r>
        <w:t xml:space="preserve">[11] LI H, SCHLEGEL V, SUN Y, et al. Large language models in argument mining: A survey[EB/OL]. arXiv:2506.16383v6, 2025[2026-09-13]. DOI: 10.48550/arXiv.2506.16383.</w:t>
      </w:r>
      <w:r>
        <w:t xml:space="preserve"> </w:t>
      </w:r>
      <w:hyperlink r:id="rId167">
        <w:r>
          <w:rPr>
            <w:rStyle w:val="Hyperlink"/>
          </w:rPr>
          <w:t xml:space="preserve">来源</w:t>
        </w:r>
      </w:hyperlink>
    </w:p>
    <w:p>
      <w:pPr>
        <w:pStyle w:val="BodyText"/>
        <w:spacing w:after="80"/>
      </w:pPr>
      <w: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r>
        <w:t xml:space="preserve"> </w:t>
      </w:r>
      <w:hyperlink r:id="rId168">
        <w:r>
          <w:rPr>
            <w:rStyle w:val="Hyperlink"/>
          </w:rPr>
          <w:t xml:space="preserve">来源</w:t>
        </w:r>
      </w:hyperlink>
    </w:p>
    <w:p>
      <w:pPr>
        <w:pStyle w:val="BodyText"/>
        <w:spacing w:after="80"/>
      </w:pPr>
      <w:r>
        <w:t xml:space="preserve">[13] DAS N, SARADHI V V, ANAND A. On the role of key phrases in argument mining[C]//Findings of the Association for Computational Linguistics: NAACL 2025. Albuquerque: Association for Computational Linguistics, 2025: 5774–5787. DOI: 10.18653/v1/2025.findings-naacl.319.</w:t>
      </w:r>
      <w:r>
        <w:t xml:space="preserve"> </w:t>
      </w:r>
      <w:hyperlink r:id="rId169">
        <w:r>
          <w:rPr>
            <w:rStyle w:val="Hyperlink"/>
          </w:rPr>
          <w:t xml:space="preserve">来源</w:t>
        </w:r>
      </w:hyperlink>
    </w:p>
    <w:p>
      <w:pPr>
        <w:pStyle w:val="BodyText"/>
        <w:spacing w:after="80"/>
      </w:pPr>
      <w: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r>
        <w:t xml:space="preserve"> </w:t>
      </w:r>
      <w:hyperlink r:id="rId170">
        <w:r>
          <w:rPr>
            <w:rStyle w:val="Hyperlink"/>
          </w:rPr>
          <w:t xml:space="preserve">来源</w:t>
        </w:r>
      </w:hyperlink>
    </w:p>
    <w:p>
      <w:pPr>
        <w:pStyle w:val="BodyText"/>
        <w:spacing w:after="80"/>
      </w:pPr>
      <w: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w:t>
      </w:r>
      <w:r>
        <w:t xml:space="preserve"> </w:t>
      </w:r>
      <w:hyperlink r:id="rId171">
        <w:r>
          <w:rPr>
            <w:rStyle w:val="Hyperlink"/>
          </w:rPr>
          <w:t xml:space="preserve">来源</w:t>
        </w:r>
      </w:hyperlink>
    </w:p>
    <w:p>
      <w:pPr>
        <w:pStyle w:val="BodyText"/>
        <w:spacing w:after="80"/>
      </w:pPr>
      <w: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r>
        <w:t xml:space="preserve"> </w:t>
      </w:r>
      <w:hyperlink r:id="rId172">
        <w:r>
          <w:rPr>
            <w:rStyle w:val="Hyperlink"/>
          </w:rPr>
          <w:t xml:space="preserve">来源</w:t>
        </w:r>
      </w:hyperlink>
    </w:p>
    <w:p>
      <w:pPr>
        <w:pStyle w:val="BodyText"/>
        <w:spacing w:after="80"/>
      </w:pPr>
      <w:r>
        <w:t xml:space="preserve">[17] PEI Y, BHUSE P, LIU Z, et al. SegMix: A simple structure-aware data augmentation method[EB/OL]. arXiv:2311.09505v1, 2023[2026-09-13]. DOI: 10.48550/arXiv.2311.09505.</w:t>
      </w:r>
      <w:r>
        <w:t xml:space="preserve"> </w:t>
      </w:r>
      <w:hyperlink r:id="rId173">
        <w:r>
          <w:rPr>
            <w:rStyle w:val="Hyperlink"/>
          </w:rPr>
          <w:t xml:space="preserve">来源</w:t>
        </w:r>
      </w:hyperlink>
    </w:p>
    <w:p>
      <w:pPr>
        <w:pStyle w:val="BodyText"/>
        <w:spacing w:after="80"/>
      </w:pPr>
      <w: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w:t>
      </w:r>
      <w:r>
        <w:t xml:space="preserve"> </w:t>
      </w:r>
      <w:hyperlink r:id="rId174">
        <w:r>
          <w:rPr>
            <w:rStyle w:val="Hyperlink"/>
          </w:rPr>
          <w:t xml:space="preserve">来源</w:t>
        </w:r>
      </w:hyperlink>
    </w:p>
    <w:p>
      <w:pPr>
        <w:pStyle w:val="BodyText"/>
        <w:spacing w:after="80"/>
      </w:pPr>
      <w: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r>
        <w:t xml:space="preserve"> </w:t>
      </w:r>
      <w:hyperlink r:id="rId175">
        <w:r>
          <w:rPr>
            <w:rStyle w:val="Hyperlink"/>
          </w:rPr>
          <w:t xml:space="preserve">来源</w:t>
        </w:r>
      </w:hyperlink>
    </w:p>
    <w:p>
      <w:pPr>
        <w:pStyle w:val="BodyText"/>
        <w:spacing w:after="80"/>
      </w:pPr>
      <w:r>
        <w:t xml:space="preserve">[20] MADAAN A, TANDON N, GUPTA P, et al. Self-Refine: Iterative refinement with self-feedback[EB/OL]. arXiv:2303.17651v2, 2023[2026-09-13]. DOI: 10.48550/arXiv.2303.17651.</w:t>
      </w:r>
      <w:r>
        <w:t xml:space="preserve"> </w:t>
      </w:r>
      <w:hyperlink r:id="rId176">
        <w:r>
          <w:rPr>
            <w:rStyle w:val="Hyperlink"/>
          </w:rPr>
          <w:t xml:space="preserve">来源</w:t>
        </w:r>
      </w:hyperlink>
    </w:p>
    <w:p>
      <w:pPr>
        <w:pStyle w:val="BodyText"/>
        <w:spacing w:after="80"/>
      </w:pPr>
      <w:r>
        <w:t xml:space="preserve">[21] HUANG J, CHEN X, MISHRA S, et al. Large language models cannot self-correct reasoning yet[EB/OL]. arXiv:2310.01798v2, 2024[2026-09-13]. DOI: 10.48550/arXiv.2310.01798.</w:t>
      </w:r>
      <w:r>
        <w:t xml:space="preserve"> </w:t>
      </w:r>
      <w:hyperlink r:id="rId177">
        <w:r>
          <w:rPr>
            <w:rStyle w:val="Hyperlink"/>
          </w:rPr>
          <w:t xml:space="preserve">来源</w:t>
        </w:r>
      </w:hyperlink>
    </w:p>
    <w:p>
      <w:pPr>
        <w:pStyle w:val="BodyText"/>
        <w:spacing w:after="80"/>
      </w:pPr>
      <w:r>
        <w:t xml:space="preserve">[22] WANG X, WEI J, SCHUURMANS D, et al. Self-consistency improves chain of thought reasoning in language models[EB/OL]. arXiv:2203.11171v4, 2023[2026-09-13]. DOI: 10.48550/arXiv.2203.11171.</w:t>
      </w:r>
      <w:r>
        <w:t xml:space="preserve"> </w:t>
      </w:r>
      <w:hyperlink r:id="rId178">
        <w:r>
          <w:rPr>
            <w:rStyle w:val="Hyperlink"/>
          </w:rPr>
          <w:t xml:space="preserve">来源</w:t>
        </w:r>
      </w:hyperlink>
    </w:p>
    <w:p>
      <w:pPr>
        <w:pStyle w:val="BodyText"/>
        <w:spacing w:after="80"/>
      </w:pPr>
      <w: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r>
        <w:t xml:space="preserve"> </w:t>
      </w:r>
      <w:hyperlink r:id="rId179">
        <w:r>
          <w:rPr>
            <w:rStyle w:val="Hyperlink"/>
          </w:rPr>
          <w:t xml:space="preserve">来源</w:t>
        </w:r>
      </w:hyperlink>
    </w:p>
    <w:p>
      <w:pPr>
        <w:pStyle w:val="BodyText"/>
        <w:spacing w:after="80"/>
      </w:pPr>
      <w:r>
        <w:t xml:space="preserve">[24] XIAO Y, LI S. ARGUS: Argumentation-based minimal-change repair for verifiable LLM self-explanations[C]//Proceedings of the 42nd Conference on Uncertainty in Artificial Intelligence. Proceedings of Machine Learning Research, 2026, 337: 7536–7551.</w:t>
      </w:r>
      <w:r>
        <w:t xml:space="preserve"> </w:t>
      </w:r>
      <w:hyperlink r:id="rId180">
        <w:r>
          <w:rPr>
            <w:rStyle w:val="Hyperlink"/>
          </w:rPr>
          <w:t xml:space="preserve">来源</w:t>
        </w:r>
      </w:hyperlink>
    </w:p>
    <w:p>
      <w:pPr>
        <w:pStyle w:val="BodyText"/>
        <w:spacing w:after="80"/>
      </w:pPr>
      <w:r>
        <w:t xml:space="preserve">[25] MORIO G, OZAKI H, MORISHITA T, et al. End-to-end argument mining with cross-corpora multi-task learning[J]. Transactions of the Association for Computational Linguistics, 2022, 10: 639–658. DOI: 10.1162/tacl_a_00481.</w:t>
      </w:r>
      <w:r>
        <w:t xml:space="preserve"> </w:t>
      </w:r>
      <w:hyperlink r:id="rId181">
        <w:r>
          <w:rPr>
            <w:rStyle w:val="Hyperlink"/>
          </w:rPr>
          <w:t xml:space="preserve">来源</w:t>
        </w:r>
      </w:hyperlink>
    </w:p>
    <w:p>
      <w:pPr>
        <w:pStyle w:val="BodyText"/>
        <w:spacing w:after="80"/>
      </w:pPr>
      <w:r>
        <w:t xml:space="preserve">[26] SAVIGNY H, YUN B. AMELIA: A family of multi-task end-to-end language models for argumentation[J]. Argument &amp; Computation, 2026, 17(1). DOI: 10.1177/19462174251413169.</w:t>
      </w:r>
      <w:r>
        <w:t xml:space="preserve"> </w:t>
      </w:r>
      <w:hyperlink r:id="rId182">
        <w:r>
          <w:rPr>
            <w:rStyle w:val="Hyperlink"/>
          </w:rPr>
          <w:t xml:space="preserve">来源</w:t>
        </w:r>
      </w:hyperlink>
    </w:p>
    <w:p>
      <w:pPr>
        <w:pStyle w:val="BodyText"/>
        <w:spacing w:after="80"/>
      </w:pPr>
      <w: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r>
        <w:t xml:space="preserve"> </w:t>
      </w:r>
      <w:hyperlink r:id="rId183">
        <w:r>
          <w:rPr>
            <w:rStyle w:val="Hyperlink"/>
          </w:rPr>
          <w:t xml:space="preserve">来源</w:t>
        </w:r>
      </w:hyperlink>
    </w:p>
    <w:p>
      <w:pPr>
        <w:pStyle w:val="BodyText"/>
        <w:spacing w:after="80"/>
      </w:pPr>
      <w: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r>
        <w:t xml:space="preserve"> </w:t>
      </w:r>
      <w:hyperlink r:id="rId184">
        <w:r>
          <w:rPr>
            <w:rStyle w:val="Hyperlink"/>
          </w:rPr>
          <w:t xml:space="preserve">来源</w:t>
        </w:r>
      </w:hyperlink>
    </w:p>
    <w:p>
      <w:pPr>
        <w:pStyle w:val="BodyText"/>
        <w:spacing w:after="80"/>
      </w:pPr>
      <w: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r>
        <w:t xml:space="preserve"> </w:t>
      </w:r>
      <w:hyperlink r:id="rId185">
        <w:r>
          <w:rPr>
            <w:rStyle w:val="Hyperlink"/>
          </w:rPr>
          <w:t xml:space="preserve">来源</w:t>
        </w:r>
      </w:hyperlink>
    </w:p>
    <w:p>
      <w:pPr>
        <w:pStyle w:val="BodyText"/>
        <w:spacing w:after="80"/>
      </w:pPr>
      <w:r>
        <w:t xml:space="preserve">[30] VASWANI A, SHAZEER N, PARMAR N, et al. Attention is all you need[EB/OL]. arXiv:1706.03762, 2017[2026-09-13]. DOI: 10.48550/arXiv.1706.03762.</w:t>
      </w:r>
      <w:r>
        <w:t xml:space="preserve"> </w:t>
      </w:r>
      <w:hyperlink r:id="rId186">
        <w:r>
          <w:rPr>
            <w:rStyle w:val="Hyperlink"/>
          </w:rPr>
          <w:t xml:space="preserve">来源</w:t>
        </w:r>
      </w:hyperlink>
    </w:p>
    <w:p>
      <w:pPr>
        <w:pStyle w:val="BodyText"/>
        <w:spacing w:after="80"/>
      </w:pPr>
      <w:r>
        <w:t xml:space="preserve">[31] QWEN TEAM. Qwen2.5 technical report[EB/OL]. arXiv:2412.15115, 2024[2026-09-13]. DOI: 10.48550/arXiv.2412.15115.</w:t>
      </w:r>
      <w:r>
        <w:t xml:space="preserve"> </w:t>
      </w:r>
      <w:hyperlink r:id="rId187">
        <w:r>
          <w:rPr>
            <w:rStyle w:val="Hyperlink"/>
          </w:rPr>
          <w:t xml:space="preserve">来源</w:t>
        </w:r>
      </w:hyperlink>
    </w:p>
    <w:p>
      <w:pPr>
        <w:pStyle w:val="BodyText"/>
        <w:spacing w:after="80"/>
      </w:pPr>
      <w:r>
        <w:t xml:space="preserve">[32] HU E J, SHEN Y, WALLIS P, et al. LoRA: Low-rank adaptation of large language models[EB/OL]. arXiv:2106.09685, 2021[2026-09-13]. DOI: 10.48550/arXiv.2106.09685.</w:t>
      </w:r>
      <w:r>
        <w:t xml:space="preserve"> </w:t>
      </w:r>
      <w:hyperlink r:id="rId188">
        <w:r>
          <w:rPr>
            <w:rStyle w:val="Hyperlink"/>
          </w:rPr>
          <w:t xml:space="preserve">来源</w:t>
        </w:r>
      </w:hyperlink>
    </w:p>
    <w:p>
      <w:pPr>
        <w:pStyle w:val="BodyText"/>
        <w:spacing w:after="80"/>
      </w:pPr>
      <w: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w:t>
      </w:r>
      <w:r>
        <w:t xml:space="preserve"> </w:t>
      </w:r>
      <w:hyperlink r:id="rId189">
        <w:r>
          <w:rPr>
            <w:rStyle w:val="Hyperlink"/>
          </w:rPr>
          <w:t xml:space="preserve">来源</w:t>
        </w:r>
      </w:hyperlink>
    </w:p>
    <w:p>
      <w:pPr>
        <w:pStyle w:val="BodyText"/>
        <w:spacing w:after="80"/>
      </w:pPr>
      <w:r>
        <w:t xml:space="preserve">[34] TANG C, PENG M, TIAN G. Improving end-to-end argument mining with LLMs via multi-candidate reranking and bounded repair[C/OL]//ICIC2026 Posters: Poster Volume I. Toronto, 2026[2026-09-20]. DOI: 10.65286/icic.v22i1.76896.</w:t>
      </w:r>
      <w:r>
        <w:t xml:space="preserve"> </w:t>
      </w:r>
      <w:hyperlink r:id="rId190">
        <w:r>
          <w:rPr>
            <w:rStyle w:val="Hyperlink"/>
          </w:rPr>
          <w:t xml:space="preserve">来源</w:t>
        </w:r>
      </w:hyperlink>
    </w:p>
    <w:p>
      <w:pPr>
        <w:pStyle w:val="BodyText"/>
        <w:spacing w:after="80"/>
      </w:pPr>
      <w: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r>
        <w:t xml:space="preserve"> </w:t>
      </w:r>
      <w:hyperlink r:id="rId191">
        <w:r>
          <w:rPr>
            <w:rStyle w:val="Hyperlink"/>
          </w:rPr>
          <w:t xml:space="preserve">来源</w:t>
        </w:r>
      </w:hyperlink>
    </w:p>
    <w:p>
      <w:pPr>
        <w:pStyle w:val="BodyText"/>
        <w:spacing w:after="80"/>
      </w:pPr>
      <w:r>
        <w:t xml:space="preserve">[36] WANG X, SHEN H, QI H, et al. Enhancing low-resource joint entity and relation extraction using large language models within semi-supervised learning[J]. ACM Transactions on Knowledge Discovery from Data, 2026, 20(3): 49:1–49:25. DOI: 10.1145/3799423.</w:t>
      </w:r>
      <w:r>
        <w:t xml:space="preserve"> </w:t>
      </w:r>
      <w:hyperlink r:id="rId192">
        <w:r>
          <w:rPr>
            <w:rStyle w:val="Hyperlink"/>
          </w:rPr>
          <w:t xml:space="preserve">来源</w:t>
        </w:r>
      </w:hyperlink>
    </w:p>
    <w:p>
      <w:pPr>
        <w:pStyle w:val="BodyText"/>
        <w:spacing w:after="80"/>
      </w:pPr>
      <w: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w:t>
      </w:r>
      <w:r>
        <w:t xml:space="preserve"> </w:t>
      </w:r>
      <w:hyperlink r:id="rId193">
        <w:r>
          <w:rPr>
            <w:rStyle w:val="Hyperlink"/>
          </w:rPr>
          <w:t xml:space="preserve">来源</w:t>
        </w:r>
      </w:hyperlink>
    </w:p>
    <w:p>
      <w:pPr>
        <w:pStyle w:val="BodyText"/>
        <w:spacing w:after="80"/>
      </w:pPr>
      <w: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r>
        <w:t xml:space="preserve"> </w:t>
      </w:r>
      <w:hyperlink r:id="rId194">
        <w:r>
          <w:rPr>
            <w:rStyle w:val="Hyperlink"/>
          </w:rPr>
          <w:t xml:space="preserve">来源</w:t>
        </w:r>
      </w:hyperlink>
    </w:p>
    <w:p>
      <w:pPr>
        <w:pStyle w:val="BodyText"/>
        <w:spacing w:after="80"/>
      </w:pPr>
      <w: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r>
        <w:t xml:space="preserve"> </w:t>
      </w:r>
      <w:hyperlink r:id="rId195">
        <w:r>
          <w:rPr>
            <w:rStyle w:val="Hyperlink"/>
          </w:rPr>
          <w:t xml:space="preserve">来源</w:t>
        </w:r>
      </w:hyperlink>
    </w:p>
    <w:p>
      <w:pPr>
        <w:pStyle w:val="BodyText"/>
        <w:spacing w:after="80"/>
      </w:pPr>
      <w:r>
        <w:t xml:space="preserve">[40] ROCHA G, LOPES CARDOSO H, BELOUADI J, et al. Cross-genre argument mining: Can language models automatically fill in missing discourse markers?[J]. Argument &amp; Computation, 2025, 16(1): 3–35. DOI: 10.3233/AAC-230008.</w:t>
      </w:r>
      <w:r>
        <w:t xml:space="preserve"> </w:t>
      </w:r>
      <w:hyperlink r:id="rId196">
        <w:r>
          <w:rPr>
            <w:rStyle w:val="Hyperlink"/>
          </w:rPr>
          <w:t xml:space="preserve">来源</w:t>
        </w:r>
      </w:hyperlink>
    </w:p>
    <w:p>
      <w:pPr>
        <w:pStyle w:val="BodyText"/>
        <w:spacing w:after="80"/>
      </w:pPr>
      <w:r>
        <w:t xml:space="preserve">[41] WAEGEMAN W, DEMBCZYŃSKI K, JACHNIK A, et al. On the Bayes-optimality of F-measure maximizers[J]. Journal of Machine Learning Research, 2014, 15(103): 3513–3568.</w:t>
      </w:r>
      <w:r>
        <w:t xml:space="preserve"> </w:t>
      </w:r>
      <w:hyperlink r:id="rId197">
        <w:r>
          <w:rPr>
            <w:rStyle w:val="Hyperlink"/>
          </w:rPr>
          <w:t xml:space="preserve">来源</w:t>
        </w:r>
      </w:hyperlink>
    </w:p>
    <w:p>
      <w:pPr>
        <w:pStyle w:val="BodyText"/>
        <w:spacing w:after="80"/>
      </w:pPr>
      <w:r>
        <w:t xml:space="preserve">[42] LIPTON Z C, ELKAN C, NARAYANASWAMY B. Thresholding classifiers to maximize F1 score[EB/OL]. arXiv:1402.1892v2, 2014[2026-09-20]. DOI: 10.48550/arXiv.1402.1892.</w:t>
      </w:r>
      <w:r>
        <w:t xml:space="preserve"> </w:t>
      </w:r>
      <w:hyperlink r:id="rId198">
        <w:r>
          <w:rPr>
            <w:rStyle w:val="Hyperlink"/>
          </w:rPr>
          <w:t xml:space="preserve">来源</w:t>
        </w:r>
      </w:hyperlink>
    </w:p>
    <w:p>
      <w:pPr>
        <w:pStyle w:val="BodyText"/>
        <w:spacing w:after="80"/>
      </w:pPr>
      <w:r>
        <w:t xml:space="preserve">[43] LI Z, ZHANG F, LYU K, et al. Re-Cent: A relation-centric framework for joint zero-shot relation triplet extraction[C]//Proceedings of the 31st International Conference on Computational Linguistics. Abu Dhabi: Association for Computational Linguistics, 2025: 7344–7354.</w:t>
      </w:r>
      <w:r>
        <w:t xml:space="preserve"> </w:t>
      </w:r>
      <w:hyperlink r:id="rId199">
        <w:r>
          <w:rPr>
            <w:rStyle w:val="Hyperlink"/>
          </w:rPr>
          <w:t xml:space="preserve">来源</w:t>
        </w:r>
      </w:hyperlink>
    </w:p>
    <w:p>
      <w:pPr>
        <w:pStyle w:val="BodyText"/>
        <w:spacing w:after="80"/>
      </w:pPr>
      <w:r>
        <w:t xml:space="preserve">[44] PIROZELLI P, ROCHA V H N, COZMAN F G, et al. An LLM-based system for argument reconstruction[EB/OL]. arXiv:2605.13793v1, 2026[2026-09-20]. DOI: 10.48550/arXiv.2605.13793.</w:t>
      </w:r>
      <w:r>
        <w:t xml:space="preserve"> </w:t>
      </w:r>
      <w:hyperlink r:id="rId200">
        <w:r>
          <w:rPr>
            <w:rStyle w:val="Hyperlink"/>
          </w:rPr>
          <w:t xml:space="preserve">来源</w:t>
        </w:r>
      </w:hyperlink>
    </w:p>
    <w:p>
      <w:pPr>
        <w:pStyle w:val="BodyText"/>
        <w:spacing w:after="80"/>
      </w:pPr>
      <w:r>
        <w:t xml:space="preserve">[45] GUO C, PLEISS G, SUN Y, et al. On calibration of modern neural networks[C]//Proceedings of the 34th International Conference on Machine Learning. Proceedings of Machine Learning Research, 2017, 70: 1321–1330.</w:t>
      </w:r>
      <w:r>
        <w:t xml:space="preserve"> </w:t>
      </w:r>
      <w:hyperlink r:id="rId201">
        <w:r>
          <w:rPr>
            <w:rStyle w:val="Hyperlink"/>
          </w:rPr>
          <w:t xml:space="preserve">来源</w:t>
        </w:r>
      </w:hyperlink>
    </w:p>
    <w:p>
      <w:pPr>
        <w:pStyle w:val="BodyText"/>
        <w:spacing w:after="80"/>
      </w:pPr>
      <w:r>
        <w:t xml:space="preserve">[46] NICULAE V, PARK J, CARDIE C. Argument mining with structured SVMs and RNNs[C]//Proceedings of the 55th Annual Meeting of the Association for Computational Linguistics, Volume 1. Vancouver: Association for Computational Linguistics, 2017: 985–995. DOI: 10.18653/v1/P17-1091.</w:t>
      </w:r>
      <w:r>
        <w:t xml:space="preserve"> </w:t>
      </w:r>
      <w:hyperlink r:id="rId202">
        <w:r>
          <w:rPr>
            <w:rStyle w:val="Hyperlink"/>
          </w:rPr>
          <w:t xml:space="preserve">来源</w:t>
        </w:r>
      </w:hyperlink>
    </w:p>
    <w:p>
      <w:pPr>
        <w:pStyle w:val="BodyText"/>
        <w:spacing w:after="80"/>
      </w:pPr>
      <w: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r>
        <w:t xml:space="preserve"> </w:t>
      </w:r>
      <w:hyperlink r:id="rId203">
        <w:r>
          <w:rPr>
            <w:rStyle w:val="Hyperlink"/>
          </w:rPr>
          <w:t xml:space="preserve">来源</w:t>
        </w:r>
      </w:hyperlink>
    </w:p>
    <w:p>
      <w:pPr>
        <w:pStyle w:val="BodyText"/>
        <w:spacing w:after="80"/>
      </w:pPr>
      <w:r>
        <w:t xml:space="preserve">[48] BAO J, JING M, DONG K, et al. UniASA: A unified generative framework for argument structure analysis[J]. Computational Linguistics, 2025, 51(3): 739–784. DOI: 10.1162/coli_a_00553.</w:t>
      </w:r>
      <w:r>
        <w:t xml:space="preserve"> </w:t>
      </w:r>
      <w:hyperlink r:id="rId204">
        <w:r>
          <w:rPr>
            <w:rStyle w:val="Hyperlink"/>
          </w:rPr>
          <w:t xml:space="preserve">来源</w:t>
        </w:r>
      </w:hyperlink>
    </w:p>
    <w:p>
      <w:pPr>
        <w:pStyle w:val="BodyText"/>
        <w:spacing w:after="80"/>
      </w:pPr>
      <w:r>
        <w:t xml:space="preserve">[49] ZHANG Z, WANG Q, DING K, et al. Improving synthetic data generation for argument mining via adversarial reinforcement learning[EB/OL]. arXiv:2610.07699v1, 2026[2026-10-10]. DOI: 10.48550/arXiv.2610.07699.</w:t>
      </w:r>
      <w:r>
        <w:t xml:space="preserve"> </w:t>
      </w:r>
      <w:hyperlink r:id="rId205">
        <w:r>
          <w:rPr>
            <w:rStyle w:val="Hyperlink"/>
          </w:rPr>
          <w:t xml:space="preserve">来源</w:t>
        </w:r>
      </w:hyperlink>
    </w:p>
    <w:p>
      <w:pPr>
        <w:pStyle w:val="BodyText"/>
        <w:spacing w:after="80"/>
      </w:pPr>
      <w: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w:t>
      </w:r>
      <w:r>
        <w:t xml:space="preserve"> </w:t>
      </w:r>
      <w:hyperlink r:id="rId206">
        <w:r>
          <w:rPr>
            <w:rStyle w:val="Hyperlink"/>
          </w:rPr>
          <w:t xml:space="preserve">来源</w:t>
        </w:r>
      </w:hyperlink>
    </w:p>
    <w:bookmarkEnd w:id="207"/>
    <w:bookmarkStart w:id="214" w:name="附录a-数据处理与复现协议"/>
    <w:p>
      <w:pPr>
        <w:pStyle w:val="Heading1"/>
        <w:pageBreakBefore/>
      </w:pPr>
      <w:r>
        <w:rPr>
          <w:rFonts w:ascii="Arial Unicode MS" w:hAnsi="Arial Unicode MS" w:eastAsia="Arial Unicode MS"/>
        </w:rPr>
        <w:t xml:space="preserve">附录A 数据处理与复现协议</w:t>
      </w:r>
    </w:p>
    <w:bookmarkStart w:id="208" w:name="a.1-三层坐标与异常保留"/>
    <w:p>
      <w:pPr>
        <w:pStyle w:val="Heading2"/>
      </w:pPr>
      <w:r>
        <w:rPr>
          <w:rFonts w:ascii="Arial Unicode MS" w:hAnsi="Arial Unicode MS" w:eastAsia="Arial Unicode MS"/>
        </w:rPr>
        <w:t xml:space="preserve">A.1 三层坐标与异常保留</w:t>
      </w:r>
    </w:p>
    <w:p>
      <w:pPr>
        <w:pStyle w:val="FirstParagraph"/>
        <w:spacing w:after="60" w:line="269" w:lineRule="auto"/>
      </w:pPr>
      <w:r>
        <w:t xml:space="preserve">原始字符坐标采用半开区间[start,end)，Python字符串按Unicode码点切片。评价token采用固定正则分词，模型子词保留offset mapping；词内边界另存字符残差，往返不能静默扩展。原生AAEC／CDCP共10,986个组件，其中AAEC训练3个、测试2个，CDCP训练19个、测试0个不与整词边界完全对齐；全部24个保持原字符身份。坐标和关系引用审计均无越界或悬空端点。</w:t>
      </w:r>
    </w:p>
    <w:bookmarkEnd w:id="208"/>
    <w:bookmarkStart w:id="209" w:name="a.2-配置与结果关联"/>
    <w:p>
      <w:pPr>
        <w:pStyle w:val="Heading2"/>
      </w:pPr>
      <w:r>
        <w:rPr>
          <w:rFonts w:ascii="Arial Unicode MS" w:hAnsi="Arial Unicode MS" w:eastAsia="Arial Unicode MS"/>
        </w:rPr>
        <w:t xml:space="preserve">A.2 配置与结果关联</w:t>
      </w:r>
    </w:p>
    <w:p>
      <w:pPr>
        <w:pStyle w:val="Caption"/>
        <w:keepNext/>
        <w:spacing w:after="60" w:line="269" w:lineRule="auto"/>
        <w:ind w:firstLine="0"/>
        <w:jc w:val="center"/>
      </w:pPr>
      <w:r>
        <w:rPr>
          <w:rFonts w:ascii="Arial Unicode MS" w:hAnsi="Arial Unicode MS" w:eastAsia="Arial Unicode MS"/>
        </w:rPr>
        <w:t xml:space="preserve">表A-1 输入与核心记录SHA-256</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07"/>
        <w:gridCol w:w="5931"/>
      </w:tblGrid>
      <w:tr>
        <w:trPr>
          <w:tblHeader w:val="on"/>
          <w:cantSplit/>
        </w:trPr>
        <w:tc>
          <w:tcPr>
            <w:tcW w:type="dxa" w:w="370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文件</w:t>
            </w:r>
          </w:p>
        </w:tc>
        <w:tc>
          <w:tcPr>
            <w:tcW w:type="dxa" w:w="593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SHA-256</w:t>
            </w:r>
          </w:p>
        </w:tc>
      </w:tr>
      <w:tr>
        <w:trPr>
          <w:cantSplit/>
        </w:trPr>
        <w:tc>
          <w:tcPr>
            <w:tcW w:type="dxa" w:w="37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data/corpus.jsonl</w:t>
            </w:r>
          </w:p>
        </w:tc>
        <w:tc>
          <w:tcPr>
            <w:tcW w:type="dxa" w:w="5931"/>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7dff0832622e39125fa52fa18cb9dfda169af5b2e33b71d8c03f9410af167a5d</w:t>
            </w:r>
          </w:p>
        </w:tc>
      </w:tr>
      <w:tr>
        <w:trPr>
          <w:cantSplit/>
        </w:trPr>
        <w:tc>
          <w:tcPr>
            <w:tcW w:type="dxa" w:w="3707"/>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results/split_manifest.json</w:t>
            </w:r>
          </w:p>
        </w:tc>
        <w:tc>
          <w:tcPr>
            <w:tcW w:type="dxa" w:w="5931"/>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e6b1b675e0e58754cd0aa561c484cb3138ee076f85f30b0950967f11d6e947b0</w:t>
            </w:r>
          </w:p>
        </w:tc>
      </w:tr>
      <w:tr>
        <w:trPr>
          <w:cantSplit/>
        </w:trPr>
        <w:tc>
          <w:tcPr>
            <w:tcW w:type="dxa" w:w="3707"/>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results/training_roles.json</w:t>
            </w:r>
          </w:p>
        </w:tc>
        <w:tc>
          <w:tcPr>
            <w:tcW w:type="dxa" w:w="5931"/>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17bb1997a7a8fae47cd0c39143ca7fb27f9b155cf958887af0f7b068ddb4afb5</w:t>
            </w:r>
          </w:p>
        </w:tc>
      </w:tr>
      <w:tr>
        <w:trPr>
          <w:cantSplit/>
        </w:trPr>
        <w:tc>
          <w:tcPr>
            <w:tcW w:type="dxa" w:w="3707"/>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results/registration_complete.json</w:t>
            </w:r>
          </w:p>
        </w:tc>
        <w:tc>
          <w:tcPr>
            <w:tcW w:type="dxa" w:w="5931"/>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67abb64feadec549b6c32f87d6ed465c3ec413627f20beb3455c3b09af940e6e</w:t>
            </w:r>
          </w:p>
        </w:tc>
      </w:tr>
      <w:tr>
        <w:trPr>
          <w:cantSplit/>
        </w:trPr>
        <w:tc>
          <w:tcPr>
            <w:tcW w:type="dxa" w:w="3707"/>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results/training_counts.jsonl</w:t>
            </w:r>
          </w:p>
        </w:tc>
        <w:tc>
          <w:tcPr>
            <w:tcW w:type="dxa" w:w="5931"/>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17c2625f6b60cb1829df469469b8caf89f49f21c2bd0c228ec052f6d141a445a</w:t>
            </w:r>
          </w:p>
        </w:tc>
      </w:tr>
      <w:tr>
        <w:trPr>
          <w:cantSplit/>
        </w:trPr>
        <w:tc>
          <w:tcPr>
            <w:tcW w:type="dxa" w:w="3707"/>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results/frozen_snapshots.jsonl</w:t>
            </w:r>
          </w:p>
        </w:tc>
        <w:tc>
          <w:tcPr>
            <w:tcW w:type="dxa" w:w="5931"/>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a798175e85aec6dc7a293b5d0a4d235a722ae8d4812495916dc038adea9c7c7c</w:t>
            </w:r>
          </w:p>
        </w:tc>
      </w:tr>
      <w:tr>
        <w:trPr>
          <w:cantSplit/>
        </w:trPr>
        <w:tc>
          <w:tcPr>
            <w:tcW w:type="dxa" w:w="3707"/>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results/prediction_graphs.jsonl</w:t>
            </w:r>
          </w:p>
        </w:tc>
        <w:tc>
          <w:tcPr>
            <w:tcW w:type="dxa" w:w="5931"/>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f3dac306e3c631e986aef24e7f55c77e1a2367c8c8b7b9db46d39ff1ed40a3a0</w:t>
            </w:r>
          </w:p>
        </w:tc>
      </w:tr>
    </w:tbl>
    <w:p>
      <w:pPr>
        <w:pStyle w:val="BodyText"/>
        <w:spacing w:after="60" w:line="269" w:lineRule="auto"/>
      </w:pPr>
      <w:r>
        <w:t xml:space="preserve">每个结果行按dataset／document／seed／method连接预测、候选、评分、事务和成本。原始上传文件摘要另存uploaded_manifest，官方划分来源保存在download_manifest。训练检查点以rt-qwen25-语料-方法-s种子-e5命名，OOF与评分器检查点使用独立前缀，避免在主模型和评分器之间混用身份。</w:t>
      </w:r>
    </w:p>
    <w:bookmarkEnd w:id="209"/>
    <w:bookmarkStart w:id="210" w:name="a.3-补充语料范围"/>
    <w:p>
      <w:pPr>
        <w:pStyle w:val="Heading2"/>
      </w:pPr>
      <w:r>
        <w:rPr>
          <w:rFonts w:ascii="Arial Unicode MS" w:hAnsi="Arial Unicode MS" w:eastAsia="Arial Unicode MS"/>
        </w:rPr>
        <w:t xml:space="preserve">A.3 补充语料范围</w:t>
      </w:r>
    </w:p>
    <w:p>
      <w:pPr>
        <w:pStyle w:val="FirstParagraph"/>
        <w:spacing w:after="60" w:line="269" w:lineRule="auto"/>
      </w:pPr>
      <w:r>
        <w:t xml:space="preserve">CasiMedicos和ArgUNSC使用上传转换文件的正文、类型、标签与split，不添加不存在的官方划分。CasiMedicos的69条空正文记录原样保留，不计为模型成功解析；ArgUNSC的144条均为unsplit_author_release。补充案例只分析标注结构，主效果仍基于AAEC与CDCP。</w:t>
      </w:r>
    </w:p>
    <w:bookmarkEnd w:id="210"/>
    <w:bookmarkStart w:id="211" w:name="a.4-默认与可选设置"/>
    <w:p>
      <w:pPr>
        <w:pStyle w:val="Heading2"/>
      </w:pPr>
      <w:r>
        <w:rPr>
          <w:rFonts w:ascii="Arial Unicode MS" w:hAnsi="Arial Unicode MS" w:eastAsia="Arial Unicode MS"/>
        </w:rPr>
        <w:t xml:space="preserve">A.4 默认与可选设置</w:t>
      </w:r>
    </w:p>
    <w:p>
      <w:pPr>
        <w:pStyle w:val="Caption"/>
        <w:keepNext/>
        <w:spacing w:after="60" w:line="269" w:lineRule="auto"/>
        <w:ind w:firstLine="0"/>
        <w:jc w:val="center"/>
      </w:pPr>
      <w:r>
        <w:rPr>
          <w:rFonts w:ascii="Arial Unicode MS" w:hAnsi="Arial Unicode MS" w:eastAsia="Arial Unicode MS"/>
        </w:rPr>
        <w:t xml:space="preserve">表A-2 固定配置及可选策略</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8116"/>
      </w:tblGrid>
      <w:tr>
        <w:trPr>
          <w:tblHeader w:val="on"/>
          <w:cantSplit/>
        </w:trPr>
        <w:tc>
          <w:tcPr>
            <w:tcW w:type="dxa" w:w="1522"/>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状态／项目</w:t>
            </w:r>
          </w:p>
        </w:tc>
        <w:tc>
          <w:tcPr>
            <w:tcW w:type="dxa" w:w="811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设置</w:t>
            </w:r>
          </w:p>
        </w:tc>
      </w:tr>
      <w:tr>
        <w:trPr>
          <w:cantSplit/>
        </w:trPr>
        <w:tc>
          <w:tcPr>
            <w:tcW w:type="dxa" w:w="152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默认</w:t>
            </w:r>
          </w:p>
        </w:tc>
        <w:tc>
          <w:tcPr>
            <w:tcW w:type="dxa" w:w="811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原文完整生成＋可靠因素监督＋组件及关系对齐</w:t>
            </w:r>
          </w:p>
        </w:tc>
      </w:tr>
      <w:tr>
        <w:trPr>
          <w:cantSplit/>
        </w:trPr>
        <w:tc>
          <w:tcPr>
            <w:tcW w:type="dxa" w:w="152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默认κ／δ</w:t>
            </w:r>
          </w:p>
        </w:tc>
        <w:tc>
          <w:tcPr>
            <w:tcW w:type="dxa" w:w="8116"/>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κC=1；κR AAEC=1、CDCP=0.5；δ=0.20</w:t>
            </w:r>
          </w:p>
        </w:tc>
      </w:tr>
      <w:tr>
        <w:trPr>
          <w:cantSplit/>
        </w:trPr>
        <w:tc>
          <w:tcPr>
            <w:tcW w:type="dxa" w:w="152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开发选择顺序</w:t>
            </w:r>
          </w:p>
        </w:tc>
        <w:tc>
          <w:tcPr>
            <w:tcW w:type="dxa" w:w="8116"/>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先κR=1；若全部δ不满足原TP损失≤5%，再评估κR=0.5；合格δ按F1、较大δ排序</w:t>
            </w:r>
          </w:p>
        </w:tc>
      </w:tr>
      <w:tr>
        <w:trPr>
          <w:cantSplit/>
        </w:trPr>
        <w:tc>
          <w:tcPr>
            <w:tcW w:type="dxa" w:w="152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默认推理</w:t>
            </w:r>
          </w:p>
        </w:tc>
        <w:tc>
          <w:tcPr>
            <w:tcW w:type="dxa" w:w="8116"/>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分项效用门＋净／累计编辑预算＋n≤2500全局，否则单对象局部</w:t>
            </w:r>
          </w:p>
        </w:tc>
      </w:tr>
      <w:tr>
        <w:trPr>
          <w:cantSplit/>
        </w:trPr>
        <w:tc>
          <w:tcPr>
            <w:tcW w:type="dxa" w:w="152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保护</w:t>
            </w:r>
          </w:p>
        </w:tc>
        <w:tc>
          <w:tcPr>
            <w:tcW w:type="dxa" w:w="8116"/>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初始对象不裁剪；缺分保持未知；有限资源不足返回完整旧图</w:t>
            </w:r>
          </w:p>
        </w:tc>
      </w:tr>
      <w:tr>
        <w:trPr>
          <w:cantSplit/>
        </w:trPr>
        <w:tc>
          <w:tcPr>
            <w:tcW w:type="dxa" w:w="152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可选</w:t>
            </w:r>
          </w:p>
        </w:tc>
        <w:tc>
          <w:tcPr>
            <w:tcW w:type="dxa" w:w="8116"/>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完整影响域整例筛选、匹配随机中心、集合动作、无环硬约束</w:t>
            </w:r>
          </w:p>
        </w:tc>
      </w:tr>
      <w:tr>
        <w:trPr>
          <w:cantSplit/>
        </w:trPr>
        <w:tc>
          <w:tcPr>
            <w:tcW w:type="dxa" w:w="152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关闭</w:t>
            </w:r>
          </w:p>
        </w:tc>
        <w:tc>
          <w:tcPr>
            <w:tcW w:type="dxa" w:w="8116"/>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跨域训练、跨语言共享标签、测试侧校准、用金标补回外部系统端点</w:t>
            </w:r>
          </w:p>
        </w:tc>
      </w:tr>
      <w:tr>
        <w:trPr>
          <w:cantSplit/>
        </w:trPr>
        <w:tc>
          <w:tcPr>
            <w:tcW w:type="dxa" w:w="152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主要比较</w:t>
            </w:r>
          </w:p>
        </w:tc>
        <w:tc>
          <w:tcPr>
            <w:tcW w:type="dxa" w:w="8116"/>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7组×2语料；关系micro-F1；2000次联合重采样；Holm α=0.05</w:t>
            </w:r>
          </w:p>
        </w:tc>
      </w:tr>
    </w:tbl>
    <w:p>
      <w:pPr>
        <w:pStyle w:val="BodyText"/>
        <w:spacing w:after="60" w:line="269" w:lineRule="auto"/>
      </w:pPr>
      <w:r>
        <w:t xml:space="preserve">组件与关系头分开校准，q=sigmoid(a·logit(rawq)+b)。开发κ按上述固定顺序判断，不按测试结果选取；同一文档的全部对象共用其语料、种子和对象族的校准参数。</w:t>
      </w:r>
    </w:p>
    <w:p>
      <w:pPr>
        <w:pStyle w:val="Caption"/>
        <w:keepNext/>
        <w:spacing w:after="60" w:line="269" w:lineRule="auto"/>
        <w:ind w:firstLine="0"/>
        <w:jc w:val="center"/>
      </w:pPr>
      <w:r>
        <w:rPr>
          <w:rFonts w:ascii="Arial Unicode MS" w:hAnsi="Arial Unicode MS" w:eastAsia="Arial Unicode MS"/>
        </w:rPr>
        <w:t xml:space="preserve">表A-3 Platt参数</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606"/>
        <w:gridCol w:w="1606"/>
        <w:gridCol w:w="1606"/>
        <w:gridCol w:w="1606"/>
        <w:gridCol w:w="1606"/>
        <w:gridCol w:w="1606"/>
      </w:tblGrid>
      <w:tr>
        <w:trPr>
          <w:tblHeader w:val="on"/>
          <w:cantSplit/>
        </w:trPr>
        <w:tc>
          <w:tcPr>
            <w:tcW w:type="dxa" w:w="160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160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种子</w:t>
            </w:r>
          </w:p>
        </w:tc>
        <w:tc>
          <w:tcPr>
            <w:tcW w:type="dxa" w:w="160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对象族</w:t>
            </w:r>
          </w:p>
        </w:tc>
        <w:tc>
          <w:tcPr>
            <w:tcW w:type="dxa" w:w="160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样本n</w:t>
            </w:r>
          </w:p>
        </w:tc>
        <w:tc>
          <w:tcPr>
            <w:tcW w:type="dxa" w:w="160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a</w:t>
            </w:r>
          </w:p>
        </w:tc>
        <w:tc>
          <w:tcPr>
            <w:tcW w:type="dxa" w:w="160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b</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1071</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1.144899</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1.060200</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R</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4554</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1.114010</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0.537484</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1092</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1.191433</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1.166175</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R</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4608</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1.099364</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0.517876</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1090</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1.082817</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0.976387</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R</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4956</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1.001752</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0.199744</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1231</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0.988990</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0.532677</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R</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3764</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0.819074</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-0.837470</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1189</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1.039569</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0.515777</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R</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3714</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1.017828</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-0.335367</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1187</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0.988395</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0.527141</w:t>
            </w:r>
          </w:p>
        </w:tc>
      </w:tr>
      <w:tr>
        <w:trPr>
          <w:cantSplit/>
        </w:trPr>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R</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3494</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0.875053</w:t>
            </w:r>
          </w:p>
        </w:tc>
        <w:tc>
          <w:tcPr>
            <w:tcW w:type="dxa" w:w="160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-0.595704</w:t>
            </w:r>
          </w:p>
        </w:tc>
      </w:tr>
    </w:tbl>
    <w:bookmarkEnd w:id="211"/>
    <w:bookmarkStart w:id="212" w:name="a.5-登记与跨章复用"/>
    <w:p>
      <w:pPr>
        <w:pStyle w:val="Heading2"/>
      </w:pPr>
      <w:r>
        <w:rPr>
          <w:rFonts w:ascii="Arial Unicode MS" w:hAnsi="Arial Unicode MS" w:eastAsia="Arial Unicode MS"/>
        </w:rPr>
        <w:t xml:space="preserve">A.5 登记与跨章复用</w:t>
      </w:r>
    </w:p>
    <w:p>
      <w:pPr>
        <w:pStyle w:val="FirstParagraph"/>
        <w:spacing w:after="60" w:line="269" w:lineRule="auto"/>
      </w:pPr>
      <w:r>
        <w:t xml:space="preserve">登记标识RT-PREREG-01，版本rt-v1.0-frozen。事件时钟以D0为原点，保存配置冻结、训练、OOF与校准、策略选择、测试评价及追加敏感性的顺序；敏感性明确置于主要比较之后，不作为追加主要假设。各事件绑定同一登记JSON与文件摘要。</w:t>
      </w:r>
    </w:p>
    <w:p>
      <w:pPr>
        <w:pStyle w:val="Caption"/>
        <w:keepNext/>
        <w:spacing w:after="60" w:line="269" w:lineRule="auto"/>
        <w:ind w:firstLine="0"/>
        <w:jc w:val="center"/>
      </w:pPr>
      <w:r>
        <w:rPr>
          <w:rFonts w:ascii="Arial Unicode MS" w:hAnsi="Arial Unicode MS" w:eastAsia="Arial Unicode MS"/>
        </w:rPr>
        <w:t xml:space="preserve">表A-4 登记事件序列</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374"/>
        <w:gridCol w:w="3264"/>
      </w:tblGrid>
      <w:tr>
        <w:trPr>
          <w:tblHeader w:val="on"/>
          <w:cantSplit/>
        </w:trPr>
        <w:tc>
          <w:tcPr>
            <w:tcW w:type="dxa" w:w="637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事件</w:t>
            </w:r>
          </w:p>
        </w:tc>
        <w:tc>
          <w:tcPr>
            <w:tcW w:type="dxa" w:w="326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相对时刻</w:t>
            </w:r>
          </w:p>
        </w:tc>
      </w:tr>
      <w:tr>
        <w:trPr>
          <w:cantSplit/>
        </w:trPr>
        <w:tc>
          <w:tcPr>
            <w:tcW w:type="dxa" w:w="6374"/>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protocol_and_source_hash_freeze</w:t>
            </w:r>
          </w:p>
        </w:tc>
        <w:tc>
          <w:tcPr>
            <w:tcW w:type="dxa" w:w="326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D0 + 0秒</w:t>
            </w:r>
          </w:p>
        </w:tc>
      </w:tr>
      <w:tr>
        <w:trPr>
          <w:cantSplit/>
        </w:trPr>
        <w:tc>
          <w:tcPr>
            <w:tcW w:type="dxa" w:w="6374"/>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training_and_augmentation</w:t>
            </w:r>
          </w:p>
        </w:tc>
        <w:tc>
          <w:tcPr>
            <w:tcW w:type="dxa" w:w="326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D0 + 3600秒</w:t>
            </w:r>
          </w:p>
        </w:tc>
      </w:tr>
      <w:tr>
        <w:trPr>
          <w:cantSplit/>
        </w:trPr>
        <w:tc>
          <w:tcPr>
            <w:tcW w:type="dxa" w:w="637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OOF_and_calibration</w:t>
            </w:r>
          </w:p>
        </w:tc>
        <w:tc>
          <w:tcPr>
            <w:tcW w:type="dxa" w:w="326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D0 + 172800秒</w:t>
            </w:r>
          </w:p>
        </w:tc>
      </w:tr>
      <w:tr>
        <w:trPr>
          <w:cantSplit/>
        </w:trPr>
        <w:tc>
          <w:tcPr>
            <w:tcW w:type="dxa" w:w="637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strategy_selection</w:t>
            </w:r>
          </w:p>
        </w:tc>
        <w:tc>
          <w:tcPr>
            <w:tcW w:type="dxa" w:w="326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D0 + 259200秒</w:t>
            </w:r>
          </w:p>
        </w:tc>
      </w:tr>
      <w:tr>
        <w:trPr>
          <w:cantSplit/>
        </w:trPr>
        <w:tc>
          <w:tcPr>
            <w:tcW w:type="dxa" w:w="637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test_labels_unsealed</w:t>
            </w:r>
          </w:p>
        </w:tc>
        <w:tc>
          <w:tcPr>
            <w:tcW w:type="dxa" w:w="326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D0 + 388800秒</w:t>
            </w:r>
          </w:p>
        </w:tc>
      </w:tr>
      <w:tr>
        <w:trPr>
          <w:cantSplit/>
        </w:trPr>
        <w:tc>
          <w:tcPr>
            <w:tcW w:type="dxa" w:w="6374"/>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CDCP_failure_condition_sensitivity_registered</w:t>
            </w:r>
          </w:p>
        </w:tc>
        <w:tc>
          <w:tcPr>
            <w:tcW w:type="dxa" w:w="326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D0 + 432000秒</w:t>
            </w:r>
          </w:p>
        </w:tc>
      </w:tr>
    </w:tbl>
    <w:p>
      <w:pPr>
        <w:pStyle w:val="BodyText"/>
        <w:spacing w:after="60" w:line="269" w:lineRule="auto"/>
      </w:pPr>
      <w:r>
        <w:t xml:space="preserve">三种子NoPair、CompPair、T1/I0的对应输入身份一致：</w:t>
      </w:r>
    </w:p>
    <w:p>
      <w:pPr>
        <w:pStyle w:val="Caption"/>
        <w:keepNext/>
        <w:spacing w:after="60" w:line="269" w:lineRule="auto"/>
        <w:ind w:firstLine="0"/>
        <w:jc w:val="center"/>
      </w:pPr>
      <w:r>
        <w:rPr>
          <w:rFonts w:ascii="Arial Unicode MS" w:hAnsi="Arial Unicode MS" w:eastAsia="Arial Unicode MS"/>
        </w:rPr>
        <w:t xml:space="preserve">表A-5 同数据成对比较输入摘要</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61"/>
        <w:gridCol w:w="761"/>
        <w:gridCol w:w="4058"/>
        <w:gridCol w:w="4058"/>
      </w:tblGrid>
      <w:tr>
        <w:trPr>
          <w:tblHeader w:val="on"/>
          <w:cantSplit/>
        </w:trPr>
        <w:tc>
          <w:tcPr>
            <w:tcW w:type="dxa" w:w="76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76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配置</w:t>
            </w:r>
          </w:p>
        </w:tc>
        <w:tc>
          <w:tcPr>
            <w:tcW w:type="dxa" w:w="405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视图身份SHA-256</w:t>
            </w:r>
          </w:p>
        </w:tc>
        <w:tc>
          <w:tcPr>
            <w:tcW w:type="dxa" w:w="405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掩码身份SHA-256</w:t>
            </w:r>
          </w:p>
        </w:tc>
      </w:tr>
      <w:tr>
        <w:trPr>
          <w:cantSplit/>
        </w:trPr>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NoPair</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38a7254c9fd0c301d887328973566a9f0c51f6e81f89ceb42677fbcba38b6ee8</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eeab9726b1bd0a6e792f90ece16702b9f79aba3732627fea37750d6c73afd800</w:t>
            </w:r>
          </w:p>
        </w:tc>
      </w:tr>
      <w:tr>
        <w:trPr>
          <w:cantSplit/>
        </w:trPr>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CompPair</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38a7254c9fd0c301d887328973566a9f0c51f6e81f89ceb42677fbcba38b6ee8</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eeab9726b1bd0a6e792f90ece16702b9f79aba3732627fea37750d6c73afd800</w:t>
            </w:r>
          </w:p>
        </w:tc>
      </w:tr>
      <w:tr>
        <w:trPr>
          <w:cantSplit/>
        </w:trPr>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38a7254c9fd0c301d887328973566a9f0c51f6e81f89ceb42677fbcba38b6ee8</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eeab9726b1bd0a6e792f90ece16702b9f79aba3732627fea37750d6c73afd800</w:t>
            </w:r>
          </w:p>
        </w:tc>
      </w:tr>
      <w:tr>
        <w:trPr>
          <w:cantSplit/>
        </w:trPr>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NoPair</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64c85c779e1766a0d133ffebe9b8866ed2c33bc2bbc570edda850d3f31ae253f</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31f11653481964213dc74d921abad0fd263484354279963a483a60d220861341</w:t>
            </w:r>
          </w:p>
        </w:tc>
      </w:tr>
      <w:tr>
        <w:trPr>
          <w:cantSplit/>
        </w:trPr>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CompPair</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64c85c779e1766a0d133ffebe9b8866ed2c33bc2bbc570edda850d3f31ae253f</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31f11653481964213dc74d921abad0fd263484354279963a483a60d220861341</w:t>
            </w:r>
          </w:p>
        </w:tc>
      </w:tr>
      <w:tr>
        <w:trPr>
          <w:cantSplit/>
        </w:trPr>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7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64c85c779e1766a0d133ffebe9b8866ed2c33bc2bbc570edda850d3f31ae253f</w:t>
            </w:r>
          </w:p>
        </w:tc>
        <w:tc>
          <w:tcPr>
            <w:tcW w:type="dxa" w:w="405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31f11653481964213dc74d921abad0fd263484354279963a483a60d220861341</w:t>
            </w:r>
          </w:p>
        </w:tc>
      </w:tr>
    </w:tbl>
    <w:bookmarkEnd w:id="212"/>
    <w:bookmarkStart w:id="213" w:name="a.6-原文序列化与无损对象身份"/>
    <w:p>
      <w:pPr>
        <w:pStyle w:val="Heading2"/>
      </w:pPr>
      <w:r>
        <w:rPr>
          <w:rFonts w:ascii="Arial Unicode MS" w:hAnsi="Arial Unicode MS" w:eastAsia="Arial Unicode MS"/>
        </w:rPr>
        <w:t xml:space="preserve">A.6 原文序列化与无损对象身份</w:t>
      </w:r>
    </w:p>
    <w:p>
      <w:pPr>
        <w:pStyle w:val="FirstParagraph"/>
        <w:spacing w:after="60" w:line="269" w:lineRule="auto"/>
      </w:pPr>
      <w:r>
        <w:t xml:space="preserve">以AAEC essay001的真实原生关系为例，核心序列化为：</w:t>
      </w:r>
    </w:p>
    <w:p>
      <w:pPr>
        <w:pStyle w:val="SourceCode"/>
      </w:pPr>
      <w:r>
        <w:rPr>
          <w:rStyle w:val="FunctionTok"/>
        </w:rPr>
        <w:t xml:space="preserve">{</w:t>
      </w:r>
      <w:r>
        <w:rPr>
          <w:rStyle w:val="DataTypeTok"/>
        </w:rPr>
        <w:t xml:space="preserve">"document"</w:t>
      </w:r>
      <w:r>
        <w:rPr>
          <w:rStyle w:val="FunctionTok"/>
        </w:rPr>
        <w:t xml:space="preserve">:</w:t>
      </w:r>
      <w:r>
        <w:rPr>
          <w:rStyle w:val="StringTok"/>
        </w:rPr>
        <w:t xml:space="preserve">"essay001"</w:t>
      </w:r>
      <w:r>
        <w:rPr>
          <w:rStyle w:val="FunctionTok"/>
        </w:rPr>
        <w:t xml:space="preserve">,</w:t>
      </w:r>
      <w:r>
        <w:rPr>
          <w:rStyle w:val="DataTypeTok"/>
        </w:rPr>
        <w:t xml:space="preserve">"components"</w:t>
      </w:r>
      <w:r>
        <w:rPr>
          <w:rStyle w:val="FunctionTok"/>
        </w:rPr>
        <w:t xml:space="preserve">:</w:t>
      </w:r>
      <w:r>
        <w:rPr>
          <w:rStyle w:val="OtherTok"/>
        </w:rPr>
        <w:t xml:space="preserve">[</w:t>
      </w:r>
      <w:r>
        <w:rPr>
          <w:rStyle w:val="FunctionTok"/>
        </w:rPr>
        <w:t xml:space="preserve">{</w:t>
      </w:r>
      <w:r>
        <w:rPr>
          <w:rStyle w:val="DataTypeTok"/>
        </w:rPr>
        <w:t xml:space="preserve">"id"</w:t>
      </w:r>
      <w:r>
        <w:rPr>
          <w:rStyle w:val="FunctionTok"/>
        </w:rPr>
        <w:t xml:space="preserve">:</w:t>
      </w:r>
      <w:r>
        <w:rPr>
          <w:rStyle w:val="StringTok"/>
        </w:rPr>
        <w:t xml:space="preserve">"T3"</w:t>
      </w:r>
      <w:r>
        <w:rPr>
          <w:rStyle w:val="FunctionTok"/>
        </w:rPr>
        <w:t xml:space="preserve">,</w:t>
      </w:r>
      <w:r>
        <w:rPr>
          <w:rStyle w:val="DataTypeTok"/>
        </w:rPr>
        <w:t xml:space="preserve">"start"</w:t>
      </w:r>
      <w:r>
        <w:rPr>
          <w:rStyle w:val="FunctionTok"/>
        </w:rPr>
        <w:t xml:space="preserve">:</w:t>
      </w:r>
      <w:r>
        <w:rPr>
          <w:rStyle w:val="DecValTok"/>
        </w:rPr>
        <w:t xml:space="preserve">591</w:t>
      </w:r>
      <w:r>
        <w:rPr>
          <w:rStyle w:val="FunctionTok"/>
        </w:rPr>
        <w:t xml:space="preserve">,</w:t>
      </w:r>
      <w:r>
        <w:rPr>
          <w:rStyle w:val="DataTypeTok"/>
        </w:rPr>
        <w:t xml:space="preserve">"end"</w:t>
      </w:r>
      <w:r>
        <w:rPr>
          <w:rStyle w:val="FunctionTok"/>
        </w:rPr>
        <w:t xml:space="preserve">:</w:t>
      </w:r>
      <w:r>
        <w:rPr>
          <w:rStyle w:val="DecValTok"/>
        </w:rPr>
        <w:t xml:space="preserve">714</w:t>
      </w:r>
      <w:r>
        <w:rPr>
          <w:rStyle w:val="FunctionTok"/>
        </w:rPr>
        <w:t xml:space="preserve">,</w:t>
      </w:r>
      <w:r>
        <w:rPr>
          <w:rStyle w:val="DataTypeTok"/>
        </w:rPr>
        <w:t xml:space="preserve">"type"</w:t>
      </w:r>
      <w:r>
        <w:rPr>
          <w:rStyle w:val="FunctionTok"/>
        </w:rPr>
        <w:t xml:space="preserve">:</w:t>
      </w:r>
      <w:r>
        <w:rPr>
          <w:rStyle w:val="StringTok"/>
        </w:rPr>
        <w:t xml:space="preserve">"Claim"</w:t>
      </w:r>
      <w:r>
        <w:rPr>
          <w:rStyle w:val="FunctionTok"/>
        </w:rPr>
        <w:t xml:space="preserve">}</w:t>
      </w:r>
      <w:r>
        <w:rPr>
          <w:rStyle w:val="OtherTok"/>
        </w:rPr>
        <w:t xml:space="preserve">,</w:t>
      </w:r>
      <w:r>
        <w:rPr>
          <w:rStyle w:val="FunctionTok"/>
        </w:rPr>
        <w:t xml:space="preserve">{</w:t>
      </w:r>
      <w:r>
        <w:rPr>
          <w:rStyle w:val="DataTypeTok"/>
        </w:rPr>
        <w:t xml:space="preserve">"id"</w:t>
      </w:r>
      <w:r>
        <w:rPr>
          <w:rStyle w:val="FunctionTok"/>
        </w:rPr>
        <w:t xml:space="preserve">:</w:t>
      </w:r>
      <w:r>
        <w:rPr>
          <w:rStyle w:val="StringTok"/>
        </w:rPr>
        <w:t xml:space="preserve">"T4"</w:t>
      </w:r>
      <w:r>
        <w:rPr>
          <w:rStyle w:val="FunctionTok"/>
        </w:rPr>
        <w:t xml:space="preserve">,</w:t>
      </w:r>
      <w:r>
        <w:rPr>
          <w:rStyle w:val="DataTypeTok"/>
        </w:rPr>
        <w:t xml:space="preserve">"start"</w:t>
      </w:r>
      <w:r>
        <w:rPr>
          <w:rStyle w:val="FunctionTok"/>
        </w:rPr>
        <w:t xml:space="preserve">:</w:t>
      </w:r>
      <w:r>
        <w:rPr>
          <w:rStyle w:val="DecValTok"/>
        </w:rPr>
        <w:t xml:space="preserve">716</w:t>
      </w:r>
      <w:r>
        <w:rPr>
          <w:rStyle w:val="FunctionTok"/>
        </w:rPr>
        <w:t xml:space="preserve">,</w:t>
      </w:r>
      <w:r>
        <w:rPr>
          <w:rStyle w:val="DataTypeTok"/>
        </w:rPr>
        <w:t xml:space="preserve">"end"</w:t>
      </w:r>
      <w:r>
        <w:rPr>
          <w:rStyle w:val="FunctionTok"/>
        </w:rPr>
        <w:t xml:space="preserve">:</w:t>
      </w:r>
      <w:r>
        <w:rPr>
          <w:rStyle w:val="DecValTok"/>
        </w:rPr>
        <w:t xml:space="preserve">851</w:t>
      </w:r>
      <w:r>
        <w:rPr>
          <w:rStyle w:val="FunctionTok"/>
        </w:rPr>
        <w:t xml:space="preserve">,</w:t>
      </w:r>
      <w:r>
        <w:rPr>
          <w:rStyle w:val="DataTypeTok"/>
        </w:rPr>
        <w:t xml:space="preserve">"type"</w:t>
      </w:r>
      <w:r>
        <w:rPr>
          <w:rStyle w:val="FunctionTok"/>
        </w:rPr>
        <w:t xml:space="preserve">:</w:t>
      </w:r>
      <w:r>
        <w:rPr>
          <w:rStyle w:val="StringTok"/>
        </w:rPr>
        <w:t xml:space="preserve">"Premise"</w:t>
      </w:r>
      <w:r>
        <w:rPr>
          <w:rStyle w:val="FunctionTok"/>
        </w:rPr>
        <w:t xml:space="preserve">}</w:t>
      </w:r>
      <w:r>
        <w:rPr>
          <w:rStyle w:val="OtherTok"/>
        </w:rPr>
        <w:t xml:space="preserve">]</w:t>
      </w:r>
      <w:r>
        <w:rPr>
          <w:rStyle w:val="FunctionTok"/>
        </w:rPr>
        <w:t xml:space="preserve">,</w:t>
      </w:r>
      <w:r>
        <w:rPr>
          <w:rStyle w:val="DataTypeTok"/>
        </w:rPr>
        <w:t xml:space="preserve">"relations"</w:t>
      </w:r>
      <w:r>
        <w:rPr>
          <w:rStyle w:val="FunctionTok"/>
        </w:rPr>
        <w:t xml:space="preserve">:</w:t>
      </w:r>
      <w:r>
        <w:rPr>
          <w:rStyle w:val="OtherTok"/>
        </w:rPr>
        <w:t xml:space="preserve">[</w:t>
      </w:r>
      <w:r>
        <w:rPr>
          <w:rStyle w:val="FunctionTok"/>
        </w:rPr>
        <w:t xml:space="preserve">{</w:t>
      </w:r>
      <w:r>
        <w:rPr>
          <w:rStyle w:val="DataTypeTok"/>
        </w:rPr>
        <w:t xml:space="preserve">"sources"</w:t>
      </w:r>
      <w:r>
        <w:rPr>
          <w:rStyle w:val="FunctionTok"/>
        </w:rPr>
        <w:t xml:space="preserve">:</w:t>
      </w:r>
      <w:r>
        <w:rPr>
          <w:rStyle w:val="OtherTok"/>
        </w:rPr>
        <w:t xml:space="preserve">[</w:t>
      </w:r>
      <w:r>
        <w:rPr>
          <w:rStyle w:val="StringTok"/>
        </w:rPr>
        <w:t xml:space="preserve">"T4"</w:t>
      </w:r>
      <w:r>
        <w:rPr>
          <w:rStyle w:val="OtherTok"/>
        </w:rPr>
        <w:t xml:space="preserve">]</w:t>
      </w:r>
      <w:r>
        <w:rPr>
          <w:rStyle w:val="FunctionTok"/>
        </w:rPr>
        <w:t xml:space="preserve">,</w:t>
      </w:r>
      <w:r>
        <w:rPr>
          <w:rStyle w:val="DataTypeTok"/>
        </w:rPr>
        <w:t xml:space="preserve">"target"</w:t>
      </w:r>
      <w:r>
        <w:rPr>
          <w:rStyle w:val="FunctionTok"/>
        </w:rPr>
        <w:t xml:space="preserve">:</w:t>
      </w:r>
      <w:r>
        <w:rPr>
          <w:rStyle w:val="StringTok"/>
        </w:rPr>
        <w:t xml:space="preserve">"T3"</w:t>
      </w:r>
      <w:r>
        <w:rPr>
          <w:rStyle w:val="FunctionTok"/>
        </w:rPr>
        <w:t xml:space="preserve">,</w:t>
      </w:r>
      <w:r>
        <w:rPr>
          <w:rStyle w:val="DataTypeTok"/>
        </w:rPr>
        <w:t xml:space="preserve">"type"</w:t>
      </w:r>
      <w:r>
        <w:rPr>
          <w:rStyle w:val="FunctionTok"/>
        </w:rPr>
        <w:t xml:space="preserve">:</w:t>
      </w:r>
      <w:r>
        <w:rPr>
          <w:rStyle w:val="StringTok"/>
        </w:rPr>
        <w:t xml:space="preserve">"supports"</w:t>
      </w:r>
      <w:r>
        <w:rPr>
          <w:rStyle w:val="FunctionTok"/>
        </w:rPr>
        <w:t xml:space="preserve">}</w:t>
      </w:r>
      <w:r>
        <w:rPr>
          <w:rStyle w:val="OtherTok"/>
        </w:rPr>
        <w:t xml:space="preserve">]</w:t>
      </w:r>
      <w:r>
        <w:rPr>
          <w:rStyle w:val="FunctionTok"/>
        </w:rPr>
        <w:t xml:space="preserve">}</w:t>
      </w:r>
    </w:p>
    <w:p>
      <w:pPr>
        <w:pStyle w:val="FirstParagraph"/>
        <w:spacing w:after="60" w:line="269" w:lineRule="auto"/>
      </w:pPr>
      <w:r>
        <w:t xml:space="preserve">字符片段逐字等于表3-1。显示编号可变，规范键固定为文档、字符跨度和类型；关系键进一步含规范排序的完整源集合、目标和标签。转换仅做显式大小写映射与坐标输运，不恢复缺失端点。AAEC stance保留为属性，不补造supports／attacks边。</w:t>
      </w:r>
    </w:p>
    <w:bookmarkEnd w:id="213"/>
    <w:bookmarkEnd w:id="214"/>
    <w:bookmarkStart w:id="224" w:name="附录b-评分与事务执行记录"/>
    <w:p>
      <w:pPr>
        <w:pStyle w:val="Heading1"/>
        <w:pageBreakBefore/>
      </w:pPr>
      <w:r>
        <w:rPr>
          <w:rFonts w:ascii="Arial Unicode MS" w:hAnsi="Arial Unicode MS" w:eastAsia="Arial Unicode MS"/>
        </w:rPr>
        <w:t xml:space="preserve">附录B 评分与事务执行记录</w:t>
      </w:r>
    </w:p>
    <w:bookmarkStart w:id="215" w:name="b.1-数据与模型身份"/>
    <w:p>
      <w:pPr>
        <w:pStyle w:val="Heading2"/>
      </w:pPr>
      <w:r>
        <w:rPr>
          <w:rFonts w:ascii="Arial Unicode MS" w:hAnsi="Arial Unicode MS" w:eastAsia="Arial Unicode MS"/>
        </w:rPr>
        <w:t xml:space="preserve">B.1 数据与模型身份</w:t>
      </w:r>
    </w:p>
    <w:p>
      <w:pPr>
        <w:pStyle w:val="FirstParagraph"/>
        <w:spacing w:after="60" w:line="269" w:lineRule="auto"/>
      </w:pPr>
      <w:r>
        <w:t xml:space="preserve">输入快照保存C0、R0、完整候选V/P、qC/qR、未校准分数、κ、种子及文档来源。金标只进入离线评价字段，决策函数的输入为候选、冻结分数和约束。模型、分词器、OOF折与校准身份在登记记录中关联。</w:t>
      </w:r>
    </w:p>
    <w:bookmarkEnd w:id="215"/>
    <w:bookmarkStart w:id="216" w:name="b.2-评分与接受轨迹"/>
    <w:p>
      <w:pPr>
        <w:pStyle w:val="Heading2"/>
      </w:pPr>
      <w:r>
        <w:rPr>
          <w:rFonts w:ascii="Arial Unicode MS" w:hAnsi="Arial Unicode MS" w:eastAsia="Arial Unicode MS"/>
        </w:rPr>
        <w:t xml:space="preserve">B.2 评分与接受轨迹</w:t>
      </w:r>
    </w:p>
    <w:p>
      <w:pPr>
        <w:pStyle w:val="FirstParagraph"/>
        <w:spacing w:after="60" w:line="269" w:lineRule="auto"/>
      </w:pPr>
      <w:r>
        <w:t xml:space="preserve">事务记录至少含步骤、组件新增／删除、关系新增／删除、提交前后分项效用、评分版本及停止原因。终态净变化相对G0计算；局部累计编辑对所有提交逐次求和。每次提交后检查关系端点存在、跨度兼容、标签互斥和CDCP完整源连续性。事务拒绝不改变当前图，计算成本仍计入。</w:t>
      </w:r>
    </w:p>
    <w:bookmarkEnd w:id="216"/>
    <w:bookmarkStart w:id="217" w:name="b.3-回退与预算"/>
    <w:p>
      <w:pPr>
        <w:pStyle w:val="Heading2"/>
      </w:pPr>
      <w:r>
        <w:rPr>
          <w:rFonts w:ascii="Arial Unicode MS" w:hAnsi="Arial Unicode MS" w:eastAsia="Arial Unicode MS"/>
        </w:rPr>
        <w:t xml:space="preserve">B.3 回退与预算</w:t>
      </w:r>
    </w:p>
    <w:p>
      <w:pPr>
        <w:pStyle w:val="FirstParagraph"/>
        <w:spacing w:after="60" w:line="269" w:lineRule="auto"/>
      </w:pPr>
      <w:r>
        <w:t xml:space="preserve">全局路径净编辑≤24／96，局部路径累计编辑≤24／96。每轮最多32次尝试、3次接受，最多4轮；提交已有合格项不额外要求新的尝试额度。超时有incumbent时复核全部门与约束，无有效改进则返回G0。提交失败恢复完整图、规范键和缓存引用；中断仅返回最后完整状态。已使用时间、模型调用和token不能因回退退还。</w:t>
      </w:r>
    </w:p>
    <w:bookmarkEnd w:id="217"/>
    <w:bookmarkStart w:id="221" w:name="b.4-实现一致性验收"/>
    <w:p>
      <w:pPr>
        <w:pStyle w:val="Heading2"/>
      </w:pPr>
      <w:r>
        <w:rPr>
          <w:rFonts w:ascii="Arial Unicode MS" w:hAnsi="Arial Unicode MS" w:eastAsia="Arial Unicode MS"/>
        </w:rPr>
        <w:t xml:space="preserve">B.4 实现一致性验收</w:t>
      </w:r>
    </w:p>
    <w:bookmarkStart w:id="218" w:name="b.4.1-对象计数与快照重放"/>
    <w:p>
      <w:pPr>
        <w:pStyle w:val="Heading2"/>
      </w:pPr>
      <w:r>
        <w:rPr>
          <w:rFonts w:ascii="Arial Unicode MS" w:hAnsi="Arial Unicode MS" w:eastAsia="Arial Unicode MS"/>
        </w:rPr>
        <w:t xml:space="preserve">B.4.1 对象计数与快照重放</w:t>
      </w:r>
    </w:p>
    <w:p>
      <w:pPr>
        <w:pStyle w:val="FirstParagraph"/>
        <w:spacing w:after="60" w:line="269" w:lineRule="auto"/>
      </w:pPr>
      <w:r>
        <w:t xml:space="preserve">冻结输入上的8970条图记录均通过合法性与严格计数重算；6900条终态与3131次接受账本通过重放。金标关系供给、逐种子计数、端点链、源组和四格成员恒等式同步检查。正文真实案例另作逐字符及前后集合子集检查。</w:t>
      </w:r>
    </w:p>
    <w:bookmarkEnd w:id="218"/>
    <w:bookmarkStart w:id="219" w:name="b.4.2-训练与求解接口"/>
    <w:p>
      <w:pPr>
        <w:pStyle w:val="Heading2"/>
      </w:pPr>
      <w:r>
        <w:rPr>
          <w:rFonts w:ascii="Arial Unicode MS" w:hAnsi="Arial Unicode MS" w:eastAsia="Arial Unicode MS"/>
        </w:rPr>
        <w:t xml:space="preserve">B.4.2 训练与求解接口</w:t>
      </w:r>
    </w:p>
    <w:p>
      <w:pPr>
        <w:pStyle w:val="Caption"/>
        <w:keepNext/>
        <w:spacing w:after="60" w:line="269" w:lineRule="auto"/>
        <w:ind w:firstLine="0"/>
        <w:jc w:val="center"/>
      </w:pPr>
      <w:r>
        <w:rPr>
          <w:rFonts w:ascii="Arial Unicode MS" w:hAnsi="Arial Unicode MS" w:eastAsia="Arial Unicode MS"/>
        </w:rPr>
        <w:t xml:space="preserve">表B-1 接口验收与故障注入</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850"/>
        <w:gridCol w:w="850"/>
        <w:gridCol w:w="850"/>
        <w:gridCol w:w="4819"/>
      </w:tblGrid>
      <w:tr>
        <w:trPr>
          <w:tblHeader w:val="on"/>
          <w:cantSplit/>
        </w:trPr>
        <w:tc>
          <w:tcPr>
            <w:tcW w:type="dxa" w:w="226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检查</w:t>
            </w:r>
          </w:p>
        </w:tc>
        <w:tc>
          <w:tcPr>
            <w:tcW w:type="dxa" w:w="85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输入数</w:t>
            </w:r>
          </w:p>
        </w:tc>
        <w:tc>
          <w:tcPr>
            <w:tcW w:type="dxa" w:w="85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通过</w:t>
            </w:r>
          </w:p>
        </w:tc>
        <w:tc>
          <w:tcPr>
            <w:tcW w:type="dxa" w:w="85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失败</w:t>
            </w:r>
          </w:p>
        </w:tc>
        <w:tc>
          <w:tcPr>
            <w:tcW w:type="dxa" w:w="4819"/>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输出与判定</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coordinates</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10986</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10986</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24 partial-token spans retain residual character offsets</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answer_mask</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288</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288</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max hidden difference under answer replacement=0</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gradient_path</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shared adapter norm C=.0118 R=.0064; base delta=0; specialized branch align gradient=0</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normalization</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48</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48</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empty group=0; duplicate-view normalization max error=1.1e-7; last batch correct</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candidate_protection</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protected objects lost=0; 12 resource overflow cases return G0</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MILP_feasibility</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small-graph exhaustive objective max error=1.2e-8</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timeout</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timeout with incumbent=38; without incumbent=22; legal output=60</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commit_rollback</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injected commit failure restores full graph/hash; compute cost retained</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interrupt_resume</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resume terminal semantic hash matches uninterrupted run</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native_object_counts</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320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320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full source-set identity; proper subset not a hit</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score_missing</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NaN/absent scored as missing; no default low score</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tie_break</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240</w:t>
            </w:r>
          </w:p>
        </w:tc>
        <w:tc>
          <w:tcPr>
            <w:tcW w:type="dxa" w:w="85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481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fixed lexicographic tie order completed</w:t>
            </w:r>
          </w:p>
        </w:tc>
      </w:tr>
    </w:tbl>
    <w:p>
      <w:pPr>
        <w:pStyle w:val="BodyText"/>
        <w:spacing w:after="60" w:line="269" w:lineRule="auto"/>
      </w:pPr>
      <w:r>
        <w:t xml:space="preserve">每类检查保存输入身份、配置、输出身份和判定。坐标验收保留24个词内边界；回答掩码检查替换回答后输入表示不变；组件及关系对齐梯度到达共享LoRA，基础权重和专项分支的对齐梯度保持零。故障注入的“通过”表示按预期回退或恢复，不表示故障没有发生。</w:t>
      </w:r>
    </w:p>
    <w:bookmarkEnd w:id="219"/>
    <w:bookmarkStart w:id="220" w:name="b.4.3-资源边界与证书"/>
    <w:p>
      <w:pPr>
        <w:pStyle w:val="Heading2"/>
      </w:pPr>
      <w:r>
        <w:rPr>
          <w:rFonts w:ascii="Arial Unicode MS" w:hAnsi="Arial Unicode MS" w:eastAsia="Arial Unicode MS"/>
        </w:rPr>
        <w:t xml:space="preserve">B.4.3 资源边界与证书</w:t>
      </w:r>
    </w:p>
    <w:p>
      <w:pPr>
        <w:pStyle w:val="FirstParagraph"/>
        <w:spacing w:after="60" w:line="269" w:lineRule="auto"/>
      </w:pPr>
      <w:r>
        <w:t xml:space="preserve">12个候选资源溢出输入返回G0；60个超时检查含38个有incumbent、22个无incumbent，全部返回合法完整图。40个提交失败和24个中断恢复输入保持语义哈希一致；60个缺分输入不把NaN或未评估值转成低概率。240个破同分输入完成固定次序，主评价无超时，最优gap为0。故障挑战集不并入正常评价的时限比例。</w:t>
      </w:r>
    </w:p>
    <w:bookmarkEnd w:id="220"/>
    <w:bookmarkEnd w:id="221"/>
    <w:bookmarkStart w:id="222" w:name="b.5-案例统一记录"/>
    <w:p>
      <w:pPr>
        <w:pStyle w:val="Heading2"/>
      </w:pPr>
      <w:r>
        <w:rPr>
          <w:rFonts w:ascii="Arial Unicode MS" w:hAnsi="Arial Unicode MS" w:eastAsia="Arial Unicode MS"/>
        </w:rPr>
        <w:t xml:space="preserve">B.5 案例统一记录</w:t>
      </w:r>
    </w:p>
    <w:p>
      <w:pPr>
        <w:pStyle w:val="FirstParagraph"/>
        <w:spacing w:after="60" w:line="269" w:lineRule="auto"/>
      </w:pPr>
      <w:r>
        <w:t xml:space="preserve">案例保留语料、文档ID、split、全文SHA-256、原文、组件跨度类型、完整关系、预测前后集合和TP/FP/FN。实际CPU规则仅使用训练侧类型签名及预测跨度距离；案例选择为事后解释，原始输出与失败均保留。原生标注案例不附加模型行为。</w:t>
      </w:r>
    </w:p>
    <w:bookmarkEnd w:id="222"/>
    <w:bookmarkStart w:id="223" w:name="b.6-固定评分性质的证明"/>
    <w:p>
      <w:pPr>
        <w:pStyle w:val="Heading2"/>
        <w:pageBreakBefore/>
      </w:pPr>
      <w:r>
        <w:rPr>
          <w:rFonts w:ascii="Arial Unicode MS" w:hAnsi="Arial Unicode MS" w:eastAsia="Arial Unicode MS"/>
        </w:rPr>
        <w:t xml:space="preserve">B.6 固定评分性质的证明</w:t>
      </w:r>
    </w:p>
    <w:p>
      <w:pPr>
        <w:pStyle w:val="FirstParagraph"/>
        <w:spacing w:after="60" w:line="269" w:lineRule="auto"/>
      </w:pPr>
      <w:r>
        <w:t xml:space="preserve">固定对象权重aX(o)=2qX(o)−κX时，两个图的共同对象抵消，故效用差严格等于新增权重之和减去删除权重之和。类型或边界变化产生新键，全部依赖关系参与差集，不能通过沿用显示ID隐藏代价。</w:t>
      </w:r>
    </w:p>
    <w:p>
      <w:pPr>
        <w:pStyle w:val="BodyText"/>
        <w:spacing w:after="60" w:line="269" w:lineRule="auto"/>
      </w:pPr>
      <w:r>
        <w:t xml:space="preserve">取两个兼容旧组件c1=[0,4)、c2=[4,8)，以及与二者均冲突的新组件b=[0,8)。三者类型相同，当前与候选关系集合均为空。令κC=1、wC=wR=1、δ=0.20，qC(c1)=qC(c2)=0.65、qC(b)=0.95。旧效用为0.30+0.30=0.60，新效用为0.90，故ΔΦC=0.30、ΔΦR=0，总增量严格大于δ。组件预算至少为3时，2→1集合事务可以接受。</w:t>
      </w:r>
    </w:p>
    <w:p>
      <w:pPr>
        <w:pStyle w:val="Normal"/>
        <w:spacing w:after="60" w:line="269" w:lineRule="auto"/>
      </w:pPr>
      <w:r>
        <w:t>单独删除任一旧组件的效用增量为−0.30，不能通过严格改进门。插入b或仅声明替换一个旧组件，都必须经冲突闭合删除另一个旧组件，其实际形态仍是2→1，因而不属于单对象邻域。该构造说明集合动作的可达性，不证明真实F1改善。</w:t>
      </w:r>
    </w:p>
    <w:p>
      <w:pPr>
        <w:pStyle w:val="BodyText"/>
        <w:spacing w:after="60" w:line="269" w:lineRule="auto"/>
      </w:pPr>
      <w:r>
        <w:t xml:space="preserve">有限候选形成有限状态空间。若每次接受严格增加同一固定效用，则任何状态都不能再访，因此接受序列有限终止。实际预算可以更早停止；缺分、动态重评分或改变κ会破坏该命题的前提，必须重新定义运行身份。真实F1仍取决于未知TP与预测总量，固定效用单调不构成F1单调保证。</w:t>
      </w:r>
    </w:p>
    <w:bookmarkEnd w:id="223"/>
    <w:bookmarkEnd w:id="224"/>
    <w:bookmarkStart w:id="228" w:name="附录c-成果归属与材料说明"/>
    <w:p>
      <w:pPr>
        <w:pStyle w:val="Heading1"/>
        <w:pageBreakBefore/>
      </w:pPr>
      <w:r>
        <w:rPr>
          <w:rFonts w:ascii="Arial Unicode MS" w:hAnsi="Arial Unicode MS" w:eastAsia="Arial Unicode MS"/>
        </w:rPr>
        <w:t xml:space="preserve">附录C 成果归属与材料说明</w:t>
      </w:r>
    </w:p>
    <w:bookmarkStart w:id="225" w:name="c.1-已有工作"/>
    <w:p>
      <w:pPr>
        <w:pStyle w:val="Heading2"/>
      </w:pPr>
      <w:r>
        <w:rPr>
          <w:rFonts w:ascii="Arial Unicode MS" w:hAnsi="Arial Unicode MS" w:eastAsia="Arial Unicode MS"/>
        </w:rPr>
        <w:t xml:space="preserve">C.1 已有工作</w:t>
      </w:r>
    </w:p>
    <w:p>
      <w:pPr>
        <w:pStyle w:val="FirstParagraph"/>
        <w:spacing w:after="60" w:line="269" w:lineRule="auto"/>
      </w:pPr>
      <w:r>
        <w:t xml:space="preserve">MCR-BR[34]的专项适配、线索提示、多候选整图重排序及有界修改作为已有基础。LoRA、MLP、JS散度和整数规划是实现工具。本文深化可靠监督对应及修改后的完整依赖决策，两阶段四格用于归因，不另列算法创新。</w:t>
      </w:r>
    </w:p>
    <w:bookmarkEnd w:id="225"/>
    <w:bookmarkStart w:id="226" w:name="c.2-材料可得性"/>
    <w:p>
      <w:pPr>
        <w:pStyle w:val="Heading2"/>
      </w:pPr>
      <w:r>
        <w:rPr>
          <w:rFonts w:ascii="Arial Unicode MS" w:hAnsi="Arial Unicode MS" w:eastAsia="Arial Unicode MS"/>
        </w:rPr>
        <w:t xml:space="preserve">C.2 材料可得性</w:t>
      </w:r>
    </w:p>
    <w:p>
      <w:pPr>
        <w:pStyle w:val="FirstParagraph"/>
        <w:spacing w:after="60" w:line="269" w:lineRule="auto"/>
      </w:pPr>
      <w:r>
        <w:t xml:space="preserve">随稿提供原始输入摘要、规范化语料、配置、逐对象计数、评分、事务、审核、成本和生成脚本。材料中的文献来源沿用提供的草稿，未扩展到其他历史记录。引用原文保持原拼写，不因语言错误擅自润色数据集内容。</w:t>
      </w:r>
    </w:p>
    <w:bookmarkEnd w:id="226"/>
    <w:bookmarkStart w:id="227" w:name="c.3-记录与版本"/>
    <w:p>
      <w:pPr>
        <w:pStyle w:val="Heading2"/>
      </w:pPr>
      <w:r>
        <w:rPr>
          <w:rFonts w:ascii="Arial Unicode MS" w:hAnsi="Arial Unicode MS" w:eastAsia="Arial Unicode MS"/>
        </w:rPr>
        <w:t xml:space="preserve">C.3 记录与版本</w:t>
      </w:r>
    </w:p>
    <w:p>
      <w:pPr>
        <w:pStyle w:val="FirstParagraph"/>
        <w:spacing w:after="60" w:line="269" w:lineRule="auto"/>
      </w:pPr>
      <w:r>
        <w:t xml:space="preserve">主实验、失败分析、原稿已发表表和实际CPU案例具有独立运行身份。修订不覆盖前一版草稿，完整文件清单及SHA-256写入final_manifest。读者可由正文表格定位到记录文件和复算脚本。</w:t>
      </w:r>
    </w:p>
    <w:bookmarkEnd w:id="227"/>
    <w:bookmarkEnd w:id="228"/>
    <w:bookmarkStart w:id="233" w:name="附录d-cdcp失败条件与实际案例流程"/>
    <w:p>
      <w:pPr>
        <w:pStyle w:val="Heading1"/>
        <w:pageBreakBefore/>
      </w:pPr>
      <w:r>
        <w:rPr>
          <w:rFonts w:ascii="Arial Unicode MS" w:hAnsi="Arial Unicode MS" w:eastAsia="Arial Unicode MS"/>
        </w:rPr>
        <w:t xml:space="preserve">附录D CDCP失败条件与实际案例流程</w:t>
      </w:r>
    </w:p>
    <w:bookmarkStart w:id="229" w:name="d.1-弱评分版本的回退"/>
    <w:p>
      <w:pPr>
        <w:pStyle w:val="Heading2"/>
      </w:pPr>
      <w:r>
        <w:rPr>
          <w:rFonts w:ascii="Arial Unicode MS" w:hAnsi="Arial Unicode MS" w:eastAsia="Arial Unicode MS"/>
        </w:rPr>
        <w:t xml:space="preserve">D.1 弱评分版本的回退</w:t>
      </w:r>
    </w:p>
    <w:p>
      <w:pPr>
        <w:pStyle w:val="FirstParagraph"/>
        <w:spacing w:after="60" w:line="269" w:lineRule="auto"/>
      </w:pPr>
      <w:r>
        <w:t xml:space="preserve">v0的初始关系F1为39.81。所有测试过的κ与校准条件均不满足开发TP保留，部署返回初始图；强制输出仅用于表4-18。该记录与主实验v1不共享检查点或候选快照，不能将v0→v1差值称为单一阈值消融。</w:t>
      </w:r>
    </w:p>
    <w:bookmarkEnd w:id="229"/>
    <w:bookmarkStart w:id="230" w:name="d.2-主版本的策略选择"/>
    <w:p>
      <w:pPr>
        <w:pStyle w:val="Heading2"/>
      </w:pPr>
      <w:r>
        <w:rPr>
          <w:rFonts w:ascii="Arial Unicode MS" w:hAnsi="Arial Unicode MS" w:eastAsia="Arial Unicode MS"/>
        </w:rPr>
        <w:t xml:space="preserve">D.2 主版本的策略选择</w:t>
      </w:r>
    </w:p>
    <w:p>
      <w:pPr>
        <w:pStyle w:val="Caption"/>
        <w:keepNext/>
        <w:spacing w:after="60" w:line="269" w:lineRule="auto"/>
        <w:ind w:firstLine="0"/>
        <w:jc w:val="center"/>
      </w:pPr>
      <w:r>
        <w:rPr>
          <w:rFonts w:ascii="Arial Unicode MS" w:hAnsi="Arial Unicode MS" w:eastAsia="Arial Unicode MS"/>
        </w:rPr>
        <w:t xml:space="preserve">表D-1 主评分条件下的开发选择</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72"/>
        <w:gridCol w:w="1372"/>
        <w:gridCol w:w="1372"/>
        <w:gridCol w:w="1372"/>
        <w:gridCol w:w="1372"/>
        <w:gridCol w:w="1403"/>
        <w:gridCol w:w="1372"/>
      </w:tblGrid>
      <w:tr>
        <w:trPr>
          <w:tblHeader w:val="on"/>
          <w:cantSplit/>
        </w:trPr>
        <w:tc>
          <w:tcPr>
            <w:tcW w:type="dxa" w:w="1372"/>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1372"/>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δ</w:t>
            </w:r>
          </w:p>
        </w:tc>
        <w:tc>
          <w:tcPr>
            <w:tcW w:type="dxa" w:w="1372"/>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原TP</w:t>
            </w:r>
          </w:p>
        </w:tc>
        <w:tc>
          <w:tcPr>
            <w:tcW w:type="dxa" w:w="1372"/>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误删TP</w:t>
            </w:r>
          </w:p>
        </w:tc>
        <w:tc>
          <w:tcPr>
            <w:tcW w:type="dxa" w:w="1372"/>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损失率</w:t>
            </w:r>
          </w:p>
        </w:tc>
        <w:tc>
          <w:tcPr>
            <w:tcW w:type="dxa" w:w="140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汇总关系F1</w:t>
            </w:r>
          </w:p>
        </w:tc>
        <w:tc>
          <w:tcPr>
            <w:tcW w:type="dxa" w:w="1372"/>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合格</w:t>
            </w:r>
          </w:p>
        </w:tc>
      </w:tr>
      <w:tr>
        <w:trPr>
          <w:cantSplit/>
        </w:trPr>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0.01</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561</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0.53%</w:t>
            </w:r>
          </w:p>
        </w:tc>
        <w:tc>
          <w:tcPr>
            <w:tcW w:type="dxa" w:w="14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72.03</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是</w:t>
            </w:r>
          </w:p>
        </w:tc>
      </w:tr>
      <w:tr>
        <w:trPr>
          <w:cantSplit/>
        </w:trPr>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0.05</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561</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0.53%</w:t>
            </w:r>
          </w:p>
        </w:tc>
        <w:tc>
          <w:tcPr>
            <w:tcW w:type="dxa" w:w="14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72.03</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是</w:t>
            </w:r>
          </w:p>
        </w:tc>
      </w:tr>
      <w:tr>
        <w:trPr>
          <w:cantSplit/>
        </w:trPr>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0.1</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561</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0.53%</w:t>
            </w:r>
          </w:p>
        </w:tc>
        <w:tc>
          <w:tcPr>
            <w:tcW w:type="dxa" w:w="14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72.03</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是</w:t>
            </w:r>
          </w:p>
        </w:tc>
      </w:tr>
      <w:tr>
        <w:trPr>
          <w:cantSplit/>
        </w:trPr>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0.2</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561</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0.53%</w:t>
            </w:r>
          </w:p>
        </w:tc>
        <w:tc>
          <w:tcPr>
            <w:tcW w:type="dxa" w:w="14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72.03</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是</w:t>
            </w:r>
          </w:p>
        </w:tc>
      </w:tr>
      <w:tr>
        <w:trPr>
          <w:cantSplit/>
        </w:trPr>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0.01</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115</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0.00%</w:t>
            </w:r>
          </w:p>
        </w:tc>
        <w:tc>
          <w:tcPr>
            <w:tcW w:type="dxa" w:w="14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54.67</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是</w:t>
            </w:r>
          </w:p>
        </w:tc>
      </w:tr>
      <w:tr>
        <w:trPr>
          <w:cantSplit/>
        </w:trPr>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0.05</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115</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0.00%</w:t>
            </w:r>
          </w:p>
        </w:tc>
        <w:tc>
          <w:tcPr>
            <w:tcW w:type="dxa" w:w="14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54.67</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是</w:t>
            </w:r>
          </w:p>
        </w:tc>
      </w:tr>
      <w:tr>
        <w:trPr>
          <w:cantSplit/>
        </w:trPr>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0.1</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115</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0.00%</w:t>
            </w:r>
          </w:p>
        </w:tc>
        <w:tc>
          <w:tcPr>
            <w:tcW w:type="dxa" w:w="14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54.67</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是</w:t>
            </w:r>
          </w:p>
        </w:tc>
      </w:tr>
      <w:tr>
        <w:trPr>
          <w:cantSplit/>
        </w:trPr>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0.2</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115</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0.00%</w:t>
            </w:r>
          </w:p>
        </w:tc>
        <w:tc>
          <w:tcPr>
            <w:tcW w:type="dxa" w:w="14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54.67</w:t>
            </w:r>
          </w:p>
        </w:tc>
        <w:tc>
          <w:tcPr>
            <w:tcW w:type="dxa" w:w="137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是</w:t>
            </w:r>
          </w:p>
        </w:tc>
      </w:tr>
    </w:tbl>
    <w:p>
      <w:pPr>
        <w:pStyle w:val="BodyText"/>
        <w:spacing w:after="60" w:line="269" w:lineRule="auto"/>
      </w:pPr>
      <w:r>
        <w:t xml:space="preserve">CDCP主版本先在κR=1失败，再按冻结顺序评估0.5；不是降低5%的保留要求。开发F1为三种子计数汇总后计算，正文主测试分数为逐种子F1均值，两种口径明确区分。</w:t>
      </w:r>
    </w:p>
    <w:bookmarkEnd w:id="230"/>
    <w:bookmarkStart w:id="231" w:name="d.3-实际cpu抽取与后处理"/>
    <w:p>
      <w:pPr>
        <w:pStyle w:val="Heading2"/>
      </w:pPr>
      <w:r>
        <w:rPr>
          <w:rFonts w:ascii="Arial Unicode MS" w:hAnsi="Arial Unicode MS" w:eastAsia="Arial Unicode MS"/>
        </w:rPr>
        <w:t xml:space="preserve">D.3 实际CPU抽取与后处理</w:t>
      </w:r>
    </w:p>
    <w:p>
      <w:pPr>
        <w:pStyle w:val="FirstParagraph"/>
        <w:spacing w:after="60" w:line="269" w:lineRule="auto"/>
      </w:pPr>
      <w:r>
        <w:t xml:space="preserve">CPU-BIO-SGD使用SGD log_loss组件模型(alpha=10⁻⁵，12轮)与关系模型(alpha=10⁻⁴，20轮)，种子17、29、43。关系负采样保留可表达正例及哈希排序的max(20,8×正例数)负例。对官方80／150篇测试文档全部预测，无超参数搜索。</w:t>
      </w:r>
    </w:p>
    <w:p>
      <w:pPr>
        <w:pStyle w:val="BodyText"/>
        <w:spacing w:after="60" w:line="269" w:lineRule="auto"/>
      </w:pPr>
      <w:r>
        <w:t xml:space="preserve">后处理按训练集中出现过的源类型集合—目标类型—关系标签签名删除不支持的预测组合；AAEC再对每个预测源保留最近中点目标，CDCP不拆联合源、不添加新边。规则不读取测试金标进行决策，金标只用于计数。已读取测试标注做语料审计这一事实保持在实际CPU协议中，不将其称为历史盲测。</w:t>
      </w:r>
    </w:p>
    <w:bookmarkEnd w:id="231"/>
    <w:bookmarkStart w:id="232" w:name="d.4-解释范围"/>
    <w:p>
      <w:pPr>
        <w:pStyle w:val="Heading2"/>
      </w:pPr>
      <w:r>
        <w:rPr>
          <w:rFonts w:ascii="Arial Unicode MS" w:hAnsi="Arial Unicode MS" w:eastAsia="Arial Unicode MS"/>
        </w:rPr>
        <w:t xml:space="preserve">D.4 解释范围</w:t>
      </w:r>
    </w:p>
    <w:p>
      <w:pPr>
        <w:pStyle w:val="FirstParagraph"/>
        <w:spacing w:after="60" w:line="269" w:lineRule="auto"/>
      </w:pPr>
      <w:r>
        <w:t xml:space="preserve">实际CPU输出用于错误剖析，与主模型数值独立。essay098保留成功和失败两个种子；CDCP、CasiMedicos和ArgUNSC的展示对象为原生标注。形式证明和接口挑战输入不是现实案例，不以它们替代原始数据内容。</w:t>
      </w:r>
    </w:p>
    <w:bookmarkEnd w:id="232"/>
    <w:bookmarkEnd w:id="233"/>
    <w:bookmarkStart w:id="242" w:name="附录e-mcr-br数值与协议存档"/>
    <w:p>
      <w:pPr>
        <w:pStyle w:val="Heading1"/>
        <w:pageBreakBefore/>
      </w:pPr>
      <w:r>
        <w:rPr>
          <w:rFonts w:ascii="Arial Unicode MS" w:hAnsi="Arial Unicode MS" w:eastAsia="Arial Unicode MS"/>
        </w:rPr>
        <w:t xml:space="preserve">附录E MCR-BR数值与协议存档</w:t>
      </w:r>
    </w:p>
    <w:p>
      <w:pPr>
        <w:pStyle w:val="FirstParagraph"/>
        <w:spacing w:after="60" w:line="269" w:lineRule="auto"/>
      </w:pPr>
      <w:r>
        <w:t xml:space="preserve">本附录逐表保留MCR-BR[34]已公开的原始数字和方法行，协议映射表除外；转录不等于本文独立复现。所有结果均不属于本文新增机制。旧表“±”的统计定义、划分及评价脚本仍按附录A核验，不由新协议追认。</w:t>
      </w:r>
    </w:p>
    <w:bookmarkStart w:id="234" w:name="e.1-icic原版aaec域内结果记录"/>
    <w:p>
      <w:pPr>
        <w:pStyle w:val="Heading2"/>
      </w:pPr>
      <w:r>
        <w:rPr>
          <w:rFonts w:ascii="Arial Unicode MS" w:hAnsi="Arial Unicode MS" w:eastAsia="Arial Unicode MS"/>
        </w:rPr>
        <w:t xml:space="preserve">E.1 ICIC原版AAEC域内结果记录</w:t>
      </w:r>
    </w:p>
    <w:p>
      <w:pPr>
        <w:pStyle w:val="Caption"/>
        <w:keepNext/>
        <w:spacing w:after="60" w:line="269" w:lineRule="auto"/>
        <w:ind w:firstLine="0"/>
        <w:jc w:val="center"/>
      </w:pPr>
      <w:r>
        <w:rPr>
          <w:rFonts w:ascii="Arial Unicode MS" w:hAnsi="Arial Unicode MS" w:eastAsia="Arial Unicode MS"/>
        </w:rPr>
        <w:t xml:space="preserve">表E-1 ICIC原版AAEC域内结果记录</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338"/>
        <w:gridCol w:w="1568"/>
        <w:gridCol w:w="1568"/>
        <w:gridCol w:w="1568"/>
        <w:gridCol w:w="1597"/>
      </w:tblGrid>
      <w:tr>
        <w:trPr>
          <w:tblHeader w:val="on"/>
          <w:cantSplit/>
        </w:trPr>
        <w:tc>
          <w:tcPr>
            <w:tcW w:type="dxa" w:w="333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方法</w:t>
            </w:r>
          </w:p>
        </w:tc>
        <w:tc>
          <w:tcPr>
            <w:tcW w:type="dxa" w:w="156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Comp-F1</w:t>
            </w:r>
          </w:p>
        </w:tc>
        <w:tc>
          <w:tcPr>
            <w:tcW w:type="dxa" w:w="156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Support-F1</w:t>
            </w:r>
          </w:p>
        </w:tc>
        <w:tc>
          <w:tcPr>
            <w:tcW w:type="dxa" w:w="156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Attack-F1</w:t>
            </w:r>
          </w:p>
        </w:tc>
        <w:tc>
          <w:tcPr>
            <w:tcW w:type="dxa" w:w="159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Relation-F1</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FLAN T5-XXL</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80.15</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62.34</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48.72</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61.19</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GPT-4-turbo 20-shot</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55.51</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29.86</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18.45</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28.38</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RoBERTa-large MTL</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76.43±0.55</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54.21±0.52</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41.83±0.67</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52.15±0.54</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LLM Single-Pass</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77.82±0.51</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58.43±0.45</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44.21±0.62</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56.87±0.48</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LLM w/ Constrained Decoding</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78.54±0.46</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59.12±0.42</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45.33±0.58</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57.65±0.45</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LLM w/ DAG Post-process</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78.91±0.49</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59.45±0.48</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45.87±0.61</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58.12±0.47</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LLM Multi-Sample (LogProb)</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79.45±0.38</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60.12±0.41</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46.58±0.55</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58.94±0.42</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LLM w/ Self-Refine</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79.82±0.45</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60.75±0.43</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47.12±0.56</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59.63±0.45</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MCR-BR (</w:t>
            </w:r>
            <m:oMath>
              <m:r>
                <m:t>K</m:t>
              </m:r>
              <m:r>
                <m:rPr>
                  <m:sty m:val="p"/>
                </m:rPr>
                <m:t>=</m:t>
              </m:r>
              <m:r>
                <m:t>1</m:t>
              </m:r>
            </m:oMath>
            <w:r>
              <w:rPr>
                <w:rFonts w:ascii="Arial Unicode MS" w:hAnsi="Arial Unicode MS"/>
                <w:b w:val="0"/>
                <w:sz w:val="17"/>
              </w:rPr>
              <w:t xml:space="preserve">, w/o correction)</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81.24±0.44</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61.87±0.39</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48.34±0.58</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60.73±0.41</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MCR-BR (Verifier-only Rerank,</w:t>
            </w:r>
            <w:r>
              <w:rPr>
                <w:rFonts w:ascii="Arial Unicode MS" w:hAnsi="Arial Unicode MS"/>
                <w:b w:val="0"/>
                <w:sz w:val="17"/>
              </w:rPr>
              <w:t xml:space="preserve"> </w:t>
            </w:r>
            <m:oMath>
              <m:r>
                <m:t>K</m:t>
              </m:r>
              <m:r>
                <m:rPr>
                  <m:sty m:val="p"/>
                </m:rPr>
                <m:t>=</m:t>
              </m:r>
              <m:r>
                <m:t>3</m:t>
              </m:r>
            </m:oMath>
            <w:r>
              <w:rPr>
                <w:rFonts w:ascii="Arial Unicode MS" w:hAnsi="Arial Unicode MS"/>
                <w:b w:val="0"/>
                <w:sz w:val="17"/>
              </w:rPr>
              <w:t xml:space="preserve">)</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82.18±0.40</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63.15±0.36</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49.82±0.52</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62.21±0.38</w:t>
            </w:r>
          </w:p>
        </w:tc>
      </w:tr>
      <w:tr>
        <w:trPr>
          <w:cantSplit/>
        </w:trPr>
        <w:tc>
          <w:tcPr>
            <w:tcW w:type="dxa" w:w="33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MCR-BR (Full,</w:t>
            </w:r>
            <w:r>
              <w:rPr>
                <w:rFonts w:ascii="Arial Unicode MS" w:hAnsi="Arial Unicode MS"/>
                <w:b w:val="0"/>
                <w:bCs/>
                <w:sz w:val="17"/>
              </w:rPr>
              <w:t xml:space="preserve"> </w:t>
            </w:r>
            <m:oMath>
              <m:r>
                <m:t>K</m:t>
              </m:r>
              <m:r>
                <m:rPr>
                  <m:sty m:val="p"/>
                </m:rPr>
                <m:t>=</m:t>
              </m:r>
              <m:r>
                <m:t>3</m:t>
              </m:r>
            </m:oMath>
            <w:r>
              <w:rPr>
                <w:rFonts w:ascii="Arial Unicode MS" w:hAnsi="Arial Unicode MS"/>
                <w:b w:val="0"/>
                <w:bCs/>
                <w:sz w:val="17"/>
              </w:rPr>
              <w:t xml:space="preserve">)</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83.71±0.42</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65.92±0.38</w:t>
            </w:r>
          </w:p>
        </w:tc>
        <w:tc>
          <w:tcPr>
            <w:tcW w:type="dxa" w:w="15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51.47±0.54</w:t>
            </w:r>
          </w:p>
        </w:tc>
        <w:tc>
          <w:tcPr>
            <w:tcW w:type="dxa" w:w="159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64.83±0.38</w:t>
            </w:r>
          </w:p>
        </w:tc>
      </w:tr>
    </w:tbl>
    <w:p>
      <w:pPr>
        <w:pStyle w:val="BodyText"/>
        <w:spacing w:after="60" w:line="269" w:lineRule="auto"/>
      </w:pPr>
      <w:r>
        <w:t xml:space="preserve">对应ICIC公开版Table 1的AAEC部分[34]。所有方法名及数值按原文转录，</w:t>
      </w:r>
      <w:r>
        <w:t xml:space="preserve">“</w:t>
      </w:r>
      <w:r>
        <w:t xml:space="preserve">MCR-BR</w:t>
      </w:r>
      <w:r>
        <w:t xml:space="preserve">”</w:t>
      </w:r>
      <w:r>
        <w:t xml:space="preserve">行即原文的完整方法；外部结果的评价差异需按原文核验，不能视为统一严格协议下的复现。</w:t>
      </w:r>
    </w:p>
    <w:bookmarkEnd w:id="234"/>
    <w:bookmarkStart w:id="235" w:name="e.2-icic原版cdcp域内结果记录"/>
    <w:p>
      <w:pPr>
        <w:pStyle w:val="Heading2"/>
      </w:pPr>
      <w:r>
        <w:rPr>
          <w:rFonts w:ascii="Arial Unicode MS" w:hAnsi="Arial Unicode MS" w:eastAsia="Arial Unicode MS"/>
        </w:rPr>
        <w:t xml:space="preserve">E.2 ICIC原版CDCP域内结果记录</w:t>
      </w:r>
    </w:p>
    <w:p>
      <w:pPr>
        <w:pStyle w:val="Caption"/>
        <w:keepNext/>
        <w:spacing w:after="60" w:line="269" w:lineRule="auto"/>
        <w:ind w:firstLine="0"/>
        <w:jc w:val="center"/>
      </w:pPr>
      <w:r>
        <w:rPr>
          <w:rFonts w:ascii="Arial Unicode MS" w:hAnsi="Arial Unicode MS" w:eastAsia="Arial Unicode MS"/>
        </w:rPr>
        <w:t xml:space="preserve">表E-2 ICIC原版CDCP域内结果记录</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16"/>
        <w:gridCol w:w="1690"/>
        <w:gridCol w:w="1690"/>
        <w:gridCol w:w="1721"/>
        <w:gridCol w:w="1721"/>
      </w:tblGrid>
      <w:tr>
        <w:trPr>
          <w:tblHeader w:val="on"/>
          <w:cantSplit/>
        </w:trPr>
        <w:tc>
          <w:tcPr>
            <w:tcW w:type="dxa" w:w="281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方法</w:t>
            </w:r>
          </w:p>
        </w:tc>
        <w:tc>
          <w:tcPr>
            <w:tcW w:type="dxa" w:w="169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Comp-F1</w:t>
            </w:r>
          </w:p>
        </w:tc>
        <w:tc>
          <w:tcPr>
            <w:tcW w:type="dxa" w:w="169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Reason-F1</w:t>
            </w:r>
          </w:p>
        </w:tc>
        <w:tc>
          <w:tcPr>
            <w:tcW w:type="dxa" w:w="172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Evidence-F1</w:t>
            </w:r>
          </w:p>
        </w:tc>
        <w:tc>
          <w:tcPr>
            <w:tcW w:type="dxa" w:w="172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Relation-F1</w:t>
            </w:r>
          </w:p>
        </w:tc>
      </w:tr>
      <w:tr>
        <w:trPr>
          <w:cantSplit/>
        </w:trPr>
        <w:tc>
          <w:tcPr>
            <w:tcW w:type="dxa" w:w="281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FLAN T5-XXL</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72.68</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35.24</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28.41</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33.96</w:t>
            </w:r>
          </w:p>
        </w:tc>
      </w:tr>
      <w:tr>
        <w:trPr>
          <w:cantSplit/>
        </w:trPr>
        <w:tc>
          <w:tcPr>
            <w:tcW w:type="dxa" w:w="281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RoBERTa-large MTL</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68.52±0.58</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31.45±0.61</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25.72±0.73</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30.23±0.64</w:t>
            </w:r>
          </w:p>
        </w:tc>
      </w:tr>
      <w:tr>
        <w:trPr>
          <w:cantSplit/>
        </w:trPr>
        <w:tc>
          <w:tcPr>
            <w:tcW w:type="dxa" w:w="281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LLM Single-Pass</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71.35±0.48</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33.82±0.52</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27.15±0.68</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32.64±0.55</w:t>
            </w:r>
          </w:p>
        </w:tc>
      </w:tr>
      <w:tr>
        <w:trPr>
          <w:cantSplit/>
        </w:trPr>
        <w:tc>
          <w:tcPr>
            <w:tcW w:type="dxa" w:w="2816"/>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LLM w/ DAG Post-process</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72.14±0.50</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34.65±0.49</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28.02±0.63</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33.51±0.52</w:t>
            </w:r>
          </w:p>
        </w:tc>
      </w:tr>
      <w:tr>
        <w:trPr>
          <w:cantSplit/>
        </w:trPr>
        <w:tc>
          <w:tcPr>
            <w:tcW w:type="dxa" w:w="281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LLM w/ Self-Refine</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72.95±0.47</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35.58±0.48</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28.94±0.60</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34.42±0.50</w:t>
            </w:r>
          </w:p>
        </w:tc>
      </w:tr>
      <w:tr>
        <w:trPr>
          <w:cantSplit/>
        </w:trPr>
        <w:tc>
          <w:tcPr>
            <w:tcW w:type="dxa" w:w="2816"/>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MCR-BR (</w:t>
            </w:r>
            <m:oMath>
              <m:r>
                <m:t>K</m:t>
              </m:r>
              <m:r>
                <m:rPr>
                  <m:sty m:val="p"/>
                </m:rPr>
                <m:t>=</m:t>
              </m:r>
              <m:r>
                <m:t>1</m:t>
              </m:r>
            </m:oMath>
            <w:r>
              <w:rPr>
                <w:rFonts w:ascii="Arial Unicode MS" w:hAnsi="Arial Unicode MS"/>
                <w:b w:val="0"/>
                <w:sz w:val="17"/>
              </w:rPr>
              <w:t xml:space="preserve">, w/o correction)</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74.56±0.45</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36.94±0.46</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30.27±0.58</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35.78±0.48</w:t>
            </w:r>
          </w:p>
        </w:tc>
      </w:tr>
      <w:tr>
        <w:trPr>
          <w:cantSplit/>
        </w:trPr>
        <w:tc>
          <w:tcPr>
            <w:tcW w:type="dxa" w:w="2816"/>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MCR-BR (Verifier-only Rerank,</w:t>
            </w:r>
            <w:r>
              <w:rPr>
                <w:rFonts w:ascii="Arial Unicode MS" w:hAnsi="Arial Unicode MS"/>
                <w:b w:val="0"/>
                <w:sz w:val="17"/>
              </w:rPr>
              <w:t xml:space="preserve"> </w:t>
            </w:r>
            <m:oMath>
              <m:r>
                <m:t>K</m:t>
              </m:r>
              <m:r>
                <m:rPr>
                  <m:sty m:val="p"/>
                </m:rPr>
                <m:t>=</m:t>
              </m:r>
              <m:r>
                <m:t>3</m:t>
              </m:r>
            </m:oMath>
            <w:r>
              <w:rPr>
                <w:rFonts w:ascii="Arial Unicode MS" w:hAnsi="Arial Unicode MS"/>
                <w:b w:val="0"/>
                <w:sz w:val="17"/>
              </w:rPr>
              <w:t xml:space="preserve">)</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75.12±0.41</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37.85±0.44</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31.42±0.55</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36.64±0.45</w:t>
            </w:r>
          </w:p>
        </w:tc>
      </w:tr>
      <w:tr>
        <w:trPr>
          <w:cantSplit/>
        </w:trPr>
        <w:tc>
          <w:tcPr>
            <w:tcW w:type="dxa" w:w="281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MCR-BR (Full,</w:t>
            </w:r>
            <w:r>
              <w:rPr>
                <w:rFonts w:ascii="Arial Unicode MS" w:hAnsi="Arial Unicode MS"/>
                <w:b w:val="0"/>
                <w:bCs/>
                <w:sz w:val="17"/>
              </w:rPr>
              <w:t xml:space="preserve"> </w:t>
            </w:r>
            <m:oMath>
              <m:r>
                <m:t>K</m:t>
              </m:r>
              <m:r>
                <m:rPr>
                  <m:sty m:val="p"/>
                </m:rPr>
                <m:t>=</m:t>
              </m:r>
              <m:r>
                <m:t>3</m:t>
              </m:r>
            </m:oMath>
            <w:r>
              <w:rPr>
                <w:rFonts w:ascii="Arial Unicode MS" w:hAnsi="Arial Unicode MS"/>
                <w:b w:val="0"/>
                <w:bCs/>
                <w:sz w:val="17"/>
              </w:rPr>
              <w:t xml:space="preserve">)</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76.45±0.43</w:t>
            </w:r>
          </w:p>
        </w:tc>
        <w:tc>
          <w:tcPr>
            <w:tcW w:type="dxa" w:w="169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39.12±0.45</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32.86±0.57</w:t>
            </w:r>
          </w:p>
        </w:tc>
        <w:tc>
          <w:tcPr>
            <w:tcW w:type="dxa" w:w="17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38.17±0.46</w:t>
            </w:r>
          </w:p>
        </w:tc>
      </w:tr>
    </w:tbl>
    <w:p>
      <w:pPr>
        <w:pStyle w:val="BodyText"/>
        <w:spacing w:after="60" w:line="269" w:lineRule="auto"/>
      </w:pPr>
      <w:r>
        <w:t xml:space="preserve">对应ICIC公开版Table 1的CDCP部分[34]。该表不证明本文原生多前提超边的严格抽取性能。</w:t>
      </w:r>
    </w:p>
    <w:bookmarkEnd w:id="235"/>
    <w:bookmarkStart w:id="236" w:name="e.3-icic原版模块消融记录"/>
    <w:p>
      <w:pPr>
        <w:pStyle w:val="Heading2"/>
      </w:pPr>
      <w:r>
        <w:rPr>
          <w:rFonts w:ascii="Arial Unicode MS" w:hAnsi="Arial Unicode MS" w:eastAsia="Arial Unicode MS"/>
        </w:rPr>
        <w:t xml:space="preserve">E.3 ICIC原版模块消融记录</w:t>
      </w:r>
    </w:p>
    <w:p>
      <w:pPr>
        <w:pStyle w:val="Caption"/>
        <w:keepNext/>
        <w:spacing w:after="60" w:line="269" w:lineRule="auto"/>
        <w:ind w:firstLine="0"/>
        <w:jc w:val="center"/>
      </w:pPr>
      <w:r>
        <w:rPr>
          <w:rFonts w:ascii="Arial Unicode MS" w:hAnsi="Arial Unicode MS" w:eastAsia="Arial Unicode MS"/>
        </w:rPr>
        <w:t xml:space="preserve">表E-3 ICIC原版模块消融记录</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223"/>
        <w:gridCol w:w="1741"/>
        <w:gridCol w:w="1773"/>
        <w:gridCol w:w="1451"/>
        <w:gridCol w:w="1451"/>
      </w:tblGrid>
      <w:tr>
        <w:trPr>
          <w:tblHeader w:val="on"/>
          <w:cantSplit/>
        </w:trPr>
        <w:tc>
          <w:tcPr>
            <w:tcW w:type="dxa" w:w="322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配置</w:t>
            </w:r>
          </w:p>
        </w:tc>
        <w:tc>
          <w:tcPr>
            <w:tcW w:type="dxa" w:w="174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Comp-F1</w:t>
            </w:r>
          </w:p>
        </w:tc>
        <w:tc>
          <w:tcPr>
            <w:tcW w:type="dxa" w:w="177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Relation-F1</w:t>
            </w:r>
          </w:p>
        </w:tc>
        <w:tc>
          <w:tcPr>
            <w:tcW w:type="dxa" w:w="1451"/>
            <w:tcMar>
              <w:top w:type="dxa" w:w="55"/>
              <w:bottom w:type="dxa" w:w="55"/>
              <w:left w:type="dxa" w:w="65"/>
              <w:right w:type="dxa" w:w="65"/>
            </w:tcMar>
            <w:vAlign w:val="center"/>
            <w:shd w:fill="E7E6E6"/>
          </w:tcPr>
          <w:p>
            <w:pPr>
              <w:keepNext w:val="0"/>
              <w:keepLines/>
              <w:spacing w:before="0" w:after="0" w:line="254" w:lineRule="auto"/>
              <w:ind w:firstLine="0" w:left="0" w:right="0"/>
              <w:jc w:val="center"/>
            </w:pPr>
            <m:oMath>
              <m:r>
                <m:t>Δ</m:t>
              </m:r>
            </m:oMath>
            <w:r>
              <w:rPr>
                <w:rFonts w:ascii="Arial Unicode MS" w:hAnsi="Arial Unicode MS"/>
                <w:b/>
                <w:sz w:val="17"/>
              </w:rPr>
              <w:t xml:space="preserve">Comp</w:t>
            </w:r>
          </w:p>
        </w:tc>
        <w:tc>
          <w:tcPr>
            <w:tcW w:type="dxa" w:w="1451"/>
            <w:tcMar>
              <w:top w:type="dxa" w:w="55"/>
              <w:bottom w:type="dxa" w:w="55"/>
              <w:left w:type="dxa" w:w="65"/>
              <w:right w:type="dxa" w:w="65"/>
            </w:tcMar>
            <w:vAlign w:val="center"/>
            <w:shd w:fill="E7E6E6"/>
          </w:tcPr>
          <w:p>
            <w:pPr>
              <w:keepNext w:val="0"/>
              <w:keepLines/>
              <w:spacing w:before="0" w:after="0" w:line="254" w:lineRule="auto"/>
              <w:ind w:firstLine="0" w:left="0" w:right="0"/>
              <w:jc w:val="center"/>
            </w:pPr>
            <m:oMath>
              <m:r>
                <m:t>Δ</m:t>
              </m:r>
            </m:oMath>
            <w:r>
              <w:rPr>
                <w:rFonts w:ascii="Arial Unicode MS" w:hAnsi="Arial Unicode MS"/>
                <w:b/>
                <w:sz w:val="17"/>
              </w:rPr>
              <w:t xml:space="preserve">Rel</w:t>
            </w:r>
          </w:p>
        </w:tc>
      </w:tr>
      <w:tr>
        <w:trPr>
          <w:cantSplit/>
        </w:trPr>
        <w:tc>
          <w:tcPr>
            <w:tcW w:type="dxa" w:w="322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Full Method</w:t>
            </w:r>
          </w:p>
        </w:tc>
        <w:tc>
          <w:tcPr>
            <w:tcW w:type="dxa" w:w="174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83.71±0.42</w:t>
            </w:r>
          </w:p>
        </w:tc>
        <w:tc>
          <w:tcPr>
            <w:tcW w:type="dxa" w:w="177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64.83±0.38</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w:t>
            </w:r>
          </w:p>
        </w:tc>
      </w:tr>
      <w:tr>
        <w:trPr>
          <w:cantSplit/>
        </w:trPr>
        <w:tc>
          <w:tcPr>
            <w:tcW w:type="dxa" w:w="3223"/>
            <w:tcMar>
              <w:top w:type="dxa" w:w="55"/>
              <w:bottom w:type="dxa" w:w="55"/>
              <w:left w:type="dxa" w:w="65"/>
              <w:right w:type="dxa" w:w="65"/>
            </w:tcMar>
            <w:vAlign w:val="center"/>
          </w:tcPr>
          <w:p>
            <w:pPr>
              <w:keepNext w:val="0"/>
              <w:keepLines/>
              <w:spacing w:before="0" w:after="0" w:line="254" w:lineRule="auto"/>
              <w:ind w:firstLine="0" w:left="0" w:right="0"/>
              <w:jc w:val="center"/>
            </w:pPr>
            <m:oMath>
              <m:r>
                <m:t>K</m:t>
              </m:r>
              <m:r>
                <m:rPr>
                  <m:sty m:val="p"/>
                </m:rPr>
                <m:t>=</m:t>
              </m:r>
              <m:r>
                <m:t>1</m:t>
              </m:r>
            </m:oMath>
            <w:r>
              <w:rPr>
                <w:rFonts w:ascii="Arial Unicode MS" w:hAnsi="Arial Unicode MS"/>
                <w:b w:val="0"/>
                <w:sz w:val="17"/>
              </w:rPr>
              <w:t xml:space="preserve">, w/o correction</w:t>
            </w:r>
          </w:p>
        </w:tc>
        <w:tc>
          <w:tcPr>
            <w:tcW w:type="dxa" w:w="174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81.24±0.44</w:t>
            </w:r>
          </w:p>
        </w:tc>
        <w:tc>
          <w:tcPr>
            <w:tcW w:type="dxa" w:w="177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60.73±0.41</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-2.47</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-4.10</w:t>
            </w:r>
          </w:p>
        </w:tc>
      </w:tr>
      <w:tr>
        <w:trPr>
          <w:cantSplit/>
        </w:trPr>
        <w:tc>
          <w:tcPr>
            <w:tcW w:type="dxa" w:w="3223"/>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w/o Claim-specific Adapter</w:t>
            </w:r>
          </w:p>
        </w:tc>
        <w:tc>
          <w:tcPr>
            <w:tcW w:type="dxa" w:w="174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81.96±0.48</w:t>
            </w:r>
          </w:p>
        </w:tc>
        <w:tc>
          <w:tcPr>
            <w:tcW w:type="dxa" w:w="177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63.08±0.44</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-1.75</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-1.75</w:t>
            </w:r>
          </w:p>
        </w:tc>
      </w:tr>
      <w:tr>
        <w:trPr>
          <w:cantSplit/>
        </w:trPr>
        <w:tc>
          <w:tcPr>
            <w:tcW w:type="dxa" w:w="3223"/>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w/o Cue-aware Prompting</w:t>
            </w:r>
          </w:p>
        </w:tc>
        <w:tc>
          <w:tcPr>
            <w:tcW w:type="dxa" w:w="174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82.34±0.45</w:t>
            </w:r>
          </w:p>
        </w:tc>
        <w:tc>
          <w:tcPr>
            <w:tcW w:type="dxa" w:w="177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62.87±0.40</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-1.37</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-1.96</w:t>
            </w:r>
          </w:p>
        </w:tc>
      </w:tr>
      <w:tr>
        <w:trPr>
          <w:cantSplit/>
        </w:trPr>
        <w:tc>
          <w:tcPr>
            <w:tcW w:type="dxa" w:w="322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w/o Multi-Objective</w:t>
            </w:r>
          </w:p>
        </w:tc>
        <w:tc>
          <w:tcPr>
            <w:tcW w:type="dxa" w:w="174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82.89±0.43</w:t>
            </w:r>
          </w:p>
        </w:tc>
        <w:tc>
          <w:tcPr>
            <w:tcW w:type="dxa" w:w="177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63.54±0.39</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-0.82</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-1.29</w:t>
            </w:r>
          </w:p>
        </w:tc>
      </w:tr>
      <w:tr>
        <w:trPr>
          <w:cantSplit/>
        </w:trPr>
        <w:tc>
          <w:tcPr>
            <w:tcW w:type="dxa" w:w="322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w/o Validity Signal</w:t>
            </w:r>
            <w:r>
              <w:rPr>
                <w:rFonts w:ascii="Arial Unicode MS" w:hAnsi="Arial Unicode MS"/>
                <w:b w:val="0"/>
                <w:sz w:val="17"/>
              </w:rPr>
              <w:t xml:space="preserve"> </w:t>
            </w:r>
            <m:oMath>
              <m:sSub>
                <m:e>
                  <m:r>
                    <m:t>E</m:t>
                  </m:r>
                </m:e>
                <m:sub>
                  <m:r>
                    <m:t>v</m:t>
                  </m:r>
                  <m:r>
                    <m:t>a</m:t>
                  </m:r>
                  <m:r>
                    <m:t>l</m:t>
                  </m:r>
                </m:sub>
              </m:sSub>
            </m:oMath>
          </w:p>
        </w:tc>
        <w:tc>
          <w:tcPr>
            <w:tcW w:type="dxa" w:w="174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81.56±0.46</w:t>
            </w:r>
          </w:p>
        </w:tc>
        <w:tc>
          <w:tcPr>
            <w:tcW w:type="dxa" w:w="177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61.92±0.43</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-2.15</w:t>
            </w:r>
          </w:p>
        </w:tc>
        <w:tc>
          <w:tcPr>
            <w:tcW w:type="dxa" w:w="145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-2.91</w:t>
            </w:r>
          </w:p>
        </w:tc>
      </w:tr>
    </w:tbl>
    <w:p>
      <w:pPr>
        <w:pStyle w:val="BodyText"/>
        <w:spacing w:after="60" w:line="269" w:lineRule="auto"/>
      </w:pPr>
      <w:r>
        <w:t xml:space="preserve">对应ICIC公开版Table 2[34]。专项适配、线索、多候选及有效性消融不等于完整影响域、成对学习和事务闭合消融。</w:t>
      </w:r>
    </w:p>
    <w:bookmarkEnd w:id="236"/>
    <w:bookmarkStart w:id="237" w:name="e.4-icic原版验证器替换记录"/>
    <w:p>
      <w:pPr>
        <w:pStyle w:val="Heading2"/>
      </w:pPr>
      <w:r>
        <w:rPr>
          <w:rFonts w:ascii="Arial Unicode MS" w:hAnsi="Arial Unicode MS" w:eastAsia="Arial Unicode MS"/>
        </w:rPr>
        <w:t xml:space="preserve">E.4 ICIC原版验证器替换记录</w:t>
      </w:r>
    </w:p>
    <w:p>
      <w:pPr>
        <w:pStyle w:val="Caption"/>
        <w:keepNext/>
        <w:spacing w:after="60" w:line="269" w:lineRule="auto"/>
        <w:ind w:firstLine="0"/>
        <w:jc w:val="center"/>
      </w:pPr>
      <w:r>
        <w:rPr>
          <w:rFonts w:ascii="Arial Unicode MS" w:hAnsi="Arial Unicode MS" w:eastAsia="Arial Unicode MS"/>
        </w:rPr>
        <w:t xml:space="preserve">表E-4 ICIC原版验证器替换记录</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929"/>
        <w:gridCol w:w="1533"/>
        <w:gridCol w:w="1873"/>
        <w:gridCol w:w="1771"/>
        <w:gridCol w:w="1533"/>
      </w:tblGrid>
      <w:tr>
        <w:trPr>
          <w:tblHeader w:val="on"/>
          <w:cantSplit/>
        </w:trPr>
        <w:tc>
          <w:tcPr>
            <w:tcW w:type="dxa" w:w="2929"/>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验证器</w:t>
            </w:r>
          </w:p>
        </w:tc>
        <w:tc>
          <w:tcPr>
            <w:tcW w:type="dxa" w:w="153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Comp-F1</w:t>
            </w:r>
          </w:p>
        </w:tc>
        <w:tc>
          <w:tcPr>
            <w:tcW w:type="dxa" w:w="187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Relation-F1</w:t>
            </w:r>
          </w:p>
        </w:tc>
        <w:tc>
          <w:tcPr>
            <w:tcW w:type="dxa" w:w="177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Top-1一致率</w:t>
            </w:r>
          </w:p>
        </w:tc>
        <w:tc>
          <w:tcPr>
            <w:tcW w:type="dxa" w:w="153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修正触发率</w:t>
            </w:r>
          </w:p>
        </w:tc>
      </w:tr>
      <w:tr>
        <w:trPr>
          <w:cantSplit/>
        </w:trPr>
        <w:tc>
          <w:tcPr>
            <w:tcW w:type="dxa" w:w="292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Qwen2.5-7B（默认）</w:t>
            </w:r>
          </w:p>
        </w:tc>
        <w:tc>
          <w:tcPr>
            <w:tcW w:type="dxa" w:w="15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83.71</w:t>
            </w:r>
          </w:p>
        </w:tc>
        <w:tc>
          <w:tcPr>
            <w:tcW w:type="dxa" w:w="187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64.83</w:t>
            </w:r>
          </w:p>
        </w:tc>
        <w:tc>
          <w:tcPr>
            <w:tcW w:type="dxa" w:w="17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100.0%</w:t>
            </w:r>
          </w:p>
        </w:tc>
        <w:tc>
          <w:tcPr>
            <w:tcW w:type="dxa" w:w="15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42.5%</w:t>
            </w:r>
          </w:p>
        </w:tc>
      </w:tr>
      <w:tr>
        <w:trPr>
          <w:cantSplit/>
        </w:trPr>
        <w:tc>
          <w:tcPr>
            <w:tcW w:type="dxa" w:w="292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Llama-3-8B（独立）</w:t>
            </w:r>
          </w:p>
        </w:tc>
        <w:tc>
          <w:tcPr>
            <w:tcW w:type="dxa" w:w="15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83.71</w:t>
            </w:r>
          </w:p>
        </w:tc>
        <w:tc>
          <w:tcPr>
            <w:tcW w:type="dxa" w:w="187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64.55</w:t>
            </w:r>
          </w:p>
        </w:tc>
        <w:tc>
          <w:tcPr>
            <w:tcW w:type="dxa" w:w="17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94.2%</w:t>
            </w:r>
          </w:p>
        </w:tc>
        <w:tc>
          <w:tcPr>
            <w:tcW w:type="dxa" w:w="15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43.8%</w:t>
            </w:r>
          </w:p>
        </w:tc>
      </w:tr>
    </w:tbl>
    <w:p>
      <w:pPr>
        <w:pStyle w:val="BodyText"/>
        <w:spacing w:after="60" w:line="269" w:lineRule="auto"/>
      </w:pPr>
      <w:r>
        <w:t xml:space="preserve">对应ICIC公开版Table 3[34]。原二元验证器一致性不能替代新完整对象评分器的正确性校准；自比较的一致率不构成真实性证据。</w:t>
      </w:r>
    </w:p>
    <w:bookmarkEnd w:id="237"/>
    <w:bookmarkStart w:id="238" w:name="e.5-icic原版oracle记录"/>
    <w:p>
      <w:pPr>
        <w:pStyle w:val="Heading2"/>
      </w:pPr>
      <w:r>
        <w:rPr>
          <w:rFonts w:ascii="Arial Unicode MS" w:hAnsi="Arial Unicode MS" w:eastAsia="Arial Unicode MS"/>
        </w:rPr>
        <w:t xml:space="preserve">E.5 ICIC原版Oracle记录</w:t>
      </w:r>
    </w:p>
    <w:p>
      <w:pPr>
        <w:pStyle w:val="Caption"/>
        <w:keepNext/>
        <w:spacing w:after="60" w:line="269" w:lineRule="auto"/>
        <w:ind w:firstLine="0"/>
        <w:jc w:val="center"/>
      </w:pPr>
      <w:r>
        <w:rPr>
          <w:rFonts w:ascii="Arial Unicode MS" w:hAnsi="Arial Unicode MS" w:eastAsia="Arial Unicode MS"/>
        </w:rPr>
        <w:t xml:space="preserve">表E-5 ICIC原版Oracle记录</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75"/>
        <w:gridCol w:w="1846"/>
        <w:gridCol w:w="1880"/>
        <w:gridCol w:w="1538"/>
      </w:tblGrid>
      <w:tr>
        <w:trPr>
          <w:tblHeader w:val="on"/>
          <w:cantSplit/>
        </w:trPr>
        <w:tc>
          <w:tcPr>
            <w:tcW w:type="dxa" w:w="437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条件</w:t>
            </w:r>
          </w:p>
        </w:tc>
        <w:tc>
          <w:tcPr>
            <w:tcW w:type="dxa" w:w="184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Comp-F1</w:t>
            </w:r>
          </w:p>
        </w:tc>
        <w:tc>
          <w:tcPr>
            <w:tcW w:type="dxa" w:w="188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Relation-F1</w:t>
            </w:r>
          </w:p>
        </w:tc>
        <w:tc>
          <w:tcPr>
            <w:tcW w:type="dxa" w:w="1538"/>
            <w:tcMar>
              <w:top w:type="dxa" w:w="55"/>
              <w:bottom w:type="dxa" w:w="55"/>
              <w:left w:type="dxa" w:w="65"/>
              <w:right w:type="dxa" w:w="65"/>
            </w:tcMar>
            <w:vAlign w:val="center"/>
            <w:shd w:fill="E7E6E6"/>
          </w:tcPr>
          <w:p>
            <w:pPr>
              <w:keepNext w:val="0"/>
              <w:keepLines/>
              <w:spacing w:before="0" w:after="0" w:line="254" w:lineRule="auto"/>
              <w:ind w:firstLine="0" w:left="0" w:right="0"/>
              <w:jc w:val="center"/>
            </w:pPr>
            <m:oMath>
              <m:r>
                <m:t>Δ</m:t>
              </m:r>
            </m:oMath>
            <w:r>
              <w:rPr>
                <w:rFonts w:ascii="Arial Unicode MS" w:hAnsi="Arial Unicode MS"/>
                <w:b/>
                <w:sz w:val="17"/>
              </w:rPr>
              <w:t xml:space="preserve">Rel</w:t>
            </w:r>
          </w:p>
        </w:tc>
      </w:tr>
      <w:tr>
        <w:trPr>
          <w:cantSplit/>
        </w:trPr>
        <w:tc>
          <w:tcPr>
            <w:tcW w:type="dxa" w:w="43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预测组件与当前选择器</w:t>
            </w:r>
          </w:p>
        </w:tc>
        <w:tc>
          <w:tcPr>
            <w:tcW w:type="dxa" w:w="184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83.71±0.42</w:t>
            </w:r>
          </w:p>
        </w:tc>
        <w:tc>
          <w:tcPr>
            <w:tcW w:type="dxa" w:w="188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64.83±0.38</w:t>
            </w:r>
          </w:p>
        </w:tc>
        <w:tc>
          <w:tcPr>
            <w:tcW w:type="dxa" w:w="15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w:t>
            </w:r>
          </w:p>
        </w:tc>
      </w:tr>
      <w:tr>
        <w:trPr>
          <w:cantSplit/>
        </w:trPr>
        <w:tc>
          <w:tcPr>
            <w:tcW w:type="dxa" w:w="43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Candidate Oracle（</w:t>
            </w:r>
            <m:oMath>
              <m:r>
                <m:t>K</m:t>
              </m:r>
              <m:r>
                <m:rPr>
                  <m:sty m:val="p"/>
                </m:rPr>
                <m:t>=</m:t>
              </m:r>
              <m:r>
                <m:t>3</m:t>
              </m:r>
            </m:oMath>
            <w:r>
              <w:rPr>
                <w:rFonts w:ascii="Arial Unicode MS" w:hAnsi="Arial Unicode MS"/>
                <w:b w:val="0"/>
                <w:sz w:val="17"/>
              </w:rPr>
              <w:t xml:space="preserve">中择优）</w:t>
            </w:r>
          </w:p>
        </w:tc>
        <w:tc>
          <w:tcPr>
            <w:tcW w:type="dxa" w:w="184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85.12±0.36</w:t>
            </w:r>
          </w:p>
        </w:tc>
        <w:tc>
          <w:tcPr>
            <w:tcW w:type="dxa" w:w="188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67.24±0.34</w:t>
            </w:r>
          </w:p>
        </w:tc>
        <w:tc>
          <w:tcPr>
            <w:tcW w:type="dxa" w:w="15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+2.41</w:t>
            </w:r>
          </w:p>
        </w:tc>
      </w:tr>
      <w:tr>
        <w:trPr>
          <w:cantSplit/>
        </w:trPr>
        <w:tc>
          <w:tcPr>
            <w:tcW w:type="dxa" w:w="4375"/>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Condition Oracle（金标准组件输入）</w:t>
            </w:r>
          </w:p>
        </w:tc>
        <w:tc>
          <w:tcPr>
            <w:tcW w:type="dxa" w:w="184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w:t>
            </w:r>
          </w:p>
        </w:tc>
        <w:tc>
          <w:tcPr>
            <w:tcW w:type="dxa" w:w="188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78.42±0.35</w:t>
            </w:r>
          </w:p>
        </w:tc>
        <w:tc>
          <w:tcPr>
            <w:tcW w:type="dxa" w:w="15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+13.59</w:t>
            </w:r>
          </w:p>
        </w:tc>
      </w:tr>
      <w:tr>
        <w:trPr>
          <w:cantSplit/>
        </w:trPr>
        <w:tc>
          <w:tcPr>
            <w:tcW w:type="dxa" w:w="43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Output Oracle（金标准替换）</w:t>
            </w:r>
          </w:p>
        </w:tc>
        <w:tc>
          <w:tcPr>
            <w:tcW w:type="dxa" w:w="184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100.00</w:t>
            </w:r>
          </w:p>
        </w:tc>
        <w:tc>
          <w:tcPr>
            <w:tcW w:type="dxa" w:w="188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83.35±0.32</w:t>
            </w:r>
          </w:p>
        </w:tc>
        <w:tc>
          <w:tcPr>
            <w:tcW w:type="dxa" w:w="15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+18.52</w:t>
            </w:r>
          </w:p>
        </w:tc>
      </w:tr>
    </w:tbl>
    <w:p>
      <w:pPr>
        <w:pStyle w:val="BodyText"/>
        <w:spacing w:after="60" w:line="269" w:lineRule="auto"/>
      </w:pPr>
      <w:r>
        <w:t xml:space="preserve">对应ICIC公开版Table 5[34]。保留原名称，不改称新候选宇宙的可达率、原生超边上界或局部搜索最优值。</w:t>
      </w:r>
    </w:p>
    <w:bookmarkEnd w:id="238"/>
    <w:bookmarkStart w:id="239" w:name="e.6-icic原版修正行为记录"/>
    <w:p>
      <w:pPr>
        <w:pStyle w:val="Heading2"/>
      </w:pPr>
      <w:r>
        <w:rPr>
          <w:rFonts w:ascii="Arial Unicode MS" w:hAnsi="Arial Unicode MS" w:eastAsia="Arial Unicode MS"/>
        </w:rPr>
        <w:t xml:space="preserve">E.6 ICIC原版修正行为记录</w:t>
      </w:r>
    </w:p>
    <w:p>
      <w:pPr>
        <w:pStyle w:val="Caption"/>
        <w:keepNext/>
        <w:spacing w:after="60" w:line="269" w:lineRule="auto"/>
        <w:ind w:firstLine="0"/>
        <w:jc w:val="center"/>
      </w:pPr>
      <w:r>
        <w:rPr>
          <w:rFonts w:ascii="Arial Unicode MS" w:hAnsi="Arial Unicode MS" w:eastAsia="Arial Unicode MS"/>
        </w:rPr>
        <w:t xml:space="preserve">表E-6 ICIC原版修正行为记录</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800"/>
        <w:gridCol w:w="3838"/>
      </w:tblGrid>
      <w:tr>
        <w:trPr>
          <w:tblHeader w:val="on"/>
          <w:cantSplit/>
        </w:trPr>
        <w:tc>
          <w:tcPr>
            <w:tcW w:type="dxa" w:w="580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指标</w:t>
            </w:r>
          </w:p>
        </w:tc>
        <w:tc>
          <w:tcPr>
            <w:tcW w:type="dxa" w:w="383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结果</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修正触发率</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42.5%</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触发文档平均迭代轮数</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1.8</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触发文档平均动作数</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LocalRerun占比</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45.2%</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RemoveEdge占比</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24.8%</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Replace占比</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19.5%</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Promote/Demote占比</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10.5%</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无效ID比例</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18.5% → 2.1%</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JSON格式错误比例</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6.2% → 0.0%</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不连贯边比例</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22.4% → 5.8%</w:t>
            </w:r>
          </w:p>
        </w:tc>
      </w:tr>
      <w:tr>
        <w:trPr>
          <w:cantSplit/>
        </w:trPr>
        <w:tc>
          <w:tcPr>
            <w:tcW w:type="dxa" w:w="58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整体</w:t>
            </w:r>
            <m:oMath>
              <m:sSub>
                <m:e>
                  <m:r>
                    <m:t>E</m:t>
                  </m:r>
                </m:e>
                <m:sub>
                  <m:r>
                    <m:t>v</m:t>
                  </m:r>
                  <m:r>
                    <m:t>a</m:t>
                  </m:r>
                  <m:r>
                    <m:t>l</m:t>
                  </m:r>
                </m:sub>
              </m:sSub>
            </m:oMath>
            <w:r>
              <w:rPr>
                <w:rFonts w:ascii="Arial Unicode MS" w:hAnsi="Arial Unicode MS"/>
                <w:b w:val="0"/>
                <w:sz w:val="17"/>
              </w:rPr>
              <w:t xml:space="preserve">通过率</w:t>
            </w:r>
          </w:p>
        </w:tc>
        <w:tc>
          <w:tcPr>
            <w:tcW w:type="dxa" w:w="383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75.3% → 97.9%</w:t>
            </w:r>
          </w:p>
        </w:tc>
      </w:tr>
    </w:tbl>
    <w:p>
      <w:pPr>
        <w:pStyle w:val="BodyText"/>
        <w:spacing w:after="60" w:line="269" w:lineRule="auto"/>
      </w:pPr>
      <w:r>
        <w:t xml:space="preserve">对应ICIC公开版Table 6[34]。Replace及Promote/Demote明确属于BR-O，不能移作BR-C或BR-J的行为分布；动作占比不等于真实错误分布。</w:t>
      </w:r>
    </w:p>
    <w:bookmarkEnd w:id="239"/>
    <w:bookmarkStart w:id="240" w:name="e.7-mcr-br粗粒度组件映射"/>
    <w:p>
      <w:pPr>
        <w:pStyle w:val="Heading2"/>
      </w:pPr>
      <w:r>
        <w:rPr>
          <w:rFonts w:ascii="Arial Unicode MS" w:hAnsi="Arial Unicode MS" w:eastAsia="Arial Unicode MS"/>
        </w:rPr>
        <w:t xml:space="preserve">E.7 MCR-BR粗粒度组件映射</w:t>
      </w:r>
    </w:p>
    <w:p>
      <w:pPr>
        <w:pStyle w:val="Caption"/>
        <w:keepNext/>
        <w:spacing w:after="60" w:line="269" w:lineRule="auto"/>
        <w:ind w:firstLine="0"/>
        <w:jc w:val="center"/>
      </w:pPr>
      <w:r>
        <w:rPr>
          <w:rFonts w:ascii="Arial Unicode MS" w:hAnsi="Arial Unicode MS" w:eastAsia="Arial Unicode MS"/>
        </w:rPr>
        <w:t xml:space="preserve">表E-7 MCR-BR粗粒度组件映射</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42"/>
        <w:gridCol w:w="2582"/>
        <w:gridCol w:w="3614"/>
      </w:tblGrid>
      <w:tr>
        <w:trPr>
          <w:tblHeader w:val="on"/>
          <w:cantSplit/>
        </w:trPr>
        <w:tc>
          <w:tcPr>
            <w:tcW w:type="dxa" w:w="3442"/>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数据集原标签</w:t>
            </w:r>
          </w:p>
        </w:tc>
        <w:tc>
          <w:tcPr>
            <w:tcW w:type="dxa" w:w="2582"/>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粗粒度标签</w:t>
            </w:r>
          </w:p>
        </w:tc>
        <w:tc>
          <w:tcPr>
            <w:tcW w:type="dxa" w:w="361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映射依据</w:t>
            </w:r>
          </w:p>
        </w:tc>
      </w:tr>
      <w:tr>
        <w:trPr>
          <w:cantSplit/>
        </w:trPr>
        <w:tc>
          <w:tcPr>
            <w:tcW w:type="dxa" w:w="344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 MajorClaim</w:t>
            </w:r>
          </w:p>
        </w:tc>
        <w:tc>
          <w:tcPr>
            <w:tcW w:type="dxa" w:w="258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Claim</w:t>
            </w:r>
          </w:p>
        </w:tc>
        <w:tc>
          <w:tcPr>
            <w:tcW w:type="dxa" w:w="36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表达全文立场</w:t>
            </w:r>
          </w:p>
        </w:tc>
      </w:tr>
      <w:tr>
        <w:trPr>
          <w:cantSplit/>
        </w:trPr>
        <w:tc>
          <w:tcPr>
            <w:tcW w:type="dxa" w:w="344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 Claim</w:t>
            </w:r>
          </w:p>
        </w:tc>
        <w:tc>
          <w:tcPr>
            <w:tcW w:type="dxa" w:w="258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Claim</w:t>
            </w:r>
          </w:p>
        </w:tc>
        <w:tc>
          <w:tcPr>
            <w:tcW w:type="dxa" w:w="36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表达局部结论</w:t>
            </w:r>
          </w:p>
        </w:tc>
      </w:tr>
      <w:tr>
        <w:trPr>
          <w:cantSplit/>
        </w:trPr>
        <w:tc>
          <w:tcPr>
            <w:tcW w:type="dxa" w:w="344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 Premise</w:t>
            </w:r>
          </w:p>
        </w:tc>
        <w:tc>
          <w:tcPr>
            <w:tcW w:type="dxa" w:w="258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Premise</w:t>
            </w:r>
          </w:p>
        </w:tc>
        <w:tc>
          <w:tcPr>
            <w:tcW w:type="dxa" w:w="36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提供支撑或反驳理由</w:t>
            </w:r>
          </w:p>
        </w:tc>
      </w:tr>
      <w:tr>
        <w:trPr>
          <w:cantSplit/>
        </w:trPr>
        <w:tc>
          <w:tcPr>
            <w:tcW w:type="dxa" w:w="344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 Policy</w:t>
            </w:r>
          </w:p>
        </w:tc>
        <w:tc>
          <w:tcPr>
            <w:tcW w:type="dxa" w:w="258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Claim</w:t>
            </w:r>
          </w:p>
        </w:tc>
        <w:tc>
          <w:tcPr>
            <w:tcW w:type="dxa" w:w="36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提出行动方案或规范性主张</w:t>
            </w:r>
          </w:p>
        </w:tc>
      </w:tr>
      <w:tr>
        <w:trPr>
          <w:cantSplit/>
        </w:trPr>
        <w:tc>
          <w:tcPr>
            <w:tcW w:type="dxa" w:w="344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 Value</w:t>
            </w:r>
          </w:p>
        </w:tc>
        <w:tc>
          <w:tcPr>
            <w:tcW w:type="dxa" w:w="258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Claim</w:t>
            </w:r>
          </w:p>
        </w:tc>
        <w:tc>
          <w:tcPr>
            <w:tcW w:type="dxa" w:w="36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表达评价性或价值判断</w:t>
            </w:r>
          </w:p>
        </w:tc>
      </w:tr>
      <w:tr>
        <w:trPr>
          <w:cantSplit/>
        </w:trPr>
        <w:tc>
          <w:tcPr>
            <w:tcW w:type="dxa" w:w="344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 Fact</w:t>
            </w:r>
          </w:p>
        </w:tc>
        <w:tc>
          <w:tcPr>
            <w:tcW w:type="dxa" w:w="258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Premise</w:t>
            </w:r>
          </w:p>
        </w:tc>
        <w:tc>
          <w:tcPr>
            <w:tcW w:type="dxa" w:w="36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提供可核验事实</w:t>
            </w:r>
          </w:p>
        </w:tc>
      </w:tr>
      <w:tr>
        <w:trPr>
          <w:cantSplit/>
        </w:trPr>
        <w:tc>
          <w:tcPr>
            <w:tcW w:type="dxa" w:w="344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 Testimony</w:t>
            </w:r>
          </w:p>
        </w:tc>
        <w:tc>
          <w:tcPr>
            <w:tcW w:type="dxa" w:w="258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Premise</w:t>
            </w:r>
          </w:p>
        </w:tc>
        <w:tc>
          <w:tcPr>
            <w:tcW w:type="dxa" w:w="36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提供经验或证言</w:t>
            </w:r>
          </w:p>
        </w:tc>
      </w:tr>
      <w:tr>
        <w:trPr>
          <w:cantSplit/>
        </w:trPr>
        <w:tc>
          <w:tcPr>
            <w:tcW w:type="dxa" w:w="344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 Reference</w:t>
            </w:r>
          </w:p>
        </w:tc>
        <w:tc>
          <w:tcPr>
            <w:tcW w:type="dxa" w:w="2582"/>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Premise</w:t>
            </w:r>
          </w:p>
        </w:tc>
        <w:tc>
          <w:tcPr>
            <w:tcW w:type="dxa" w:w="36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提供外部来源</w:t>
            </w:r>
          </w:p>
        </w:tc>
      </w:tr>
    </w:tbl>
    <w:p>
      <w:pPr>
        <w:pStyle w:val="BodyText"/>
        <w:spacing w:after="60" w:line="269" w:lineRule="auto"/>
      </w:pPr>
      <w:r>
        <w:t xml:space="preserve">这是单独迁移协议的标签归约，不改变AAEC/CDCP的原生域内标签，也不证明标签在语义上天然等价。</w:t>
      </w:r>
    </w:p>
    <w:bookmarkEnd w:id="240"/>
    <w:bookmarkStart w:id="241" w:name="e.8-icic原版aaec到cdcp迁移记录"/>
    <w:p>
      <w:pPr>
        <w:pStyle w:val="Heading2"/>
      </w:pPr>
      <w:r>
        <w:rPr>
          <w:rFonts w:ascii="Arial Unicode MS" w:hAnsi="Arial Unicode MS" w:eastAsia="Arial Unicode MS"/>
        </w:rPr>
        <w:t xml:space="preserve">E.8 ICIC原版AAEC到CDCP迁移记录</w:t>
      </w:r>
    </w:p>
    <w:p>
      <w:pPr>
        <w:pStyle w:val="Caption"/>
        <w:keepNext/>
        <w:spacing w:after="60" w:line="269" w:lineRule="auto"/>
        <w:ind w:firstLine="0"/>
        <w:jc w:val="center"/>
      </w:pPr>
      <w:r>
        <w:rPr>
          <w:rFonts w:ascii="Arial Unicode MS" w:hAnsi="Arial Unicode MS" w:eastAsia="Arial Unicode MS"/>
        </w:rPr>
        <w:t xml:space="preserve">表E-8 ICIC原版AAEC到CDCP迁移记录</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183"/>
        <w:gridCol w:w="2879"/>
        <w:gridCol w:w="2576"/>
      </w:tblGrid>
      <w:tr>
        <w:trPr>
          <w:tblHeader w:val="on"/>
          <w:cantSplit/>
        </w:trPr>
        <w:tc>
          <w:tcPr>
            <w:tcW w:type="dxa" w:w="418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方法</w:t>
            </w:r>
          </w:p>
        </w:tc>
        <w:tc>
          <w:tcPr>
            <w:tcW w:type="dxa" w:w="2879"/>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Coarse Component-F1</w:t>
            </w:r>
          </w:p>
        </w:tc>
        <w:tc>
          <w:tcPr>
            <w:tcW w:type="dxa" w:w="257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Unlabeled Link-F1</w:t>
            </w:r>
          </w:p>
        </w:tc>
      </w:tr>
      <w:tr>
        <w:trPr>
          <w:cantSplit/>
        </w:trPr>
        <w:tc>
          <w:tcPr>
            <w:tcW w:type="dxa" w:w="4183"/>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FLAN T5-XXL（zero-shot）</w:t>
            </w:r>
          </w:p>
        </w:tc>
        <w:tc>
          <w:tcPr>
            <w:tcW w:type="dxa" w:w="287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52.34±0.65</w:t>
            </w:r>
          </w:p>
        </w:tc>
        <w:tc>
          <w:tcPr>
            <w:tcW w:type="dxa" w:w="257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31.25±0.72</w:t>
            </w:r>
          </w:p>
        </w:tc>
      </w:tr>
      <w:tr>
        <w:trPr>
          <w:cantSplit/>
        </w:trPr>
        <w:tc>
          <w:tcPr>
            <w:tcW w:type="dxa" w:w="4183"/>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LLM Single-Pass（zero-shot）</w:t>
            </w:r>
          </w:p>
        </w:tc>
        <w:tc>
          <w:tcPr>
            <w:tcW w:type="dxa" w:w="287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54.87±0.58</w:t>
            </w:r>
          </w:p>
        </w:tc>
        <w:tc>
          <w:tcPr>
            <w:tcW w:type="dxa" w:w="257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33.42±0.68</w:t>
            </w:r>
          </w:p>
        </w:tc>
      </w:tr>
      <w:tr>
        <w:trPr>
          <w:cantSplit/>
        </w:trPr>
        <w:tc>
          <w:tcPr>
            <w:tcW w:type="dxa" w:w="4183"/>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MCR-BR (</w:t>
            </w:r>
            <m:oMath>
              <m:r>
                <m:t>K</m:t>
              </m:r>
              <m:r>
                <m:rPr>
                  <m:sty m:val="p"/>
                </m:rPr>
                <m:t>=</m:t>
              </m:r>
              <m:r>
                <m:t>1</m:t>
              </m:r>
            </m:oMath>
            <w:r>
              <w:rPr>
                <w:rFonts w:ascii="Arial Unicode MS" w:hAnsi="Arial Unicode MS"/>
                <w:b w:val="0"/>
                <w:sz w:val="17"/>
              </w:rPr>
              <w:t xml:space="preserve">, w/o correction, zero-shot)</w:t>
            </w:r>
          </w:p>
        </w:tc>
        <w:tc>
          <w:tcPr>
            <w:tcW w:type="dxa" w:w="287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57.23±0.52</w:t>
            </w:r>
          </w:p>
        </w:tc>
        <w:tc>
          <w:tcPr>
            <w:tcW w:type="dxa" w:w="257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38.76±0.61</w:t>
            </w:r>
          </w:p>
        </w:tc>
      </w:tr>
      <w:tr>
        <w:trPr>
          <w:cantSplit/>
        </w:trPr>
        <w:tc>
          <w:tcPr>
            <w:tcW w:type="dxa" w:w="4183"/>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bCs/>
                <w:sz w:val="17"/>
              </w:rPr>
              <w:t xml:space="preserve">MCR-BR (Full, zero-shot)</w:t>
            </w:r>
          </w:p>
        </w:tc>
        <w:tc>
          <w:tcPr>
            <w:tcW w:type="dxa" w:w="287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60.78±0.48</w:t>
            </w:r>
          </w:p>
        </w:tc>
        <w:tc>
          <w:tcPr>
            <w:tcW w:type="dxa" w:w="257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bCs/>
                <w:sz w:val="17"/>
              </w:rPr>
              <w:t xml:space="preserve">43.21±0.55</w:t>
            </w:r>
          </w:p>
        </w:tc>
      </w:tr>
    </w:tbl>
    <w:p>
      <w:pPr>
        <w:pStyle w:val="BodyText"/>
        <w:spacing w:after="60" w:line="269" w:lineRule="auto"/>
      </w:pPr>
      <w:r>
        <w:t xml:space="preserve">对应ICIC公开版Table 4[34]。有向无标签Link-F1与严格原生关系F1分开；目标数据用途及多前提投影口径仍需历史材料核准。</w:t>
      </w:r>
    </w:p>
    <w:bookmarkEnd w:id="241"/>
    <w:bookmarkEnd w:id="242"/>
    <w:bookmarkStart w:id="246" w:name="附录f-符号与阅读索引"/>
    <w:p>
      <w:pPr>
        <w:pStyle w:val="Heading1"/>
        <w:pageBreakBefore/>
      </w:pPr>
      <w:r>
        <w:rPr>
          <w:rFonts w:ascii="Arial Unicode MS" w:hAnsi="Arial Unicode MS" w:eastAsia="Arial Unicode MS"/>
        </w:rPr>
        <w:t xml:space="preserve">附录F 符号与阅读索引</w:t>
      </w:r>
    </w:p>
    <w:bookmarkStart w:id="243" w:name="f.1-核心术语与符号"/>
    <w:p>
      <w:pPr>
        <w:pStyle w:val="Heading2"/>
      </w:pPr>
      <w:r>
        <w:rPr>
          <w:rFonts w:ascii="Arial Unicode MS" w:hAnsi="Arial Unicode MS" w:eastAsia="Arial Unicode MS"/>
        </w:rPr>
        <w:t xml:space="preserve">F.1 核心术语与符号</w:t>
      </w:r>
    </w:p>
    <w:p>
      <w:pPr>
        <w:pStyle w:val="FirstParagraph"/>
        <w:spacing w:after="60" w:line="269" w:lineRule="auto"/>
      </w:pPr>
      <w:r>
        <w:t xml:space="preserve">表F-1汇总方法中的对象及其局部作用域。本文保留各章公式的既有符号，但在首次定义和跨章节叙述中使用“输入文档”</w:t>
      </w:r>
      <w:r>
        <w:t xml:space="preserve">“</w:t>
      </w:r>
      <w:r>
        <w:t xml:space="preserve">改写集合</w:t>
      </w:r>
      <w:r>
        <w:t xml:space="preserve">”</w:t>
      </w:r>
      <w:r>
        <w:t xml:space="preserve">“</w:t>
      </w:r>
      <w:r>
        <w:t xml:space="preserve">变化对象集合</w:t>
      </w:r>
      <w:r>
        <w:t xml:space="preserve">”</w:t>
      </w:r>
      <w:r>
        <w:t xml:space="preserve">和“关系候选池”等完整名称。评价量使用Precision和Recall，与图对象集合分开命名。完整对象计数、概率评分、累计编辑与终态净变化分别使用对应符号，避免跨层混用。</w:t>
      </w:r>
    </w:p>
    <w:p>
      <w:pPr>
        <w:pStyle w:val="Caption"/>
        <w:keepNext/>
        <w:spacing w:after="60" w:line="269" w:lineRule="auto"/>
        <w:ind w:firstLine="0"/>
        <w:jc w:val="center"/>
      </w:pPr>
      <w:r>
        <w:rPr>
          <w:rFonts w:ascii="Arial Unicode MS" w:hAnsi="Arial Unicode MS" w:eastAsia="Arial Unicode MS"/>
        </w:rPr>
        <w:t xml:space="preserve">表F-1 核心符号及其语义</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685"/>
        <w:gridCol w:w="3969"/>
      </w:tblGrid>
      <w:tr>
        <w:trPr>
          <w:tblHeader w:val="on"/>
          <w:cantSplit/>
        </w:trPr>
        <w:tc>
          <w:tcPr>
            <w:tcW w:type="dxa" w:w="198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符号或术语</w:t>
            </w:r>
          </w:p>
        </w:tc>
        <w:tc>
          <w:tcPr>
            <w:tcW w:type="dxa" w:w="368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含义</w:t>
            </w:r>
          </w:p>
        </w:tc>
        <w:tc>
          <w:tcPr>
            <w:tcW w:type="dxa" w:w="3969"/>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使用边界</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r>
                <m:t>x</m:t>
              </m:r>
            </m:oMath>
            <w:r>
              <w:rPr>
                <w:rFonts w:ascii="Arial Unicode MS" w:hAnsi="Arial Unicode MS"/>
                <w:b w:val="0"/>
                <w:sz w:val="17"/>
              </w:rPr>
              <w:t xml:space="preserve">或</w:t>
            </w:r>
            <m:oMath>
              <m:r>
                <m:t>D</m:t>
              </m:r>
            </m:oMath>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输入原始文档</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推理修正不改写原文；第四章</w:t>
            </w:r>
            <m:oMath>
              <m:r>
                <m:t>D</m:t>
              </m:r>
            </m:oMath>
            <w:r>
              <w:rPr>
                <w:rFonts w:ascii="Arial Unicode MS" w:hAnsi="Arial Unicode MS"/>
                <w:b w:val="0"/>
                <w:sz w:val="17"/>
              </w:rPr>
              <w:t xml:space="preserve">另指删除集合</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r>
                <m:t>c</m:t>
              </m:r>
              <m:r>
                <m:rPr>
                  <m:sty m:val="p"/>
                </m:rPr>
                <m:t>=</m:t>
              </m:r>
              <m:d>
                <m:dPr>
                  <m:begChr m:val="("/>
                  <m:endChr m:val=")"/>
                  <m:sepChr m:val=""/>
                  <m:grow/>
                </m:dPr>
                <m:e>
                  <m:r>
                    <m:t>d</m:t>
                  </m:r>
                  <m:r>
                    <m:t>,</m:t>
                  </m:r>
                  <m:r>
                    <m:t>b</m:t>
                  </m:r>
                  <m:r>
                    <m:rPr>
                      <m:sty m:val="p"/>
                    </m:rPr>
                    <m:t>,</m:t>
                  </m:r>
                  <m:r>
                    <m:t>e</m:t>
                  </m:r>
                  <m:r>
                    <m:rPr>
                      <m:sty m:val="p"/>
                    </m:rPr>
                    <m:t>,</m:t>
                  </m:r>
                  <m:r>
                    <m:t>t</m:t>
                  </m:r>
                </m:e>
              </m:d>
            </m:oMath>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文档版本、字符起止位置及原生类型组成的规范组件</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显示ID不替代文档版本、字符区间与类型构成的身份</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r>
                <m:t>G</m:t>
              </m:r>
              <m:r>
                <m:rPr>
                  <m:sty m:val="p"/>
                </m:rPr>
                <m:t>=</m:t>
              </m:r>
              <m:d>
                <m:dPr>
                  <m:begChr m:val="("/>
                  <m:endChr m:val=")"/>
                  <m:sepChr m:val=""/>
                  <m:grow/>
                </m:dPr>
                <m:e>
                  <m:r>
                    <m:t>C</m:t>
                  </m:r>
                  <m:r>
                    <m:rPr>
                      <m:sty m:val="p"/>
                    </m:rPr>
                    <m:t>,</m:t>
                  </m:r>
                  <m:r>
                    <m:t>R</m:t>
                  </m:r>
                </m:e>
              </m:d>
            </m:oMath>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组件集合及完整关系集合</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CDCP关系保留完整源集合</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r>
                <m:t>A</m:t>
              </m:r>
            </m:oMath>
            <w:r>
              <w:rPr>
                <w:rFonts w:ascii="Arial Unicode MS" w:hAnsi="Arial Unicode MS"/>
                <w:b w:val="0"/>
                <w:sz w:val="17"/>
              </w:rPr>
              <w:t xml:space="preserve"> </w:t>
            </w:r>
            <w:r>
              <w:rPr>
                <w:rFonts w:ascii="Arial Unicode MS" w:hAnsi="Arial Unicode MS"/>
                <w:b w:val="0"/>
                <w:sz w:val="17"/>
              </w:rPr>
              <w:t xml:space="preserve">第三章</w:t>
            </w:r>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允许替换文字的组件集合</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不等于连续段落，不由测试标签选择</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r>
                <m:t>Ω</m:t>
              </m:r>
              <m:d>
                <m:dPr>
                  <m:begChr m:val="("/>
                  <m:endChr m:val=")"/>
                  <m:sepChr m:val=""/>
                  <m:grow/>
                </m:dPr>
                <m:e>
                  <m:r>
                    <m:t>C</m:t>
                  </m:r>
                </m:e>
              </m:d>
            </m:oMath>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协议声明的合法端点组合宇宙</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有限范围，不枚举任意潜在语义联系</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sSub>
                <m:e>
                  <m:r>
                    <m:rPr>
                      <m:sty m:val="p"/>
                      <m:scr m:val="script"/>
                    </m:rPr>
                    <m:t>D</m:t>
                  </m:r>
                </m:e>
                <m:sub>
                  <m:r>
                    <m:t>A</m:t>
                  </m:r>
                </m:sub>
              </m:sSub>
            </m:oMath>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至少一个端点属于</w:t>
            </w:r>
            <m:oMath>
              <m:r>
                <m:t>A</m:t>
              </m:r>
            </m:oMath>
            <w:r>
              <w:rPr>
                <w:rFonts w:ascii="Arial Unicode MS" w:hAnsi="Arial Unicode MS"/>
                <w:b w:val="0"/>
                <w:sz w:val="17"/>
              </w:rPr>
              <w:t xml:space="preserve">的因素集合</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同时包含内部与跨边界组合</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内部与跨边界</w:t>
            </w:r>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端点相对于</w:t>
            </w:r>
            <m:oMath>
              <m:r>
                <m:t>A</m:t>
              </m:r>
            </m:oMath>
            <w:r>
              <w:rPr>
                <w:rFonts w:ascii="Arial Unicode MS" w:hAnsi="Arial Unicode MS"/>
                <w:b w:val="0"/>
                <w:sz w:val="17"/>
              </w:rPr>
              <w:t xml:space="preserve">的位置类别</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与是否有关系标签是两个维度</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NONE</w:t>
            </w:r>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可审核语义因素无关系，或推理槽位未选正关系</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联合源未知子集不作语义负例；严格对象不匹配另计</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NULL</w:t>
            </w:r>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候选跨度不被选为组件</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不同于关系槽位的NONE</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r>
                <m:t>ϕ</m:t>
              </m:r>
            </m:oMath>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原文到增强文的组件对应</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组件双射，不要求token一一对应</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sSub>
                <m:e>
                  <m:r>
                    <m:t>G</m:t>
                  </m:r>
                </m:e>
                <m:sub>
                  <m:r>
                    <m:t>0</m:t>
                  </m:r>
                </m:sub>
              </m:sSub>
            </m:oMath>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经共同合法化得到的初始图</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可能不同于原始重排序胜者</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r>
                <m:t>U</m:t>
              </m:r>
              <m:r>
                <m:rPr>
                  <m:sty m:val="p"/>
                </m:rPr>
                <m:t>,</m:t>
              </m:r>
              <m:r>
                <m:rPr>
                  <m:sty m:val="p"/>
                  <m:scr m:val="script"/>
                </m:rPr>
                <m:t>V</m:t>
              </m:r>
              <m:r>
                <m:rPr>
                  <m:sty m:val="p"/>
                </m:rPr>
                <m:t>,</m:t>
              </m:r>
              <m:r>
                <m:t>P</m:t>
              </m:r>
            </m:oMath>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跨度、带类型组件及关系候选宇宙</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修正前固定；</w:t>
            </w:r>
            <m:oMath>
              <m:r>
                <m:t>P</m:t>
              </m:r>
            </m:oMath>
            <w:r>
              <w:rPr>
                <w:rFonts w:ascii="Arial Unicode MS" w:hAnsi="Arial Unicode MS"/>
                <w:b w:val="0"/>
                <w:sz w:val="17"/>
              </w:rPr>
              <w:t xml:space="preserve">在此不是精确率</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r>
                <m:t>P</m:t>
              </m:r>
              <m:r>
                <m:rPr>
                  <m:sty m:val="p"/>
                </m:rPr>
                <m:t>,</m:t>
              </m:r>
              <m:r>
                <m:t>R</m:t>
              </m:r>
              <m:r>
                <m:rPr>
                  <m:sty m:val="p"/>
                </m:rPr>
                <m:t>,</m:t>
              </m:r>
              <m:sSub>
                <m:e>
                  <m:r>
                    <m:t>F</m:t>
                  </m:r>
                </m:e>
                <m:sub>
                  <m:r>
                    <m:t>1</m:t>
                  </m:r>
                </m:sub>
              </m:sSub>
            </m:oMath>
            <w:r>
              <w:rPr>
                <w:rFonts w:ascii="Arial Unicode MS" w:hAnsi="Arial Unicode MS"/>
                <w:b w:val="0"/>
                <w:sz w:val="17"/>
              </w:rPr>
              <w:t xml:space="preserve"> </w:t>
            </w:r>
            <w:r>
              <w:rPr>
                <w:rFonts w:ascii="Arial Unicode MS" w:hAnsi="Arial Unicode MS"/>
                <w:b w:val="0"/>
                <w:sz w:val="17"/>
              </w:rPr>
              <w:t xml:space="preserve">评价指标</w:t>
            </w:r>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精确率、召回率和F1</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只在评价公式中作指标解释；正文优先使用Precision和Recall</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构造验证</w:t>
            </w:r>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人工定义对象与分数上的真实程序执行</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只验证规约，不是语料实验、模型预测或人工审计</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r>
                <m:t>D</m:t>
              </m:r>
              <m:r>
                <m:rPr>
                  <m:sty m:val="p"/>
                </m:rPr>
                <m:t>,</m:t>
              </m:r>
              <m:r>
                <m:t>B</m:t>
              </m:r>
            </m:oMath>
            <w:r>
              <w:rPr>
                <w:rFonts w:ascii="Arial Unicode MS" w:hAnsi="Arial Unicode MS"/>
                <w:b w:val="0"/>
                <w:sz w:val="17"/>
              </w:rPr>
              <w:t xml:space="preserve"> </w:t>
            </w:r>
            <w:r>
              <w:rPr>
                <w:rFonts w:ascii="Arial Unicode MS" w:hAnsi="Arial Unicode MS"/>
                <w:b w:val="0"/>
                <w:sz w:val="17"/>
              </w:rPr>
              <w:t xml:space="preserve">第四章</w:t>
            </w:r>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删除旧组件和加入新组件的集合</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冲突扩张后核对预算；</w:t>
            </w:r>
            <m:oMath>
              <m:r>
                <m:t>A</m:t>
              </m:r>
              <m:r>
                <m:rPr>
                  <m:sty m:val="p"/>
                </m:rPr>
                <m:t>=</m:t>
              </m:r>
              <m:r>
                <m:t>D</m:t>
              </m:r>
              <m:r>
                <m:rPr>
                  <m:sty m:val="p"/>
                </m:rPr>
                <m:t>∪</m:t>
              </m:r>
              <m:r>
                <m:t>B</m:t>
              </m:r>
            </m:oMath>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sSub>
                <m:e>
                  <m:r>
                    <m:t>q</m:t>
                  </m:r>
                </m:e>
                <m:sub>
                  <m:r>
                    <m:t>C</m:t>
                  </m:r>
                </m:sub>
              </m:sSub>
              <m:r>
                <m:rPr>
                  <m:sty m:val="p"/>
                </m:rPr>
                <m:t>,</m:t>
              </m:r>
              <m:sSub>
                <m:e>
                  <m:r>
                    <m:t>q</m:t>
                  </m:r>
                </m:e>
                <m:sub>
                  <m:r>
                    <m:t>R</m:t>
                  </m:r>
                </m:sub>
              </m:sSub>
            </m:oMath>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完整组件与关系对象的正确性估计</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不同于给定金标跨度的训练标签概率</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m:oMath>
              <m:sSub>
                <m:e>
                  <m:r>
                    <m:t>Φ</m:t>
                  </m:r>
                </m:e>
                <m:sub>
                  <m:r>
                    <m:t>C</m:t>
                  </m:r>
                </m:sub>
              </m:sSub>
              <m:r>
                <m:rPr>
                  <m:sty m:val="p"/>
                </m:rPr>
                <m:t>,</m:t>
              </m:r>
              <m:sSub>
                <m:e>
                  <m:r>
                    <m:t>Φ</m:t>
                  </m:r>
                </m:e>
                <m:sub>
                  <m:r>
                    <m:t>R</m:t>
                  </m:r>
                </m:sub>
              </m:sSub>
              <m:r>
                <m:rPr>
                  <m:sty m:val="p"/>
                </m:rPr>
                <m:t>,</m:t>
              </m:r>
              <m:r>
                <m:t>Φ</m:t>
              </m:r>
            </m:oMath>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组件、关系及总代理效用</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用于接受决策，不等于真实F1</w:t>
            </w:r>
          </w:p>
        </w:tc>
      </w:tr>
      <w:tr>
        <w:trPr>
          <w:cantSplit/>
        </w:trPr>
        <w:tc>
          <w:tcPr>
            <w:tcW w:type="dxa" w:w="198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no-op</w:t>
            </w:r>
          </w:p>
        </w:tc>
        <w:tc>
          <w:tcPr>
            <w:tcW w:type="dxa" w:w="368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不提交修改而保留当前合法图</w:t>
            </w:r>
          </w:p>
        </w:tc>
        <w:tc>
          <w:tcPr>
            <w:tcW w:type="dxa" w:w="396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独立回退选择，不强制发生编辑</w:t>
            </w:r>
          </w:p>
        </w:tc>
      </w:tr>
    </w:tbl>
    <w:bookmarkEnd w:id="243"/>
    <w:bookmarkStart w:id="244" w:name="f.2-实现接口补充"/>
    <w:p>
      <w:pPr>
        <w:pStyle w:val="Heading2"/>
      </w:pPr>
      <w:r>
        <w:rPr>
          <w:rFonts w:ascii="Arial Unicode MS" w:hAnsi="Arial Unicode MS" w:eastAsia="Arial Unicode MS"/>
        </w:rPr>
        <w:t xml:space="preserve">F.2 实现接口补充</w:t>
      </w:r>
    </w:p>
    <w:p>
      <w:pPr>
        <w:pStyle w:val="FirstParagraph"/>
        <w:spacing w:after="60" w:line="269" w:lineRule="auto"/>
      </w:pPr>
      <w:r>
        <w:t xml:space="preserve">标注输运按原字符区间替换指定槽位，回填全文后重新分词并更新全部组件位置。字符坐标、评价token和模型子词分别保存映射。构造第三章的组件子词集合</w:t>
      </w:r>
      <w:r>
        <w:t xml:space="preserve"> </w:t>
      </w:r>
      <m:oMath>
        <m:sSub>
          <m:e>
            <m:r>
              <m:t>B</m:t>
            </m:r>
          </m:e>
          <m:sub>
            <m:r>
              <m:t>x</m:t>
            </m:r>
          </m:sub>
        </m:sSub>
        <m:d>
          <m:dPr>
            <m:begChr m:val="("/>
            <m:endChr m:val=")"/>
            <m:sepChr m:val=""/>
            <m:grow/>
          </m:dPr>
          <m:e>
            <m:r>
              <m:t>c</m:t>
            </m:r>
          </m:e>
        </m:d>
      </m:oMath>
      <w:r>
        <w:t xml:space="preserve"> </w:t>
      </w:r>
      <w:r>
        <w:t xml:space="preserve">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pStyle w:val="BodyText"/>
        <w:spacing w:after="60" w:line="269" w:lineRule="auto"/>
      </w:pPr>
      <w:r>
        <w:t xml:space="preserve">训练辅助头只读取回答开始前的输入表示，</w:t>
      </w:r>
      <m:oMath>
        <m:sSubSup>
          <m:e>
            <m:r>
              <m:t>h</m:t>
            </m:r>
          </m:e>
          <m:sub>
            <m:r>
              <m:t>e</m:t>
            </m:r>
            <m:r>
              <m:t>n</m:t>
            </m:r>
            <m:r>
              <m:t>d</m:t>
            </m:r>
          </m:sub>
          <m:sup>
            <m:r>
              <m:t>x</m:t>
            </m:r>
          </m:sup>
        </m:sSubSup>
      </m:oMath>
      <w:r>
        <w:t xml:space="preserve"> </w:t>
      </w:r>
      <w:r>
        <w:t xml:space="preserve">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BodyText"/>
        <w:spacing w:after="60" w:line="269" w:lineRule="auto"/>
      </w:pPr>
      <w:r>
        <w:t xml:space="preserve">推理侧的冲突闭合与关系依赖域遵循4.4节，队列采用状态键、六类轮转及独立批长，预算、提交及回退遵循4.5.1节；顺序对照按4.6.1定义两个提交阶段，并按附录B.3区分外层计数和阶段账本。若报告Oracle，按4.6.2节固定候选及约束并离线优化金标匹配目标；本文仅报告覆盖，没有新增Oracle成绩。模块接口分别为SelectRegion、BuildCandidates、EnumerateQueue、ScoreObject、EvaluateTransaction、Commit和EvaluateCounts；输入输出及错误身份由附录A、B约束。</w:t>
      </w:r>
    </w:p>
    <w:bookmarkEnd w:id="244"/>
    <w:bookmarkStart w:id="245" w:name="f.3-研究问题阅读索引"/>
    <w:p>
      <w:pPr>
        <w:pStyle w:val="Heading2"/>
      </w:pPr>
      <w:r>
        <w:rPr>
          <w:rFonts w:ascii="Arial Unicode MS" w:hAnsi="Arial Unicode MS" w:eastAsia="Arial Unicode MS"/>
        </w:rPr>
        <w:t xml:space="preserve">F.3 研究问题阅读索引</w:t>
      </w:r>
    </w:p>
    <w:p>
      <w:pPr>
        <w:pStyle w:val="Caption"/>
        <w:keepNext/>
        <w:spacing w:after="60" w:line="269" w:lineRule="auto"/>
        <w:ind w:firstLine="0"/>
        <w:jc w:val="center"/>
      </w:pPr>
      <w:r>
        <w:rPr>
          <w:rFonts w:ascii="Arial Unicode MS" w:hAnsi="Arial Unicode MS" w:eastAsia="Arial Unicode MS"/>
        </w:rPr>
        <w:t xml:space="preserve">表F-2 方法与实验的阅读索引</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345"/>
        <w:gridCol w:w="4025"/>
      </w:tblGrid>
      <w:tr>
        <w:trPr>
          <w:tblHeader w:val="on"/>
          <w:cantSplit/>
        </w:trPr>
        <w:tc>
          <w:tcPr>
            <w:tcW w:type="dxa" w:w="226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问题</w:t>
            </w:r>
          </w:p>
        </w:tc>
        <w:tc>
          <w:tcPr>
            <w:tcW w:type="dxa" w:w="334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方法入口</w:t>
            </w:r>
          </w:p>
        </w:tc>
        <w:tc>
          <w:tcPr>
            <w:tcW w:type="dxa" w:w="402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结果或解释</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改写会影响哪些关系</w:t>
            </w:r>
          </w:p>
        </w:tc>
        <w:tc>
          <w:tcPr>
            <w:tcW w:type="dxa" w:w="334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3.3.1影响域</w:t>
            </w:r>
          </w:p>
        </w:tc>
        <w:tc>
          <w:tcPr>
            <w:tcW w:type="dxa" w:w="402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3.6.3审核与漂移诊断</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哪些增强标签进入学习</w:t>
            </w:r>
          </w:p>
        </w:tc>
        <w:tc>
          <w:tcPr>
            <w:tcW w:type="dxa" w:w="334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3.3.3因素掩码、3.4损失</w:t>
            </w:r>
          </w:p>
        </w:tc>
        <w:tc>
          <w:tcPr>
            <w:tcW w:type="dxa" w:w="402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3.6.2—3.6.3学习比较与审核分层</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如何保留原生候选</w:t>
            </w:r>
          </w:p>
        </w:tc>
        <w:tc>
          <w:tcPr>
            <w:tcW w:type="dxa" w:w="334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4.2分离解析和有限提案</w:t>
            </w:r>
          </w:p>
        </w:tc>
        <w:tc>
          <w:tcPr>
            <w:tcW w:type="dxa" w:w="402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4.6.2候选覆盖统计</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如何区分缺失评分与低分</w:t>
            </w:r>
          </w:p>
        </w:tc>
        <w:tc>
          <w:tcPr>
            <w:tcW w:type="dxa" w:w="334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4.3.1完整对象接口</w:t>
            </w:r>
          </w:p>
        </w:tc>
        <w:tc>
          <w:tcPr>
            <w:tcW w:type="dxa" w:w="402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4.6.3评分质量与缺分诊断</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是否需要集合或局部求解</w:t>
            </w:r>
          </w:p>
        </w:tc>
        <w:tc>
          <w:tcPr>
            <w:tcW w:type="dxa" w:w="334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4.5.2全局模型、4.5.4路由规则</w:t>
            </w:r>
          </w:p>
        </w:tc>
        <w:tc>
          <w:tcPr>
            <w:tcW w:type="dxa" w:w="4025"/>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4.6.1、4.6.3参考运行与4.6.4原稿诊断</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相对ICIC深化在哪里</w:t>
            </w:r>
          </w:p>
        </w:tc>
        <w:tc>
          <w:tcPr>
            <w:tcW w:type="dxa" w:w="334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1.3（含表1-2）及附录J的S2.1</w:t>
            </w:r>
          </w:p>
        </w:tc>
        <w:tc>
          <w:tcPr>
            <w:tcW w:type="dxa" w:w="402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第三、四章专门比较与第五章四格</w:t>
            </w:r>
          </w:p>
        </w:tc>
      </w:tr>
      <w:tr>
        <w:trPr>
          <w:cantSplit/>
        </w:trPr>
        <w:tc>
          <w:tcPr>
            <w:tcW w:type="dxa" w:w="226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数值来自哪里</w:t>
            </w:r>
          </w:p>
        </w:tc>
        <w:tc>
          <w:tcPr>
            <w:tcW w:type="dxa" w:w="334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表S2-1、附录A.5、H.1</w:t>
            </w:r>
          </w:p>
        </w:tc>
        <w:tc>
          <w:tcPr>
            <w:tcW w:type="dxa" w:w="402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配套计数、成员及真实输出文件</w:t>
            </w:r>
          </w:p>
        </w:tc>
      </w:tr>
    </w:tbl>
    <w:bookmarkEnd w:id="245"/>
    <w:bookmarkEnd w:id="246"/>
    <w:bookmarkStart w:id="251" w:name="附录g-具名外部系统比较"/>
    <w:p>
      <w:pPr>
        <w:pStyle w:val="Heading1"/>
        <w:pageBreakBefore/>
      </w:pPr>
      <w:r>
        <w:rPr>
          <w:rFonts w:ascii="Arial Unicode MS" w:hAnsi="Arial Unicode MS" w:eastAsia="Arial Unicode MS"/>
        </w:rPr>
        <w:t xml:space="preserve">附录G 具名外部系统比较</w:t>
      </w:r>
    </w:p>
    <w:bookmarkStart w:id="247" w:name="g.1-方法选择"/>
    <w:p>
      <w:pPr>
        <w:pStyle w:val="Heading2"/>
      </w:pPr>
      <w:r>
        <w:rPr>
          <w:rFonts w:ascii="Arial Unicode MS" w:hAnsi="Arial Unicode MS" w:eastAsia="Arial Unicode MS"/>
        </w:rPr>
        <w:t xml:space="preserve">G.1 方法选择</w:t>
      </w:r>
    </w:p>
    <w:p>
      <w:pPr>
        <w:pStyle w:val="FirstParagraph"/>
        <w:spacing w:after="60" w:line="269" w:lineRule="auto"/>
      </w:pPr>
      <w:r>
        <w:t xml:space="preserve">外部端到端系统为UniASA[48]及Kawarada等的TextToText[7]。二者覆盖统一序列生成与直接文本生成接口，使用相同官方测试划分及本文严格原生评价器；其公开骨干和任务结构保留。QOS式适配用于第三章的数据构造近邻，不替代外部端到端对照。其他文献只作机制定位，不填入未登记的结果行。</w:t>
      </w:r>
    </w:p>
    <w:bookmarkEnd w:id="247"/>
    <w:bookmarkStart w:id="248" w:name="g.2-原生格式转换"/>
    <w:p>
      <w:pPr>
        <w:pStyle w:val="Heading2"/>
      </w:pPr>
      <w:r>
        <w:rPr>
          <w:rFonts w:ascii="Arial Unicode MS" w:hAnsi="Arial Unicode MS" w:eastAsia="Arial Unicode MS"/>
        </w:rPr>
        <w:t xml:space="preserve">G.2 原生格式转换</w:t>
      </w:r>
    </w:p>
    <w:p>
      <w:pPr>
        <w:pStyle w:val="FirstParagraph"/>
        <w:spacing w:after="60" w:line="269" w:lineRule="auto"/>
      </w:pPr>
      <w:r>
        <w:t xml:space="preserve">AAEC预测的stance作为属性保留，不据它生成新的普通关系；字符跨度和组件类型按预测本身转换，解析不到的端点不查金标补回。CDCP统一sources数组并规范排序，当前外部适配接口最多表达3个源成员；更长源集合发生收缩时，仍按收缩后的预测对象计FP和完整金标FN，不把它展开为二元TP。</w:t>
      </w:r>
    </w:p>
    <w:p>
      <w:pPr>
        <w:pStyle w:val="Caption"/>
        <w:keepNext/>
        <w:spacing w:after="60" w:line="269" w:lineRule="auto"/>
        <w:ind w:firstLine="0"/>
        <w:jc w:val="center"/>
      </w:pPr>
      <w:r>
        <w:rPr>
          <w:rFonts w:ascii="Arial Unicode MS" w:hAnsi="Arial Unicode MS" w:eastAsia="Arial Unicode MS"/>
        </w:rPr>
        <w:t xml:space="preserve">表G-1 表示转换的完整对象限制</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09"/>
        <w:gridCol w:w="3879"/>
        <w:gridCol w:w="4849"/>
      </w:tblGrid>
      <w:tr>
        <w:trPr>
          <w:tblHeader w:val="on"/>
          <w:cantSplit/>
        </w:trPr>
        <w:tc>
          <w:tcPr>
            <w:tcW w:type="dxa" w:w="909"/>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3879"/>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规则</w:t>
            </w:r>
          </w:p>
        </w:tc>
        <w:tc>
          <w:tcPr>
            <w:tcW w:type="dxa" w:w="4849"/>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金标供给与表示损失</w:t>
            </w:r>
          </w:p>
        </w:tc>
      </w:tr>
      <w:tr>
        <w:trPr>
          <w:cantSplit/>
        </w:trPr>
        <w:tc>
          <w:tcPr>
            <w:tcW w:type="dxa" w:w="90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387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不由stance补造普通边；完整跨度／类型／方向</w:t>
            </w:r>
          </w:p>
        </w:tc>
        <w:tc>
          <w:tcPr>
            <w:tcW w:type="dxa" w:w="484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809条测试关系；原生评价无拆边</w:t>
            </w:r>
          </w:p>
        </w:tc>
      </w:tr>
      <w:tr>
        <w:trPr>
          <w:cantSplit/>
        </w:trPr>
        <w:tc>
          <w:tcPr>
            <w:tcW w:type="dxa" w:w="90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387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完整源集合；外部适配最多3源</w:t>
            </w:r>
          </w:p>
        </w:tc>
        <w:tc>
          <w:tcPr>
            <w:tcW w:type="dxa" w:w="484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252条测试关系，其中8条≥4源；长源对象至少受接口上界限制</w:t>
            </w:r>
          </w:p>
        </w:tc>
      </w:tr>
      <w:tr>
        <w:trPr>
          <w:cantSplit/>
        </w:trPr>
        <w:tc>
          <w:tcPr>
            <w:tcW w:type="dxa" w:w="90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全部</w:t>
            </w:r>
          </w:p>
        </w:tc>
        <w:tc>
          <w:tcPr>
            <w:tcW w:type="dxa" w:w="387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失败文档仍入分母；不补金标端点</w:t>
            </w:r>
          </w:p>
        </w:tc>
        <w:tc>
          <w:tcPr>
            <w:tcW w:type="dxa" w:w="4849"/>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三种子使用同一文档ID与哈希清单</w:t>
            </w:r>
          </w:p>
        </w:tc>
      </w:tr>
    </w:tbl>
    <w:bookmarkEnd w:id="248"/>
    <w:bookmarkStart w:id="249" w:name="g.3-控制条件与成本身份"/>
    <w:p>
      <w:pPr>
        <w:pStyle w:val="Heading2"/>
      </w:pPr>
      <w:r>
        <w:rPr>
          <w:rFonts w:ascii="Arial Unicode MS" w:hAnsi="Arial Unicode MS" w:eastAsia="Arial Unicode MS"/>
        </w:rPr>
        <w:t xml:space="preserve">G.3 控制条件与成本身份</w:t>
      </w:r>
    </w:p>
    <w:p>
      <w:pPr>
        <w:pStyle w:val="FirstParagraph"/>
        <w:spacing w:after="60" w:line="269" w:lineRule="auto"/>
      </w:pPr>
      <w:r>
        <w:t xml:space="preserve">外部系统使用各自结构和训练目标，三种子共同评价，不把系统差异解释为本文某个损失项的因果效应。预测图、整数TP/FP/FN和格式转换后的源集合均保存。外部检验为探索性，不在读取结果后并入14项主要比较族。</w:t>
      </w:r>
    </w:p>
    <w:bookmarkEnd w:id="249"/>
    <w:bookmarkStart w:id="250" w:name="g.4-结果与配对差值"/>
    <w:p>
      <w:pPr>
        <w:pStyle w:val="Heading2"/>
      </w:pPr>
      <w:r>
        <w:rPr>
          <w:rFonts w:ascii="Arial Unicode MS" w:hAnsi="Arial Unicode MS" w:eastAsia="Arial Unicode MS"/>
        </w:rPr>
        <w:t xml:space="preserve">G.4 结果与配对差值</w:t>
      </w:r>
    </w:p>
    <w:p>
      <w:pPr>
        <w:pStyle w:val="Caption"/>
        <w:keepNext/>
        <w:spacing w:after="60" w:line="269" w:lineRule="auto"/>
        <w:ind w:firstLine="0"/>
        <w:jc w:val="center"/>
      </w:pPr>
      <w:r>
        <w:rPr>
          <w:rFonts w:ascii="Arial Unicode MS" w:hAnsi="Arial Unicode MS" w:eastAsia="Arial Unicode MS"/>
        </w:rPr>
        <w:t xml:space="preserve">表G-2 共同原生评价下的具名系统</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43"/>
        <w:gridCol w:w="1343"/>
        <w:gridCol w:w="1910"/>
        <w:gridCol w:w="1910"/>
        <w:gridCol w:w="3133"/>
      </w:tblGrid>
      <w:tr>
        <w:trPr>
          <w:tblHeader w:val="on"/>
          <w:cantSplit/>
        </w:trPr>
        <w:tc>
          <w:tcPr>
            <w:tcW w:type="dxa" w:w="134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134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系统</w:t>
            </w:r>
          </w:p>
        </w:tc>
        <w:tc>
          <w:tcPr>
            <w:tcW w:type="dxa" w:w="191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组件F1</w:t>
            </w:r>
          </w:p>
        </w:tc>
        <w:tc>
          <w:tcPr>
            <w:tcW w:type="dxa" w:w="191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关系F1</w:t>
            </w:r>
          </w:p>
        </w:tc>
        <w:tc>
          <w:tcPr>
            <w:tcW w:type="dxa" w:w="313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关系F1：17 / 29 / 43</w:t>
            </w:r>
          </w:p>
        </w:tc>
      </w:tr>
      <w:tr>
        <w:trPr>
          <w:cantSplit/>
        </w:trPr>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UniASA</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82.99 ± 0.68</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63.12 ± 2.43</w:t>
            </w:r>
          </w:p>
        </w:tc>
        <w:tc>
          <w:tcPr>
            <w:tcW w:type="dxa" w:w="31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65.88 / 62.18 / 61.31</w:t>
            </w:r>
          </w:p>
        </w:tc>
      </w:tr>
      <w:tr>
        <w:trPr>
          <w:cantSplit/>
        </w:trPr>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TextToText</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81.75 ± 0.85</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61.64 ± 2.18</w:t>
            </w:r>
          </w:p>
        </w:tc>
        <w:tc>
          <w:tcPr>
            <w:tcW w:type="dxa" w:w="31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64.15 / 60.44 / 60.32</w:t>
            </w:r>
          </w:p>
        </w:tc>
      </w:tr>
      <w:tr>
        <w:trPr>
          <w:cantSplit/>
        </w:trPr>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84.18 ± 0.79</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65.18 ± 3.43</w:t>
            </w:r>
          </w:p>
        </w:tc>
        <w:tc>
          <w:tcPr>
            <w:tcW w:type="dxa" w:w="31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68.85 / 64.65 / 62.05</w:t>
            </w:r>
          </w:p>
        </w:tc>
      </w:tr>
      <w:tr>
        <w:trPr>
          <w:cantSplit/>
        </w:trPr>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87.60 ± 0.44</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73.29 ± 1.76</w:t>
            </w:r>
          </w:p>
        </w:tc>
        <w:tc>
          <w:tcPr>
            <w:tcW w:type="dxa" w:w="31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74.58 / 74.00 / 71.28</w:t>
            </w:r>
          </w:p>
        </w:tc>
      </w:tr>
      <w:tr>
        <w:trPr>
          <w:cantSplit/>
        </w:trPr>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UniASA</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74.20 ± 1.83</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36.51 ± 2.60</w:t>
            </w:r>
          </w:p>
        </w:tc>
        <w:tc>
          <w:tcPr>
            <w:tcW w:type="dxa" w:w="31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36.11 / 39.29 / 34.13</w:t>
            </w:r>
          </w:p>
        </w:tc>
      </w:tr>
      <w:tr>
        <w:trPr>
          <w:cantSplit/>
        </w:trPr>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TextToText</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72.84 ± 2.08</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34.79 ± 1.21</w:t>
            </w:r>
          </w:p>
        </w:tc>
        <w:tc>
          <w:tcPr>
            <w:tcW w:type="dxa" w:w="31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34.52 / 36.11 / 33.73</w:t>
            </w:r>
          </w:p>
        </w:tc>
      </w:tr>
      <w:tr>
        <w:trPr>
          <w:cantSplit/>
        </w:trPr>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75.99 ± 1.61</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38.76 ± 3.37</w:t>
            </w:r>
          </w:p>
        </w:tc>
        <w:tc>
          <w:tcPr>
            <w:tcW w:type="dxa" w:w="31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38.89 / 42.06 / 35.32</w:t>
            </w:r>
          </w:p>
        </w:tc>
      </w:tr>
      <w:tr>
        <w:trPr>
          <w:cantSplit/>
        </w:trPr>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4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81.91 ± 1.22</w:t>
            </w:r>
          </w:p>
        </w:tc>
        <w:tc>
          <w:tcPr>
            <w:tcW w:type="dxa" w:w="191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52.02 ± 2.59</w:t>
            </w:r>
          </w:p>
        </w:tc>
        <w:tc>
          <w:tcPr>
            <w:tcW w:type="dxa" w:w="313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51.98 / 54.62 / 49.45</w:t>
            </w:r>
          </w:p>
        </w:tc>
      </w:tr>
    </w:tbl>
    <w:p>
      <w:pPr>
        <w:pStyle w:val="Caption"/>
        <w:keepNext/>
        <w:spacing w:after="60" w:line="269" w:lineRule="auto"/>
        <w:ind w:firstLine="0"/>
        <w:jc w:val="center"/>
      </w:pPr>
      <w:r>
        <w:rPr>
          <w:rFonts w:ascii="Arial Unicode MS" w:hAnsi="Arial Unicode MS" w:eastAsia="Arial Unicode MS"/>
        </w:rPr>
        <w:t xml:space="preserve">表G-3 T1/I1相对外部系统的探索性关系差值</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75"/>
        <w:gridCol w:w="2918"/>
        <w:gridCol w:w="1475"/>
        <w:gridCol w:w="2295"/>
        <w:gridCol w:w="1475"/>
      </w:tblGrid>
      <w:tr>
        <w:trPr>
          <w:tblHeader w:val="on"/>
          <w:cantSplit/>
        </w:trPr>
        <w:tc>
          <w:tcPr>
            <w:tcW w:type="dxa" w:w="147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291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比较</w:t>
            </w:r>
          </w:p>
        </w:tc>
        <w:tc>
          <w:tcPr>
            <w:tcW w:type="dxa" w:w="147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差值/pp</w:t>
            </w:r>
          </w:p>
        </w:tc>
        <w:tc>
          <w:tcPr>
            <w:tcW w:type="dxa" w:w="229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95% CI</w:t>
            </w:r>
          </w:p>
        </w:tc>
        <w:tc>
          <w:tcPr>
            <w:tcW w:type="dxa" w:w="147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原始p</w:t>
            </w:r>
          </w:p>
        </w:tc>
      </w:tr>
      <w:tr>
        <w:trPr>
          <w:cantSplit/>
        </w:trPr>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291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T1I1 − UniASA</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10.16</w:t>
            </w:r>
          </w:p>
        </w:tc>
        <w:tc>
          <w:tcPr>
            <w:tcW w:type="dxa" w:w="229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[8.01, 12.72]</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0.0005</w:t>
            </w:r>
          </w:p>
        </w:tc>
      </w:tr>
      <w:tr>
        <w:trPr>
          <w:cantSplit/>
        </w:trPr>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291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T1I1 − TextToText</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11.65</w:t>
            </w:r>
          </w:p>
        </w:tc>
        <w:tc>
          <w:tcPr>
            <w:tcW w:type="dxa" w:w="229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[9.37, 14.42]</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0.0005</w:t>
            </w:r>
          </w:p>
        </w:tc>
      </w:tr>
      <w:tr>
        <w:trPr>
          <w:cantSplit/>
        </w:trPr>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291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T1I1 − UniASA</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15.51</w:t>
            </w:r>
          </w:p>
        </w:tc>
        <w:tc>
          <w:tcPr>
            <w:tcW w:type="dxa" w:w="229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[12.44, 18.64]</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0.0005</w:t>
            </w:r>
          </w:p>
        </w:tc>
      </w:tr>
      <w:tr>
        <w:trPr>
          <w:cantSplit/>
        </w:trPr>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291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T1I1 − TextToText</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17.23</w:t>
            </w:r>
          </w:p>
        </w:tc>
        <w:tc>
          <w:tcPr>
            <w:tcW w:type="dxa" w:w="229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[13.85, 20.75]</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0.0005</w:t>
            </w:r>
          </w:p>
        </w:tc>
      </w:tr>
    </w:tbl>
    <w:p>
      <w:pPr>
        <w:pStyle w:val="BodyText"/>
        <w:spacing w:after="60" w:line="269" w:lineRule="auto"/>
      </w:pPr>
      <w:r>
        <w:t xml:space="preserve">两语料上完整系统的关系均值高于两个外部对照。比较同时受骨干、训练组织、原生表示及转换接口影响，尤其不能把CDCP长源集合的表达损失归为评分器错误。本文对单一机制的判断仍采用第三、四章内部消融。</w:t>
      </w:r>
    </w:p>
    <w:bookmarkEnd w:id="250"/>
    <w:bookmarkEnd w:id="251"/>
    <w:bookmarkStart w:id="258" w:name="附录h-训练审核资源与完整性细节"/>
    <w:p>
      <w:pPr>
        <w:pStyle w:val="Heading1"/>
        <w:pageBreakBefore/>
      </w:pPr>
      <w:r>
        <w:rPr>
          <w:rFonts w:ascii="Arial Unicode MS" w:hAnsi="Arial Unicode MS" w:eastAsia="Arial Unicode MS"/>
        </w:rPr>
        <w:t xml:space="preserve">附录H 训练、审核、资源与完整性细节</w:t>
      </w:r>
    </w:p>
    <w:bookmarkStart w:id="252" w:name="h.1-训练和一次性评分成本"/>
    <w:p>
      <w:pPr>
        <w:pStyle w:val="Heading2"/>
      </w:pPr>
      <w:r>
        <w:rPr>
          <w:rFonts w:ascii="Arial Unicode MS" w:hAnsi="Arial Unicode MS" w:eastAsia="Arial Unicode MS"/>
        </w:rPr>
        <w:t xml:space="preserve">H.1 训练和一次性评分成本</w:t>
      </w:r>
    </w:p>
    <w:p>
      <w:pPr>
        <w:pStyle w:val="FirstParagraph"/>
        <w:spacing w:after="60" w:line="269" w:lineRule="auto"/>
      </w:pPr>
      <w:r>
        <w:t xml:space="preserve">54个最终训练运行、36个OOF运行、12个评分头运行分别登记；最终模型5个epoch、评分头10个epoch。训练表保留源访问、有效更新、接受视图、尝试／接受token、审核调用、GPU时间和峰值显存。所有失败及被拒生成计入尝试token，一次性构造不按每次推理重复收费。</w:t>
      </w:r>
    </w:p>
    <w:p>
      <w:pPr>
        <w:pStyle w:val="Caption"/>
        <w:keepNext/>
        <w:spacing w:after="60" w:line="269" w:lineRule="auto"/>
        <w:ind w:firstLine="0"/>
        <w:jc w:val="center"/>
      </w:pPr>
      <w:r>
        <w:rPr>
          <w:rFonts w:ascii="Arial Unicode MS" w:hAnsi="Arial Unicode MS" w:eastAsia="Arial Unicode MS"/>
        </w:rPr>
        <w:t xml:space="preserve">表H-1 一次性运行成本</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21"/>
        <w:gridCol w:w="3536"/>
        <w:gridCol w:w="2466"/>
        <w:gridCol w:w="2515"/>
      </w:tblGrid>
      <w:tr>
        <w:trPr>
          <w:tblHeader w:val="on"/>
          <w:cantSplit/>
        </w:trPr>
        <w:tc>
          <w:tcPr>
            <w:tcW w:type="dxa" w:w="112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353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最终训练GPU小时（9配置×3种子）</w:t>
            </w:r>
          </w:p>
        </w:tc>
        <w:tc>
          <w:tcPr>
            <w:tcW w:type="dxa" w:w="2466"/>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OOF GPU小时（18运行）</w:t>
            </w:r>
          </w:p>
        </w:tc>
        <w:tc>
          <w:tcPr>
            <w:tcW w:type="dxa" w:w="251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评分头GPU小时（6运行）</w:t>
            </w:r>
          </w:p>
        </w:tc>
      </w:tr>
      <w:tr>
        <w:trPr>
          <w:cantSplit/>
        </w:trPr>
        <w:tc>
          <w:tcPr>
            <w:tcW w:type="dxa" w:w="11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353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83.09</w:t>
            </w:r>
          </w:p>
        </w:tc>
        <w:tc>
          <w:tcPr>
            <w:tcW w:type="dxa" w:w="246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30.82</w:t>
            </w:r>
          </w:p>
        </w:tc>
        <w:tc>
          <w:tcPr>
            <w:tcW w:type="dxa" w:w="251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1.64</w:t>
            </w:r>
          </w:p>
        </w:tc>
      </w:tr>
      <w:tr>
        <w:trPr>
          <w:cantSplit/>
        </w:trPr>
        <w:tc>
          <w:tcPr>
            <w:tcW w:type="dxa" w:w="112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353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142.64</w:t>
            </w:r>
          </w:p>
        </w:tc>
        <w:tc>
          <w:tcPr>
            <w:tcW w:type="dxa" w:w="2466"/>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53.66</w:t>
            </w:r>
          </w:p>
        </w:tc>
        <w:tc>
          <w:tcPr>
            <w:tcW w:type="dxa" w:w="251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2.65</w:t>
            </w:r>
          </w:p>
        </w:tc>
      </w:tr>
    </w:tbl>
    <w:bookmarkEnd w:id="252"/>
    <w:bookmarkStart w:id="253" w:name="h.2-分层审核的拒绝与域外检查"/>
    <w:p>
      <w:pPr>
        <w:pStyle w:val="Heading2"/>
      </w:pPr>
      <w:r>
        <w:rPr>
          <w:rFonts w:ascii="Arial Unicode MS" w:hAnsi="Arial Unicode MS" w:eastAsia="Arial Unicode MS"/>
        </w:rPr>
        <w:t xml:space="preserve">H.2 分层审核的拒绝与域外检查</w:t>
      </w:r>
    </w:p>
    <w:p>
      <w:pPr>
        <w:pStyle w:val="Caption"/>
        <w:keepNext/>
        <w:spacing w:after="60" w:line="269" w:lineRule="auto"/>
        <w:ind w:firstLine="0"/>
        <w:jc w:val="center"/>
      </w:pPr>
      <w:r>
        <w:rPr>
          <w:rFonts w:ascii="Arial Unicode MS" w:hAnsi="Arial Unicode MS" w:eastAsia="Arial Unicode MS"/>
        </w:rPr>
        <w:t xml:space="preserve">表H-2 关系审核拒绝原因</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03"/>
        <w:gridCol w:w="1600"/>
        <w:gridCol w:w="1600"/>
        <w:gridCol w:w="3734"/>
      </w:tblGrid>
      <w:tr>
        <w:trPr>
          <w:tblHeader w:val="on"/>
          <w:cantSplit/>
        </w:trPr>
        <w:tc>
          <w:tcPr>
            <w:tcW w:type="dxa" w:w="2703"/>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语料／层</w:t>
            </w:r>
          </w:p>
        </w:tc>
        <w:tc>
          <w:tcPr>
            <w:tcW w:type="dxa" w:w="160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changed</w:t>
            </w:r>
          </w:p>
        </w:tc>
        <w:tc>
          <w:tcPr>
            <w:tcW w:type="dxa" w:w="160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undecided</w:t>
            </w:r>
          </w:p>
        </w:tc>
        <w:tc>
          <w:tcPr>
            <w:tcW w:type="dxa" w:w="373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original_disagreement</w:t>
            </w:r>
          </w:p>
        </w:tc>
      </w:tr>
      <w:tr>
        <w:trPr>
          <w:cantSplit/>
        </w:trPr>
        <w:tc>
          <w:tcPr>
            <w:tcW w:type="dxa" w:w="27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AAEC／内部正关系</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w:t>
            </w:r>
          </w:p>
        </w:tc>
        <w:tc>
          <w:tcPr>
            <w:tcW w:type="dxa" w:w="37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w:t>
            </w:r>
          </w:p>
        </w:tc>
      </w:tr>
      <w:tr>
        <w:trPr>
          <w:cantSplit/>
        </w:trPr>
        <w:tc>
          <w:tcPr>
            <w:tcW w:type="dxa" w:w="27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AAEC／跨边界正关系</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w:t>
            </w:r>
          </w:p>
        </w:tc>
        <w:tc>
          <w:tcPr>
            <w:tcW w:type="dxa" w:w="37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w:t>
            </w:r>
          </w:p>
        </w:tc>
      </w:tr>
      <w:tr>
        <w:trPr>
          <w:cantSplit/>
        </w:trPr>
        <w:tc>
          <w:tcPr>
            <w:tcW w:type="dxa" w:w="27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AAEC／内部NONE</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w:t>
            </w:r>
          </w:p>
        </w:tc>
        <w:tc>
          <w:tcPr>
            <w:tcW w:type="dxa" w:w="37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r>
      <w:tr>
        <w:trPr>
          <w:cantSplit/>
        </w:trPr>
        <w:tc>
          <w:tcPr>
            <w:tcW w:type="dxa" w:w="27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AAEC／跨边界NONE</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w:t>
            </w:r>
          </w:p>
        </w:tc>
        <w:tc>
          <w:tcPr>
            <w:tcW w:type="dxa" w:w="37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w:t>
            </w:r>
          </w:p>
        </w:tc>
      </w:tr>
      <w:tr>
        <w:trPr>
          <w:cantSplit/>
        </w:trPr>
        <w:tc>
          <w:tcPr>
            <w:tcW w:type="dxa" w:w="27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CDCP／内部正关系</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w:t>
            </w:r>
          </w:p>
        </w:tc>
        <w:tc>
          <w:tcPr>
            <w:tcW w:type="dxa" w:w="37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r>
      <w:tr>
        <w:trPr>
          <w:cantSplit/>
        </w:trPr>
        <w:tc>
          <w:tcPr>
            <w:tcW w:type="dxa" w:w="27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CDCP／跨边界正关系</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19</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w:t>
            </w:r>
          </w:p>
        </w:tc>
        <w:tc>
          <w:tcPr>
            <w:tcW w:type="dxa" w:w="37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w:t>
            </w:r>
          </w:p>
        </w:tc>
      </w:tr>
      <w:tr>
        <w:trPr>
          <w:cantSplit/>
        </w:trPr>
        <w:tc>
          <w:tcPr>
            <w:tcW w:type="dxa" w:w="27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CDCP／内部NONE</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w:t>
            </w:r>
          </w:p>
        </w:tc>
        <w:tc>
          <w:tcPr>
            <w:tcW w:type="dxa" w:w="37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r>
      <w:tr>
        <w:trPr>
          <w:cantSplit/>
        </w:trPr>
        <w:tc>
          <w:tcPr>
            <w:tcW w:type="dxa" w:w="2703"/>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CDCP／跨边界NONE</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w:t>
            </w:r>
          </w:p>
        </w:tc>
        <w:tc>
          <w:tcPr>
            <w:tcW w:type="dxa" w:w="160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w:t>
            </w:r>
          </w:p>
        </w:tc>
        <w:tc>
          <w:tcPr>
            <w:tcW w:type="dxa" w:w="37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w:t>
            </w:r>
          </w:p>
        </w:tc>
      </w:tr>
    </w:tbl>
    <w:p>
      <w:pPr>
        <w:pStyle w:val="Caption"/>
        <w:keepNext/>
        <w:spacing w:after="60" w:line="269" w:lineRule="auto"/>
        <w:ind w:firstLine="0"/>
        <w:jc w:val="center"/>
      </w:pPr>
      <w:r>
        <w:rPr>
          <w:rFonts w:ascii="Arial Unicode MS" w:hAnsi="Arial Unicode MS" w:eastAsia="Arial Unicode MS"/>
        </w:rPr>
        <w:t xml:space="preserve">表H-3 两端只读关系的补充审核</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75"/>
        <w:gridCol w:w="1770"/>
        <w:gridCol w:w="1475"/>
        <w:gridCol w:w="1475"/>
        <w:gridCol w:w="1475"/>
        <w:gridCol w:w="1967"/>
      </w:tblGrid>
      <w:tr>
        <w:trPr>
          <w:tblHeader w:val="on"/>
          <w:cantSplit/>
        </w:trPr>
        <w:tc>
          <w:tcPr>
            <w:tcW w:type="dxa" w:w="147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177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域外候选总体</w:t>
            </w:r>
          </w:p>
        </w:tc>
        <w:tc>
          <w:tcPr>
            <w:tcW w:type="dxa" w:w="147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抽样</w:t>
            </w:r>
          </w:p>
        </w:tc>
        <w:tc>
          <w:tcPr>
            <w:tcW w:type="dxa" w:w="147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发现变化</w:t>
            </w:r>
          </w:p>
        </w:tc>
        <w:tc>
          <w:tcPr>
            <w:tcW w:type="dxa" w:w="1475"/>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比例</w:t>
            </w:r>
          </w:p>
        </w:tc>
        <w:tc>
          <w:tcPr>
            <w:tcW w:type="dxa" w:w="196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Wilson 95%</w:t>
            </w:r>
          </w:p>
        </w:tc>
      </w:tr>
      <w:tr>
        <w:trPr>
          <w:cantSplit/>
        </w:trPr>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77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3870</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160</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1.25%</w:t>
            </w:r>
          </w:p>
        </w:tc>
        <w:tc>
          <w:tcPr>
            <w:tcW w:type="dxa" w:w="196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[0.34, 4.44]</w:t>
            </w:r>
          </w:p>
        </w:tc>
      </w:tr>
      <w:tr>
        <w:trPr>
          <w:cantSplit/>
        </w:trPr>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77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915</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160</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w:t>
            </w:r>
          </w:p>
        </w:tc>
        <w:tc>
          <w:tcPr>
            <w:tcW w:type="dxa" w:w="1475"/>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1.25%</w:t>
            </w:r>
          </w:p>
        </w:tc>
        <w:tc>
          <w:tcPr>
            <w:tcW w:type="dxa" w:w="196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[0.34, 4.44]</w:t>
            </w:r>
          </w:p>
        </w:tc>
      </w:tr>
    </w:tbl>
    <w:p>
      <w:pPr>
        <w:pStyle w:val="BodyText"/>
        <w:spacing w:after="60" w:line="269" w:lineRule="auto"/>
      </w:pPr>
      <w:r>
        <w:t xml:space="preserve">域外样本不属于四层J_A，不并入表3-8的Nh。域外变化说明局部端点影响域不能覆盖所有语境效应，默认不对这些未经完整核查的变体关系新增监督。审核者的一致性只评价标注过程，模型的接受决定仍需独立裁决参照。</w:t>
      </w:r>
    </w:p>
    <w:bookmarkEnd w:id="253"/>
    <w:bookmarkStart w:id="254" w:name="h.3-路由规模扫描"/>
    <w:p>
      <w:pPr>
        <w:pStyle w:val="Heading2"/>
      </w:pPr>
      <w:r>
        <w:rPr>
          <w:rFonts w:ascii="Arial Unicode MS" w:hAnsi="Arial Unicode MS" w:eastAsia="Arial Unicode MS"/>
        </w:rPr>
        <w:t xml:space="preserve">H.3 路由规模扫描</w:t>
      </w:r>
    </w:p>
    <w:p>
      <w:pPr>
        <w:pStyle w:val="Caption"/>
        <w:keepNext/>
        <w:spacing w:after="60" w:line="269" w:lineRule="auto"/>
        <w:ind w:firstLine="0"/>
        <w:jc w:val="center"/>
      </w:pPr>
      <w:r>
        <w:rPr>
          <w:rFonts w:ascii="Arial Unicode MS" w:hAnsi="Arial Unicode MS" w:eastAsia="Arial Unicode MS"/>
        </w:rPr>
        <w:t xml:space="preserve">表H-4 训练侧求解规模与时限</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1361"/>
        <w:gridCol w:w="1134"/>
        <w:gridCol w:w="1247"/>
        <w:gridCol w:w="1247"/>
        <w:gridCol w:w="1247"/>
        <w:gridCol w:w="1247"/>
        <w:gridCol w:w="1247"/>
      </w:tblGrid>
      <w:tr>
        <w:trPr>
          <w:tblHeader w:val="on"/>
          <w:cantSplit/>
        </w:trPr>
        <w:tc>
          <w:tcPr>
            <w:tcW w:type="dxa" w:w="90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136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变量数</w:t>
            </w:r>
          </w:p>
        </w:tc>
        <w:tc>
          <w:tcPr>
            <w:tcW w:type="dxa" w:w="113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问题数</w:t>
            </w:r>
          </w:p>
        </w:tc>
        <w:tc>
          <w:tcPr>
            <w:tcW w:type="dxa" w:w="124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均值/秒</w:t>
            </w:r>
          </w:p>
        </w:tc>
        <w:tc>
          <w:tcPr>
            <w:tcW w:type="dxa" w:w="124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P95/秒</w:t>
            </w:r>
          </w:p>
        </w:tc>
        <w:tc>
          <w:tcPr>
            <w:tcW w:type="dxa" w:w="124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时限/秒</w:t>
            </w:r>
          </w:p>
        </w:tc>
        <w:tc>
          <w:tcPr>
            <w:tcW w:type="dxa" w:w="124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超时数</w:t>
            </w:r>
          </w:p>
        </w:tc>
        <w:tc>
          <w:tcPr>
            <w:tcW w:type="dxa" w:w="124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完成破同分</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0.14</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0.32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0.33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0.72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0.62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2000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0.95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2.03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2.71</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1.90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53</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4000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0.21</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0.49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0.50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0.94</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1.85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2000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1.44</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2.05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4.12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5.00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53</w:t>
            </w:r>
          </w:p>
        </w:tc>
      </w:tr>
      <w:tr>
        <w:trPr>
          <w:cantSplit/>
        </w:trPr>
        <w:tc>
          <w:tcPr>
            <w:tcW w:type="dxa" w:w="90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4000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3.95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5.00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40</w:t>
            </w:r>
          </w:p>
        </w:tc>
      </w:tr>
    </w:tbl>
    <w:p>
      <w:pPr>
        <w:pStyle w:val="BodyText"/>
        <w:spacing w:after="60" w:line="269" w:lineRule="auto"/>
      </w:pPr>
      <w:r>
        <w:t xml:space="preserve">阈值2500处两语料P95均在时限内；3000及4000变量出现超时，支持固定小池全局、大池局部的资源选择。该阈值只对应当前硬件与候选约束，迁移设备时需要重新做训练侧探测。</w:t>
      </w:r>
    </w:p>
    <w:bookmarkEnd w:id="254"/>
    <w:bookmarkStart w:id="255" w:name="h.4-逐种子整数计数"/>
    <w:p>
      <w:pPr>
        <w:pStyle w:val="Heading2"/>
      </w:pPr>
      <w:r>
        <w:rPr>
          <w:rFonts w:ascii="Arial Unicode MS" w:hAnsi="Arial Unicode MS" w:eastAsia="Arial Unicode MS"/>
        </w:rPr>
        <w:t xml:space="preserve">H.4 逐种子整数计数</w:t>
      </w:r>
    </w:p>
    <w:p>
      <w:pPr>
        <w:pStyle w:val="Caption"/>
        <w:keepNext/>
        <w:spacing w:after="60" w:line="269" w:lineRule="auto"/>
        <w:ind w:firstLine="0"/>
        <w:jc w:val="center"/>
      </w:pPr>
      <w:r>
        <w:rPr>
          <w:rFonts w:ascii="Arial Unicode MS" w:hAnsi="Arial Unicode MS" w:eastAsia="Arial Unicode MS"/>
        </w:rPr>
        <w:t xml:space="preserve">表H-5 四格严格关系原始计数</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77"/>
        <w:gridCol w:w="1871"/>
        <w:gridCol w:w="1134"/>
        <w:gridCol w:w="1247"/>
        <w:gridCol w:w="1247"/>
        <w:gridCol w:w="1247"/>
        <w:gridCol w:w="1814"/>
      </w:tblGrid>
      <w:tr>
        <w:trPr>
          <w:tblHeader w:val="on"/>
          <w:cantSplit/>
        </w:trPr>
        <w:tc>
          <w:tcPr>
            <w:tcW w:type="dxa" w:w="107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187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配置</w:t>
            </w:r>
          </w:p>
        </w:tc>
        <w:tc>
          <w:tcPr>
            <w:tcW w:type="dxa" w:w="113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种子</w:t>
            </w:r>
          </w:p>
        </w:tc>
        <w:tc>
          <w:tcPr>
            <w:tcW w:type="dxa" w:w="124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TP</w:t>
            </w:r>
          </w:p>
        </w:tc>
        <w:tc>
          <w:tcPr>
            <w:tcW w:type="dxa" w:w="124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FP</w:t>
            </w:r>
          </w:p>
        </w:tc>
        <w:tc>
          <w:tcPr>
            <w:tcW w:type="dxa" w:w="124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FN</w:t>
            </w:r>
          </w:p>
        </w:tc>
        <w:tc>
          <w:tcPr>
            <w:tcW w:type="dxa" w:w="181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F1</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557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252</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68.85</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523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286</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286</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64.65</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502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307</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62.05</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572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237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237</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70.70</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559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250</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69.10</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539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270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270</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66.63</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565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244</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72.76</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536</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190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273</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69.84</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515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211</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294</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67.10</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581</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168</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228</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74.58</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572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165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237</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74.00</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551</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186</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258</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71.28</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98</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154</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154</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38.89</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106</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146</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146</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42.06</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163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163</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35.32</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139</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44.84</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135</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46.43</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152</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39.68</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104</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94</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148</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46.22</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115</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137</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49.36</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T0I1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101</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100</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151</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44.59</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118</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84</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134</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51.98</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29</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127</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86</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125</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54.62</w:t>
            </w:r>
          </w:p>
        </w:tc>
      </w:tr>
      <w:tr>
        <w:trPr>
          <w:cantSplit/>
        </w:trPr>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87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T1I1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113</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92</w:t>
            </w:r>
          </w:p>
        </w:tc>
        <w:tc>
          <w:tcPr>
            <w:tcW w:type="dxa" w:w="124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139</w:t>
            </w:r>
          </w:p>
        </w:tc>
        <w:tc>
          <w:tcPr>
            <w:tcW w:type="dxa" w:w="181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49.45</w:t>
            </w:r>
          </w:p>
        </w:tc>
      </w:tr>
    </w:tbl>
    <w:bookmarkEnd w:id="255"/>
    <w:bookmarkStart w:id="256" w:name="h.5-六项一致性问题的处理"/>
    <w:p>
      <w:pPr>
        <w:pStyle w:val="Heading2"/>
      </w:pPr>
      <w:r>
        <w:rPr>
          <w:rFonts w:ascii="Arial Unicode MS" w:hAnsi="Arial Unicode MS" w:eastAsia="Arial Unicode MS"/>
        </w:rPr>
        <w:t xml:space="preserve">H.5 六项一致性问题的处理</w:t>
      </w:r>
    </w:p>
    <w:p>
      <w:pPr>
        <w:pStyle w:val="Caption"/>
        <w:keepNext/>
        <w:spacing w:after="60" w:line="269" w:lineRule="auto"/>
        <w:ind w:firstLine="0"/>
        <w:jc w:val="center"/>
      </w:pPr>
      <w:r>
        <w:rPr>
          <w:rFonts w:ascii="Arial Unicode MS" w:hAnsi="Arial Unicode MS" w:eastAsia="Arial Unicode MS"/>
        </w:rPr>
        <w:t xml:space="preserve">表H-6 原缺失清单中的稿内矛盾与处理</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520"/>
      </w:tblGrid>
      <w:tr>
        <w:trPr>
          <w:tblHeader w:val="on"/>
          <w:cantSplit/>
        </w:trPr>
        <w:tc>
          <w:tcPr>
            <w:tcW w:type="dxa" w:w="311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问题</w:t>
            </w:r>
          </w:p>
        </w:tc>
        <w:tc>
          <w:tcPr>
            <w:tcW w:type="dxa" w:w="652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处理</w:t>
            </w:r>
          </w:p>
        </w:tc>
      </w:tr>
      <w:tr>
        <w:trPr>
          <w:cantSplit/>
        </w:trPr>
        <w:tc>
          <w:tcPr>
            <w:tcW w:type="dxa" w:w="311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低ECE与低新增正确率混淆</w:t>
            </w:r>
          </w:p>
        </w:tc>
        <w:tc>
          <w:tcPr>
            <w:tcW w:type="dxa" w:w="6520"/>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按实际决策门限报告区域平均q、精确率及接受新增的条件精确率</w:t>
            </w:r>
          </w:p>
        </w:tc>
      </w:tr>
      <w:tr>
        <w:trPr>
          <w:cantSplit/>
        </w:trPr>
        <w:tc>
          <w:tcPr>
            <w:tcW w:type="dxa" w:w="311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评分正例超过金标供给</w:t>
            </w:r>
          </w:p>
        </w:tc>
        <w:tc>
          <w:tcPr>
            <w:tcW w:type="dxa" w:w="6520"/>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按文档×种子×唯一完整对象计数；正例不超过供给</w:t>
            </w:r>
          </w:p>
        </w:tc>
      </w:tr>
      <w:tr>
        <w:trPr>
          <w:cantSplit/>
        </w:trPr>
        <w:tc>
          <w:tcPr>
            <w:tcW w:type="dxa" w:w="311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审核总体与视图数不一致</w:t>
            </w:r>
          </w:p>
        </w:tc>
        <w:tc>
          <w:tcPr>
            <w:tcW w:type="dxa" w:w="6520"/>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从原生因素总体生成Nh，四层抽样记录π，域外审核单列</w:t>
            </w:r>
          </w:p>
        </w:tc>
      </w:tr>
      <w:tr>
        <w:trPr>
          <w:cantSplit/>
        </w:trPr>
        <w:tc>
          <w:tcPr>
            <w:tcW w:type="dxa" w:w="311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共享成本等于基线总时延</w:t>
            </w:r>
          </w:p>
        </w:tc>
        <w:tc>
          <w:tcPr>
            <w:tcW w:type="dxa" w:w="6520"/>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四个阶段独立记账，I0不含I1提案与评分开销</w:t>
            </w:r>
          </w:p>
        </w:tc>
      </w:tr>
      <w:tr>
        <w:trPr>
          <w:cantSplit/>
        </w:trPr>
        <w:tc>
          <w:tcPr>
            <w:tcW w:type="dxa" w:w="311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固定标准差与目标分数巧合</w:t>
            </w:r>
          </w:p>
        </w:tc>
        <w:tc>
          <w:tcPr>
            <w:tcW w:type="dxa" w:w="6520"/>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由整数预测计数重算逐种子F1；汇总均值与SD</w:t>
            </w:r>
          </w:p>
        </w:tc>
      </w:tr>
      <w:tr>
        <w:trPr>
          <w:cantSplit/>
        </w:trPr>
        <w:tc>
          <w:tcPr>
            <w:tcW w:type="dxa" w:w="311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重生成与风险比较遗漏</w:t>
            </w:r>
          </w:p>
        </w:tc>
        <w:tc>
          <w:tcPr>
            <w:tcW w:type="dxa" w:w="6520"/>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纳入表1-2、表4-6和14项Holm主要族</w:t>
            </w:r>
          </w:p>
        </w:tc>
      </w:tr>
    </w:tbl>
    <w:bookmarkEnd w:id="256"/>
    <w:bookmarkStart w:id="257" w:name="h.6-复算入口"/>
    <w:p>
      <w:pPr>
        <w:pStyle w:val="Heading2"/>
      </w:pPr>
      <w:r>
        <w:rPr>
          <w:rFonts w:ascii="Arial Unicode MS" w:hAnsi="Arial Unicode MS" w:eastAsia="Arial Unicode MS"/>
        </w:rPr>
        <w:t xml:space="preserve">H.6 复算入口</w:t>
      </w:r>
    </w:p>
    <w:p>
      <w:pPr>
        <w:pStyle w:val="FirstParagraph"/>
        <w:spacing w:after="60" w:line="269" w:lineRule="auto"/>
      </w:pPr>
      <w:r>
        <w:t xml:space="preserve">依次执行scripts/scenario.py、statistics_and_supplements.py、validate_and_sensitivity.py、make_complete_records.py、finalize_records.py、real_cases.py、build_review_manuscript.py、render_artifacts.py、export_word.py与check_delivery.py。固定CPU规则只读实际预测文件，其后处理不会修改主实验。最终成品同时提供Markdown、DOCX、图表和配套记录。运行环境与材料身份在README和final_manifest中说明。</w:t>
      </w:r>
    </w:p>
    <w:bookmarkEnd w:id="257"/>
    <w:bookmarkEnd w:id="258"/>
    <w:bookmarkStart w:id="261" w:name="附录i-四份上传语料的实际处理与原文定位"/>
    <w:p>
      <w:pPr>
        <w:pStyle w:val="Heading1"/>
        <w:pageBreakBefore/>
      </w:pPr>
      <w:r>
        <w:rPr>
          <w:rFonts w:ascii="Arial Unicode MS" w:hAnsi="Arial Unicode MS" w:eastAsia="Arial Unicode MS"/>
        </w:rPr>
        <w:t xml:space="preserve">附录I 四份上传语料的实际处理与原文定位</w:t>
      </w:r>
    </w:p>
    <w:bookmarkStart w:id="259" w:name="i.1-可用记录与坐标审计"/>
    <w:p>
      <w:pPr>
        <w:pStyle w:val="Heading2"/>
      </w:pPr>
      <w:r>
        <w:rPr>
          <w:rFonts w:ascii="Arial Unicode MS" w:hAnsi="Arial Unicode MS" w:eastAsia="Arial Unicode MS"/>
        </w:rPr>
        <w:t xml:space="preserve">I.1 可用记录与坐标审计</w:t>
      </w:r>
    </w:p>
    <w:p>
      <w:pPr>
        <w:pStyle w:val="Caption"/>
        <w:keepNext/>
        <w:spacing w:after="60" w:line="269" w:lineRule="auto"/>
        <w:ind w:firstLine="0"/>
        <w:jc w:val="center"/>
      </w:pPr>
      <w:r>
        <w:rPr>
          <w:rFonts w:ascii="Arial Unicode MS" w:hAnsi="Arial Unicode MS" w:eastAsia="Arial Unicode MS"/>
        </w:rPr>
        <w:t xml:space="preserve">表I-1 实际数据与转换审计</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361"/>
        <w:gridCol w:w="1304"/>
        <w:gridCol w:w="1077"/>
        <w:gridCol w:w="1134"/>
        <w:gridCol w:w="1191"/>
        <w:gridCol w:w="1134"/>
        <w:gridCol w:w="1020"/>
      </w:tblGrid>
      <w:tr>
        <w:trPr>
          <w:tblHeader w:val="on"/>
          <w:cantSplit/>
        </w:trPr>
        <w:tc>
          <w:tcPr>
            <w:tcW w:type="dxa" w:w="141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136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划分</w:t>
            </w:r>
          </w:p>
        </w:tc>
        <w:tc>
          <w:tcPr>
            <w:tcW w:type="dxa" w:w="130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可用文档</w:t>
            </w:r>
          </w:p>
        </w:tc>
        <w:tc>
          <w:tcPr>
            <w:tcW w:type="dxa" w:w="107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组件</w:t>
            </w:r>
          </w:p>
        </w:tc>
        <w:tc>
          <w:tcPr>
            <w:tcW w:type="dxa" w:w="113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完整关系</w:t>
            </w:r>
          </w:p>
        </w:tc>
        <w:tc>
          <w:tcPr>
            <w:tcW w:type="dxa" w:w="1191"/>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非法跨度</w:t>
            </w:r>
          </w:p>
        </w:tc>
        <w:tc>
          <w:tcPr>
            <w:tcW w:type="dxa" w:w="113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错误引用</w:t>
            </w:r>
          </w:p>
        </w:tc>
        <w:tc>
          <w:tcPr>
            <w:tcW w:type="dxa" w:w="102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上游issues</w:t>
            </w:r>
          </w:p>
        </w:tc>
      </w:tr>
      <w:tr>
        <w:trPr>
          <w:cantSplit/>
        </w:trPr>
        <w:tc>
          <w:tcPr>
            <w:tcW w:type="dxa" w:w="141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test</w:t>
            </w:r>
          </w:p>
        </w:tc>
        <w:tc>
          <w:tcPr>
            <w:tcW w:type="dxa" w:w="130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80</w:t>
            </w:r>
          </w:p>
        </w:tc>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1266</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809</w:t>
            </w:r>
          </w:p>
        </w:tc>
        <w:tc>
          <w:tcPr>
            <w:tcW w:type="dxa" w:w="119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r>
      <w:tr>
        <w:trPr>
          <w:cantSplit/>
        </w:trPr>
        <w:tc>
          <w:tcPr>
            <w:tcW w:type="dxa" w:w="141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train</w:t>
            </w:r>
          </w:p>
        </w:tc>
        <w:tc>
          <w:tcPr>
            <w:tcW w:type="dxa" w:w="130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319</w:t>
            </w:r>
          </w:p>
        </w:tc>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4793</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3006</w:t>
            </w:r>
          </w:p>
        </w:tc>
        <w:tc>
          <w:tcPr>
            <w:tcW w:type="dxa" w:w="119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r>
      <w:tr>
        <w:trPr>
          <w:cantSplit/>
        </w:trPr>
        <w:tc>
          <w:tcPr>
            <w:tcW w:type="dxa" w:w="141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test</w:t>
            </w:r>
          </w:p>
        </w:tc>
        <w:tc>
          <w:tcPr>
            <w:tcW w:type="dxa" w:w="130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150</w:t>
            </w:r>
          </w:p>
        </w:tc>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1026</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252</w:t>
            </w:r>
          </w:p>
        </w:tc>
        <w:tc>
          <w:tcPr>
            <w:tcW w:type="dxa" w:w="119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r>
      <w:tr>
        <w:trPr>
          <w:cantSplit/>
        </w:trPr>
        <w:tc>
          <w:tcPr>
            <w:tcW w:type="dxa" w:w="141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train</w:t>
            </w:r>
          </w:p>
        </w:tc>
        <w:tc>
          <w:tcPr>
            <w:tcW w:type="dxa" w:w="130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580</w:t>
            </w:r>
          </w:p>
        </w:tc>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3901</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969</w:t>
            </w:r>
          </w:p>
        </w:tc>
        <w:tc>
          <w:tcPr>
            <w:tcW w:type="dxa" w:w="119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r>
      <w:tr>
        <w:trPr>
          <w:cantSplit/>
        </w:trPr>
        <w:tc>
          <w:tcPr>
            <w:tcW w:type="dxa" w:w="141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argunsc</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unsplit_author_release</w:t>
            </w:r>
          </w:p>
        </w:tc>
        <w:tc>
          <w:tcPr>
            <w:tcW w:type="dxa" w:w="130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144</w:t>
            </w:r>
          </w:p>
        </w:tc>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4560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3009</w:t>
            </w:r>
          </w:p>
        </w:tc>
        <w:tc>
          <w:tcPr>
            <w:tcW w:type="dxa" w:w="119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36</w:t>
            </w:r>
          </w:p>
        </w:tc>
      </w:tr>
      <w:tr>
        <w:trPr>
          <w:cantSplit/>
        </w:trPr>
        <w:tc>
          <w:tcPr>
            <w:tcW w:type="dxa" w:w="141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casimedicos</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test</w:t>
            </w:r>
          </w:p>
        </w:tc>
        <w:tc>
          <w:tcPr>
            <w:tcW w:type="dxa" w:w="130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117</w:t>
            </w:r>
          </w:p>
        </w:tc>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1509</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684</w:t>
            </w:r>
          </w:p>
        </w:tc>
        <w:tc>
          <w:tcPr>
            <w:tcW w:type="dxa" w:w="119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70</w:t>
            </w:r>
          </w:p>
        </w:tc>
      </w:tr>
      <w:tr>
        <w:trPr>
          <w:cantSplit/>
        </w:trPr>
        <w:tc>
          <w:tcPr>
            <w:tcW w:type="dxa" w:w="141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casimedicos</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train</w:t>
            </w:r>
          </w:p>
        </w:tc>
        <w:tc>
          <w:tcPr>
            <w:tcW w:type="dxa" w:w="130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381</w:t>
            </w:r>
          </w:p>
        </w:tc>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4979</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2145</w:t>
            </w:r>
          </w:p>
        </w:tc>
        <w:tc>
          <w:tcPr>
            <w:tcW w:type="dxa" w:w="119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241</w:t>
            </w:r>
          </w:p>
        </w:tc>
      </w:tr>
      <w:tr>
        <w:trPr>
          <w:cantSplit/>
        </w:trPr>
        <w:tc>
          <w:tcPr>
            <w:tcW w:type="dxa" w:w="141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casimedicos</w:t>
            </w:r>
          </w:p>
        </w:tc>
        <w:tc>
          <w:tcPr>
            <w:tcW w:type="dxa" w:w="136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validation</w:t>
            </w:r>
          </w:p>
        </w:tc>
        <w:tc>
          <w:tcPr>
            <w:tcW w:type="dxa" w:w="130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55</w:t>
            </w:r>
          </w:p>
        </w:tc>
        <w:tc>
          <w:tcPr>
            <w:tcW w:type="dxa" w:w="107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739</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341</w:t>
            </w:r>
          </w:p>
        </w:tc>
        <w:tc>
          <w:tcPr>
            <w:tcW w:type="dxa" w:w="1191"/>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w:t>
            </w:r>
          </w:p>
        </w:tc>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30</w:t>
            </w:r>
          </w:p>
        </w:tc>
      </w:tr>
    </w:tbl>
    <w:p>
      <w:pPr>
        <w:pStyle w:val="BodyText"/>
        <w:spacing w:after="60" w:line="269" w:lineRule="auto"/>
      </w:pPr>
      <w:r>
        <w:t xml:space="preserve">CasiMedicos原始622条：train 434条中53条缺正文，validation 63条中8条缺正文，test 125条中8条缺正文，可用分别381、55、117。69条空正文均无组件与关系，保留失败ID；上游issues共341项不改写为本次新发现的坐标错误。ArgUNSC保留144条与36项上游issues，不生成新的官方测试划分。</w:t>
      </w:r>
    </w:p>
    <w:bookmarkEnd w:id="259"/>
    <w:bookmarkStart w:id="260" w:name="i.2-案例定位与原始哈希"/>
    <w:p>
      <w:pPr>
        <w:pStyle w:val="Heading2"/>
      </w:pPr>
      <w:r>
        <w:rPr>
          <w:rFonts w:ascii="Arial Unicode MS" w:hAnsi="Arial Unicode MS" w:eastAsia="Arial Unicode MS"/>
        </w:rPr>
        <w:t xml:space="preserve">I.2 案例定位与原始哈希</w:t>
      </w:r>
    </w:p>
    <w:p>
      <w:pPr>
        <w:pStyle w:val="Caption"/>
        <w:keepNext/>
        <w:spacing w:after="60" w:line="269" w:lineRule="auto"/>
        <w:ind w:firstLine="0"/>
        <w:jc w:val="center"/>
      </w:pPr>
      <w:r>
        <w:rPr>
          <w:rFonts w:ascii="Arial Unicode MS" w:hAnsi="Arial Unicode MS" w:eastAsia="Arial Unicode MS"/>
        </w:rPr>
        <w:t xml:space="preserve">表I-2 全文案例身份</w:t>
      </w:r>
    </w:p>
    <w:tbl>
      <w:tblPr>
        <w:tblW w:type="dxa" w:w="9638"/>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098"/>
        <w:gridCol w:w="1587"/>
        <w:gridCol w:w="3799"/>
        <w:gridCol w:w="1134"/>
      </w:tblGrid>
      <w:tr>
        <w:trPr>
          <w:tblHeader w:val="on"/>
          <w:cantSplit/>
        </w:trPr>
        <w:tc>
          <w:tcPr>
            <w:tcW w:type="dxa" w:w="1020"/>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语料</w:t>
            </w:r>
          </w:p>
        </w:tc>
        <w:tc>
          <w:tcPr>
            <w:tcW w:type="dxa" w:w="2098"/>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文档</w:t>
            </w:r>
          </w:p>
        </w:tc>
        <w:tc>
          <w:tcPr>
            <w:tcW w:type="dxa" w:w="1587"/>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split</w:t>
            </w:r>
          </w:p>
        </w:tc>
        <w:tc>
          <w:tcPr>
            <w:tcW w:type="dxa" w:w="3799"/>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全文SHA-256</w:t>
            </w:r>
          </w:p>
        </w:tc>
        <w:tc>
          <w:tcPr>
            <w:tcW w:type="dxa" w:w="1134"/>
            <w:tcMar>
              <w:top w:type="dxa" w:w="55"/>
              <w:bottom w:type="dxa" w:w="55"/>
              <w:left w:type="dxa" w:w="65"/>
              <w:right w:type="dxa" w:w="65"/>
            </w:tcMar>
            <w:vAlign w:val="center"/>
            <w:shd w:fill="E7E6E6"/>
          </w:tcPr>
          <w:p>
            <w:pPr>
              <w:keepNext w:val="0"/>
              <w:keepLines/>
              <w:spacing w:before="0" w:after="0" w:line="254" w:lineRule="auto"/>
              <w:ind w:firstLine="0" w:left="0" w:right="0"/>
              <w:jc w:val="center"/>
            </w:pPr>
            <w:r>
              <w:rPr>
                <w:rFonts w:ascii="Arial Unicode MS" w:hAnsi="Arial Unicode MS"/>
                <w:b/>
                <w:sz w:val="17"/>
              </w:rPr>
              <w:t xml:space="preserve">案例性质</w:t>
            </w:r>
          </w:p>
        </w:tc>
      </w:tr>
      <w:tr>
        <w:trPr>
          <w:cantSplit/>
        </w:trPr>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209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essay001</w:t>
            </w:r>
          </w:p>
        </w:tc>
        <w:tc>
          <w:tcPr>
            <w:tcW w:type="dxa" w:w="158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train</w:t>
            </w:r>
          </w:p>
        </w:tc>
        <w:tc>
          <w:tcPr>
            <w:tcW w:type="dxa" w:w="379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ba75cbadbcaf04c7b0b0b4b4e552958c2a7a880314787f58a24c96eb7fbc17fd</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原生标注</w:t>
            </w:r>
          </w:p>
        </w:tc>
      </w:tr>
      <w:tr>
        <w:trPr>
          <w:cantSplit/>
        </w:trPr>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209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essay098</w:t>
            </w:r>
          </w:p>
        </w:tc>
        <w:tc>
          <w:tcPr>
            <w:tcW w:type="dxa" w:w="158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test</w:t>
            </w:r>
          </w:p>
        </w:tc>
        <w:tc>
          <w:tcPr>
            <w:tcW w:type="dxa" w:w="379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f68e231bdf7576fe87d57e801350c2b0ef2f513d51e29938b223671a392f528c</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实际预测与实际规则</w:t>
            </w:r>
          </w:p>
        </w:tc>
      </w:tr>
      <w:tr>
        <w:trPr>
          <w:cantSplit/>
        </w:trPr>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AAEC</w:t>
            </w:r>
          </w:p>
        </w:tc>
        <w:tc>
          <w:tcPr>
            <w:tcW w:type="dxa" w:w="209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essay098</w:t>
            </w:r>
          </w:p>
        </w:tc>
        <w:tc>
          <w:tcPr>
            <w:tcW w:type="dxa" w:w="158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test</w:t>
            </w:r>
          </w:p>
        </w:tc>
        <w:tc>
          <w:tcPr>
            <w:tcW w:type="dxa" w:w="379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f68e231bdf7576fe87d57e801350c2b0ef2f513d51e29938b223671a392f528c</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实际预测与实际规则</w:t>
            </w:r>
          </w:p>
        </w:tc>
      </w:tr>
      <w:tr>
        <w:trPr>
          <w:cantSplit/>
        </w:trPr>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CDCP</w:t>
            </w:r>
          </w:p>
        </w:tc>
        <w:tc>
          <w:tcPr>
            <w:tcW w:type="dxa" w:w="209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00662</w:t>
            </w:r>
          </w:p>
        </w:tc>
        <w:tc>
          <w:tcPr>
            <w:tcW w:type="dxa" w:w="158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train</w:t>
            </w:r>
          </w:p>
        </w:tc>
        <w:tc>
          <w:tcPr>
            <w:tcW w:type="dxa" w:w="379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b69b5e4700be7b0bfe4ac92179bbc906be67f7b6435442e033a3c44906bd58c9</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原生标注</w:t>
            </w:r>
          </w:p>
        </w:tc>
      </w:tr>
      <w:tr>
        <w:trPr>
          <w:cantSplit/>
        </w:trPr>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casimedicos</w:t>
            </w:r>
          </w:p>
        </w:tc>
        <w:tc>
          <w:tcPr>
            <w:tcW w:type="dxa" w:w="2098"/>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casimedicos_0_34</w:t>
            </w:r>
          </w:p>
        </w:tc>
        <w:tc>
          <w:tcPr>
            <w:tcW w:type="dxa" w:w="1587"/>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train</w:t>
            </w:r>
          </w:p>
        </w:tc>
        <w:tc>
          <w:tcPr>
            <w:tcW w:type="dxa" w:w="379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dd0704fe2f47c8bce117779659b7f79957603b67a53f218fffa0506b967e9b63</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原生标注</w:t>
            </w:r>
          </w:p>
        </w:tc>
      </w:tr>
      <w:tr>
        <w:trPr>
          <w:cantSplit/>
        </w:trPr>
        <w:tc>
          <w:tcPr>
            <w:tcW w:type="dxa" w:w="1020"/>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argunsc</w:t>
            </w:r>
          </w:p>
        </w:tc>
        <w:tc>
          <w:tcPr>
            <w:tcW w:type="dxa" w:w="2098"/>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argunsc_UNSC_2014_SPV.7154_spch002_UNBriefer_neg</w:t>
            </w:r>
          </w:p>
        </w:tc>
        <w:tc>
          <w:tcPr>
            <w:tcW w:type="dxa" w:w="1587"/>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unsplit_author_release</w:t>
            </w:r>
          </w:p>
        </w:tc>
        <w:tc>
          <w:tcPr>
            <w:tcW w:type="dxa" w:w="3799"/>
            <w:tcMar>
              <w:top w:type="dxa" w:w="55"/>
              <w:bottom w:type="dxa" w:w="55"/>
              <w:left w:type="dxa" w:w="65"/>
              <w:right w:type="dxa" w:w="65"/>
            </w:tcMar>
            <w:vAlign w:val="center"/>
          </w:tcPr>
          <w:p>
            <w:pPr>
              <w:keepNext w:val="0"/>
              <w:keepLines/>
              <w:spacing w:before="0" w:after="0" w:line="254" w:lineRule="auto"/>
              <w:ind w:firstLine="0" w:left="0" w:right="0"/>
              <w:jc w:val="left"/>
            </w:pPr>
            <w:r>
              <w:rPr>
                <w:rFonts w:ascii="Arial Unicode MS" w:hAnsi="Arial Unicode MS"/>
                <w:b w:val="0"/>
                <w:sz w:val="17"/>
              </w:rPr>
              <w:t xml:space="preserve">acc4543591e9260ed99dcc8361cd0e0bd69c39a1436c2d23fdb4dddf7cbcb1c6</w:t>
            </w:r>
          </w:p>
        </w:tc>
        <w:tc>
          <w:tcPr>
            <w:tcW w:type="dxa" w:w="1134"/>
            <w:tcMar>
              <w:top w:type="dxa" w:w="55"/>
              <w:bottom w:type="dxa" w:w="55"/>
              <w:left w:type="dxa" w:w="65"/>
              <w:right w:type="dxa" w:w="65"/>
            </w:tcMar>
            <w:vAlign w:val="center"/>
          </w:tcPr>
          <w:p>
            <w:pPr>
              <w:keepNext w:val="0"/>
              <w:keepLines/>
              <w:spacing w:before="0" w:after="0" w:line="254" w:lineRule="auto"/>
              <w:ind w:firstLine="0" w:left="0" w:right="0"/>
              <w:jc w:val="center"/>
            </w:pPr>
            <w:r>
              <w:rPr>
                <w:rFonts w:ascii="Arial Unicode MS" w:hAnsi="Arial Unicode MS"/>
                <w:b w:val="0"/>
                <w:sz w:val="17"/>
              </w:rPr>
              <w:t xml:space="preserve">原生标注</w:t>
            </w:r>
          </w:p>
        </w:tc>
      </w:tr>
    </w:tbl>
    <w:p>
      <w:pPr>
        <w:pStyle w:val="BodyText"/>
        <w:spacing w:after="60" w:line="269" w:lineRule="auto"/>
      </w:pPr>
      <w:r>
        <w:t xml:space="preserve">正文所有英文引文均以text[start:end]核验。essay098两条案例共用原文、使用不同种子的实际预测；CDCP 00662保持双源集合；CasiMedicos与ArgUNSC不虚构模型预测。real_cases.json保存全文与完整对象，real_case_counts保存全部文档处理结果，便于回查案例选择和失败。</w:t>
      </w:r>
    </w:p>
    <w:bookmarkEnd w:id="260"/>
    <w:bookmarkEnd w:id="261"/>
    <w:bookmarkEnd w:id="262"/>
    <w:p>
      <w:pPr>
        <w:pStyle w:val="Heading1"/>
        <w:pageBreakBefore/>
      </w:pPr>
      <w:r>
        <w:rPr>
          <w:rFonts w:ascii="Arial Unicode MS" w:hAnsi="Arial Unicode MS" w:eastAsia="Arial Unicode MS"/>
        </w:rPr>
        <w:t xml:space="preserve">附录J 公共实验配置与统计补充</w:t>
      </w:r>
    </w:p>
    <w:p>
      <w:pPr>
        <w:pStyle w:val="Normal"/>
        <w:spacing w:after="60" w:line="269" w:lineRule="auto"/>
      </w:pPr>
      <w:r>
        <w:t>本附录承接第二章补充材料，保留S2节号与补充表号，供正文交叉引用。</w:t>
      </w:r>
    </w:p>
    <w:p>
      <w:pPr>
        <w:spacing w:after="60" w:line="269" w:lineRule="auto"/>
      </w:pPr>
      <w:r>
        <w:t>以下保留原稿的实验配置和模拟数值，供共同实验条件核对；它们不属于本轮新增实验结果。正文先讲任务与理论，参数、旧协议核查及详细比较责任集中于此。</w:t>
      </w:r>
    </w:p>
    <w:p>
      <w:pPr>
        <w:pStyle w:val="Heading2"/>
      </w:pPr>
      <w:r>
        <w:rPr>
          <w:rFonts w:ascii="Arial Unicode MS" w:hAnsi="Arial Unicode MS" w:eastAsia="Arial Unicode MS"/>
        </w:rPr>
        <w:t>S2.1 继承配置的原协议核查</w:t>
      </w:r>
    </w:p>
    <w:p>
      <w:pPr>
        <w:pStyle w:val="Caption"/>
        <w:keepNext/>
        <w:spacing w:before="80" w:after="60" w:line="269" w:lineRule="auto"/>
        <w:ind w:firstLine="0"/>
        <w:jc w:val="center"/>
      </w:pPr>
      <w:r>
        <w:rPr>
          <w:rFonts w:ascii="Arial Unicode MS" w:hAnsi="Arial Unicode MS" w:eastAsia="Arial Unicode MS"/>
          <w:b/>
          <w:sz w:val="19"/>
        </w:rPr>
        <w:t>补充表S2-1 原协议复现核查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3"/>
        <w:gridCol w:w="1116"/>
        <w:gridCol w:w="1116"/>
        <w:gridCol w:w="1116"/>
        <w:gridCol w:w="1824"/>
        <w:gridCol w:w="1842"/>
        <w:gridCol w:w="1470"/>
      </w:tblGrid>
      <w:tr>
        <w:trPr>
          <w:cantSplit/>
          <w:tblHeader/>
        </w:trPr>
        <w:tc>
          <w:tcPr>
            <w:tcW w:type="dxa" w:w="1063"/>
            <w:vAlign w:val="center"/>
            <w:tcMar>
              <w:top w:w="50" w:type="dxa"/>
              <w:bottom w:w="50" w:type="dxa"/>
              <w:left w:w="80" w:type="dxa"/>
              <w:right w:w="80" w:type="dxa"/>
            </w:tcMar>
            <w:shd w:fill="E7E6E6"/>
          </w:tcPr>
          <w:p>
            <w:pPr>
              <w:spacing w:after="0" w:line="264" w:lineRule="auto"/>
              <w:ind w:firstLine="0"/>
              <w:jc w:val="center"/>
            </w:pPr>
            <w:r>
              <w:rPr>
                <w:b/>
                <w:sz w:val="18"/>
              </w:rPr>
              <w:t>语料</w:t>
            </w:r>
          </w:p>
        </w:tc>
        <w:tc>
          <w:tcPr>
            <w:tcW w:type="dxa" w:w="1116"/>
            <w:vAlign w:val="center"/>
            <w:tcMar>
              <w:top w:w="50" w:type="dxa"/>
              <w:bottom w:w="50" w:type="dxa"/>
              <w:left w:w="80" w:type="dxa"/>
              <w:right w:w="80" w:type="dxa"/>
            </w:tcMar>
            <w:shd w:fill="E7E6E6"/>
          </w:tcPr>
          <w:p>
            <w:pPr>
              <w:spacing w:after="0" w:line="264" w:lineRule="auto"/>
              <w:ind w:firstLine="0"/>
              <w:jc w:val="center"/>
            </w:pPr>
            <w:r>
              <w:rPr>
                <w:b/>
                <w:sz w:val="18"/>
              </w:rPr>
              <w:t>种子17</w:t>
            </w:r>
          </w:p>
        </w:tc>
        <w:tc>
          <w:tcPr>
            <w:tcW w:type="dxa" w:w="1116"/>
            <w:vAlign w:val="center"/>
            <w:tcMar>
              <w:top w:w="50" w:type="dxa"/>
              <w:bottom w:w="50" w:type="dxa"/>
              <w:left w:w="80" w:type="dxa"/>
              <w:right w:w="80" w:type="dxa"/>
            </w:tcMar>
            <w:shd w:fill="E7E6E6"/>
          </w:tcPr>
          <w:p>
            <w:pPr>
              <w:spacing w:after="0" w:line="264" w:lineRule="auto"/>
              <w:ind w:firstLine="0"/>
              <w:jc w:val="center"/>
            </w:pPr>
            <w:r>
              <w:rPr>
                <w:b/>
                <w:sz w:val="18"/>
              </w:rPr>
              <w:t>种子29</w:t>
            </w:r>
          </w:p>
        </w:tc>
        <w:tc>
          <w:tcPr>
            <w:tcW w:type="dxa" w:w="1116"/>
            <w:vAlign w:val="center"/>
            <w:tcMar>
              <w:top w:w="50" w:type="dxa"/>
              <w:bottom w:w="50" w:type="dxa"/>
              <w:left w:w="80" w:type="dxa"/>
              <w:right w:w="80" w:type="dxa"/>
            </w:tcMar>
            <w:shd w:fill="E7E6E6"/>
          </w:tcPr>
          <w:p>
            <w:pPr>
              <w:spacing w:after="0" w:line="264" w:lineRule="auto"/>
              <w:ind w:firstLine="0"/>
              <w:jc w:val="center"/>
            </w:pPr>
            <w:r>
              <w:rPr>
                <w:b/>
                <w:sz w:val="18"/>
              </w:rPr>
              <w:t>种子43</w:t>
            </w:r>
          </w:p>
        </w:tc>
        <w:tc>
          <w:tcPr>
            <w:tcW w:type="dxa" w:w="1824"/>
            <w:vAlign w:val="center"/>
            <w:tcMar>
              <w:top w:w="50" w:type="dxa"/>
              <w:bottom w:w="50" w:type="dxa"/>
              <w:left w:w="80" w:type="dxa"/>
              <w:right w:w="80" w:type="dxa"/>
            </w:tcMar>
            <w:shd w:fill="E7E6E6"/>
          </w:tcPr>
          <w:p>
            <w:pPr>
              <w:spacing w:after="0" w:line="264" w:lineRule="auto"/>
              <w:ind w:firstLine="0"/>
              <w:jc w:val="center"/>
            </w:pPr>
            <w:r>
              <w:rPr>
                <w:b/>
                <w:sz w:val="18"/>
              </w:rPr>
              <w:t>均值 ± SD</w:t>
            </w:r>
          </w:p>
        </w:tc>
        <w:tc>
          <w:tcPr>
            <w:tcW w:type="dxa" w:w="1842"/>
            <w:vAlign w:val="center"/>
            <w:tcMar>
              <w:top w:w="50" w:type="dxa"/>
              <w:bottom w:w="50" w:type="dxa"/>
              <w:left w:w="80" w:type="dxa"/>
              <w:right w:w="80" w:type="dxa"/>
            </w:tcMar>
            <w:shd w:fill="E7E6E6"/>
          </w:tcPr>
          <w:p>
            <w:pPr>
              <w:spacing w:after="0" w:line="264" w:lineRule="auto"/>
              <w:ind w:firstLine="0"/>
              <w:jc w:val="center"/>
            </w:pPr>
            <w:r>
              <w:rPr>
                <w:b/>
                <w:sz w:val="18"/>
              </w:rPr>
              <w:t>原稿已发表值</w:t>
            </w:r>
          </w:p>
        </w:tc>
        <w:tc>
          <w:tcPr>
            <w:tcW w:type="dxa" w:w="1470"/>
            <w:vAlign w:val="center"/>
            <w:tcMar>
              <w:top w:w="50" w:type="dxa"/>
              <w:bottom w:w="50" w:type="dxa"/>
              <w:left w:w="80" w:type="dxa"/>
              <w:right w:w="80" w:type="dxa"/>
            </w:tcMar>
            <w:shd w:fill="E7E6E6"/>
          </w:tcPr>
          <w:p>
            <w:pPr>
              <w:spacing w:after="0" w:line="264" w:lineRule="auto"/>
              <w:ind w:firstLine="0"/>
              <w:jc w:val="center"/>
            </w:pPr>
            <w:r>
              <w:rPr>
                <w:b/>
                <w:sz w:val="18"/>
              </w:rPr>
              <w:t>均值差/pp</w:t>
            </w:r>
          </w:p>
        </w:tc>
      </w:tr>
      <w:tr>
        <w:trPr>
          <w:cantSplit/>
        </w:trPr>
        <w:tc>
          <w:tcPr>
            <w:tcW w:type="dxa" w:w="1063"/>
            <w:vAlign w:val="center"/>
            <w:tcMar>
              <w:top w:w="50" w:type="dxa"/>
              <w:bottom w:w="50" w:type="dxa"/>
              <w:left w:w="80" w:type="dxa"/>
              <w:right w:w="80" w:type="dxa"/>
            </w:tcMar>
          </w:tcPr>
          <w:p>
            <w:pPr>
              <w:spacing w:after="0" w:line="264" w:lineRule="auto"/>
              <w:ind w:firstLine="0"/>
              <w:jc w:val="center"/>
            </w:pPr>
            <w:r>
              <w:rPr>
                <w:b w:val="0"/>
                <w:sz w:val="18"/>
              </w:rPr>
              <w:t>AAEC</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64.98</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64.52</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64.81</w:t>
            </w:r>
          </w:p>
        </w:tc>
        <w:tc>
          <w:tcPr>
            <w:tcW w:type="dxa" w:w="1824"/>
            <w:vAlign w:val="center"/>
            <w:tcMar>
              <w:top w:w="50" w:type="dxa"/>
              <w:bottom w:w="50" w:type="dxa"/>
              <w:left w:w="80" w:type="dxa"/>
              <w:right w:w="80" w:type="dxa"/>
            </w:tcMar>
          </w:tcPr>
          <w:p>
            <w:pPr>
              <w:spacing w:after="0" w:line="264" w:lineRule="auto"/>
              <w:ind w:firstLine="0"/>
              <w:jc w:val="center"/>
            </w:pPr>
            <w:r>
              <w:rPr>
                <w:b w:val="0"/>
                <w:sz w:val="18"/>
              </w:rPr>
              <w:t>64.77 ± 0.23</w:t>
            </w:r>
          </w:p>
        </w:tc>
        <w:tc>
          <w:tcPr>
            <w:tcW w:type="dxa" w:w="1842"/>
            <w:vAlign w:val="center"/>
            <w:tcMar>
              <w:top w:w="50" w:type="dxa"/>
              <w:bottom w:w="50" w:type="dxa"/>
              <w:left w:w="80" w:type="dxa"/>
              <w:right w:w="80" w:type="dxa"/>
            </w:tcMar>
          </w:tcPr>
          <w:p>
            <w:pPr>
              <w:spacing w:after="0" w:line="264" w:lineRule="auto"/>
              <w:ind w:firstLine="0"/>
              <w:jc w:val="center"/>
            </w:pPr>
            <w:r>
              <w:rPr>
                <w:b w:val="0"/>
                <w:sz w:val="18"/>
              </w:rPr>
              <w:t>64.83</w:t>
            </w:r>
          </w:p>
        </w:tc>
        <w:tc>
          <w:tcPr>
            <w:tcW w:type="dxa" w:w="1470"/>
            <w:vAlign w:val="center"/>
            <w:tcMar>
              <w:top w:w="50" w:type="dxa"/>
              <w:bottom w:w="50" w:type="dxa"/>
              <w:left w:w="80" w:type="dxa"/>
              <w:right w:w="80" w:type="dxa"/>
            </w:tcMar>
          </w:tcPr>
          <w:p>
            <w:pPr>
              <w:spacing w:after="0" w:line="264" w:lineRule="auto"/>
              <w:ind w:firstLine="0"/>
              <w:jc w:val="center"/>
            </w:pPr>
            <w:r>
              <w:rPr>
                <w:b w:val="0"/>
                <w:sz w:val="18"/>
              </w:rPr>
              <w:t>-0.06</w:t>
            </w:r>
          </w:p>
        </w:tc>
      </w:tr>
      <w:tr>
        <w:trPr>
          <w:cantSplit/>
        </w:trPr>
        <w:tc>
          <w:tcPr>
            <w:tcW w:type="dxa" w:w="1063"/>
            <w:vAlign w:val="center"/>
            <w:tcMar>
              <w:top w:w="50" w:type="dxa"/>
              <w:bottom w:w="50" w:type="dxa"/>
              <w:left w:w="80" w:type="dxa"/>
              <w:right w:w="80" w:type="dxa"/>
            </w:tcMar>
          </w:tcPr>
          <w:p>
            <w:pPr>
              <w:spacing w:after="0" w:line="264" w:lineRule="auto"/>
              <w:ind w:firstLine="0"/>
              <w:jc w:val="center"/>
            </w:pPr>
            <w:r>
              <w:rPr>
                <w:b w:val="0"/>
                <w:sz w:val="18"/>
              </w:rPr>
              <w:t>CDCP</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38.31</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37.88</w:t>
            </w:r>
          </w:p>
        </w:tc>
        <w:tc>
          <w:tcPr>
            <w:tcW w:type="dxa" w:w="1116"/>
            <w:vAlign w:val="center"/>
            <w:tcMar>
              <w:top w:w="50" w:type="dxa"/>
              <w:bottom w:w="50" w:type="dxa"/>
              <w:left w:w="80" w:type="dxa"/>
              <w:right w:w="80" w:type="dxa"/>
            </w:tcMar>
          </w:tcPr>
          <w:p>
            <w:pPr>
              <w:spacing w:after="0" w:line="264" w:lineRule="auto"/>
              <w:ind w:firstLine="0"/>
              <w:jc w:val="center"/>
            </w:pPr>
            <w:r>
              <w:rPr>
                <w:b w:val="0"/>
                <w:sz w:val="18"/>
              </w:rPr>
              <w:t>38.04</w:t>
            </w:r>
          </w:p>
        </w:tc>
        <w:tc>
          <w:tcPr>
            <w:tcW w:type="dxa" w:w="1824"/>
            <w:vAlign w:val="center"/>
            <w:tcMar>
              <w:top w:w="50" w:type="dxa"/>
              <w:bottom w:w="50" w:type="dxa"/>
              <w:left w:w="80" w:type="dxa"/>
              <w:right w:w="80" w:type="dxa"/>
            </w:tcMar>
          </w:tcPr>
          <w:p>
            <w:pPr>
              <w:spacing w:after="0" w:line="264" w:lineRule="auto"/>
              <w:ind w:firstLine="0"/>
              <w:jc w:val="center"/>
            </w:pPr>
            <w:r>
              <w:rPr>
                <w:b w:val="0"/>
                <w:sz w:val="18"/>
              </w:rPr>
              <w:t>38.08 ± 0.22</w:t>
            </w:r>
          </w:p>
        </w:tc>
        <w:tc>
          <w:tcPr>
            <w:tcW w:type="dxa" w:w="1842"/>
            <w:vAlign w:val="center"/>
            <w:tcMar>
              <w:top w:w="50" w:type="dxa"/>
              <w:bottom w:w="50" w:type="dxa"/>
              <w:left w:w="80" w:type="dxa"/>
              <w:right w:w="80" w:type="dxa"/>
            </w:tcMar>
          </w:tcPr>
          <w:p>
            <w:pPr>
              <w:spacing w:after="0" w:line="264" w:lineRule="auto"/>
              <w:ind w:firstLine="0"/>
              <w:jc w:val="center"/>
            </w:pPr>
            <w:r>
              <w:rPr>
                <w:b w:val="0"/>
                <w:sz w:val="18"/>
              </w:rPr>
              <w:t>38.17</w:t>
            </w:r>
          </w:p>
        </w:tc>
        <w:tc>
          <w:tcPr>
            <w:tcW w:type="dxa" w:w="1470"/>
            <w:vAlign w:val="center"/>
            <w:tcMar>
              <w:top w:w="50" w:type="dxa"/>
              <w:bottom w:w="50" w:type="dxa"/>
              <w:left w:w="80" w:type="dxa"/>
              <w:right w:w="80" w:type="dxa"/>
            </w:tcMar>
          </w:tcPr>
          <w:p>
            <w:pPr>
              <w:spacing w:after="0" w:line="264" w:lineRule="auto"/>
              <w:ind w:firstLine="0"/>
              <w:jc w:val="center"/>
            </w:pPr>
            <w:r>
              <w:rPr>
                <w:b w:val="0"/>
                <w:sz w:val="18"/>
              </w:rPr>
              <w:t>-0.09</w:t>
            </w:r>
          </w:p>
        </w:tc>
      </w:tr>
    </w:tbl>
    <w:p>
      <w:pPr>
        <w:spacing w:after="60" w:line="269" w:lineRule="auto"/>
      </w:pPr>
      <w:r>
        <w:t>该表沿用原test稿件数值。原协议结果只用于继承配置的核查，不能与原生完整关系指标直接求差，也不进入14项主要比较族。</w:t>
      </w:r>
    </w:p>
    <w:p>
      <w:pPr>
        <w:pStyle w:val="Heading2"/>
      </w:pPr>
      <w:r>
        <w:rPr>
          <w:rFonts w:ascii="Arial Unicode MS" w:hAnsi="Arial Unicode MS" w:eastAsia="Arial Unicode MS"/>
        </w:rPr>
        <w:t>S2.2 数据处理与记录用途</w:t>
      </w:r>
    </w:p>
    <w:p>
      <w:pPr>
        <w:spacing w:after="60" w:line="269" w:lineRule="auto"/>
      </w:pPr>
      <w:r>
        <w:t>AAEC按发布的train-test-split.csv匹配ID，CDCP按原压缩包train/test目录读取。重复只在训练侧按全文哈希处理：AAEC的essay171／210／400保留essay171，essay209／377保留essay209；CDCP保留00410并排除正文重复且标注不完整的00411。训练和测试没有全文哈希交叉重复，所有测试文档保留。</w:t>
      </w:r>
    </w:p>
    <w:p>
      <w:pPr>
        <w:spacing w:after="60" w:line="269" w:lineRule="auto"/>
      </w:pPr>
      <w:r>
        <w:t>AAEC测试标注中11个显示文本差异均为尾部制表符，坐标有效；CDCP保留原坐标并规范组件首尾空白，训练和测试分别修整3166、810次。字符严格评价不将24个无法精确对齐整词的组件扩展到相邻词，三层坐标通过字符残差往返。</w:t>
      </w:r>
    </w:p>
    <w:p>
      <w:pPr>
        <w:spacing w:after="60" w:line="269" w:lineRule="auto"/>
      </w:pPr>
      <w:r>
        <w:t>三折OOF按源文档及全部增强视图分组，T0与T1、两种语料、三个训练种子共对应36个OOF运行条目。每个持出源只由未见该源的生成器产生候选。拟合、校准与策略用途及其规模见正文2.5节。</w:t>
      </w:r>
    </w:p>
    <w:p>
      <w:pPr>
        <w:spacing w:after="60" w:line="269" w:lineRule="auto"/>
      </w:pPr>
      <w:r>
        <w:t>字符规范键统一为（文档与文本版本、字符起点、字符终点、原生类型）；模型子词集合按字符区间与offset mapping求交，聊天模板和连续提示位置不进入原文跨度。词中边界的实际示例见正文表2-2。</w:t>
      </w:r>
    </w:p>
    <w:p>
      <w:pPr>
        <w:pStyle w:val="Heading2"/>
      </w:pPr>
      <w:r>
        <w:rPr>
          <w:rFonts w:ascii="Arial Unicode MS" w:hAnsi="Arial Unicode MS" w:eastAsia="Arial Unicode MS"/>
        </w:rPr>
        <w:t>S2.3 固定训练与推理配置</w:t>
      </w:r>
    </w:p>
    <w:p>
      <w:pPr>
        <w:pStyle w:val="Caption"/>
        <w:keepNext/>
        <w:spacing w:before="80" w:after="60" w:line="269" w:lineRule="auto"/>
        <w:ind w:firstLine="0"/>
        <w:jc w:val="center"/>
      </w:pPr>
      <w:r>
        <w:rPr>
          <w:rFonts w:ascii="Arial Unicode MS" w:hAnsi="Arial Unicode MS" w:eastAsia="Arial Unicode MS"/>
          <w:b/>
          <w:sz w:val="19"/>
        </w:rPr>
        <w:t>补充表S2-2 公共训练与评价配置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4"/>
        <w:gridCol w:w="7553"/>
      </w:tblGrid>
      <w:tr>
        <w:trPr>
          <w:cantSplit/>
          <w:tblHeader/>
        </w:trPr>
        <w:tc>
          <w:tcPr>
            <w:tcW w:type="dxa" w:w="1994"/>
            <w:vAlign w:val="center"/>
            <w:tcMar>
              <w:top w:w="50" w:type="dxa"/>
              <w:bottom w:w="50" w:type="dxa"/>
              <w:left w:w="80" w:type="dxa"/>
              <w:right w:w="80" w:type="dxa"/>
            </w:tcMar>
            <w:shd w:fill="E7E6E6"/>
          </w:tcPr>
          <w:p>
            <w:pPr>
              <w:spacing w:after="0" w:line="264" w:lineRule="auto"/>
              <w:ind w:firstLine="0"/>
              <w:jc w:val="center"/>
            </w:pPr>
            <w:r>
              <w:rPr>
                <w:b/>
                <w:sz w:val="19"/>
              </w:rPr>
              <w:t>项目</w:t>
            </w:r>
          </w:p>
        </w:tc>
        <w:tc>
          <w:tcPr>
            <w:tcW w:type="dxa" w:w="7553"/>
            <w:vAlign w:val="center"/>
            <w:tcMar>
              <w:top w:w="50" w:type="dxa"/>
              <w:bottom w:w="50" w:type="dxa"/>
              <w:left w:w="80" w:type="dxa"/>
              <w:right w:w="80" w:type="dxa"/>
            </w:tcMar>
            <w:shd w:fill="E7E6E6"/>
          </w:tcPr>
          <w:p>
            <w:pPr>
              <w:spacing w:after="0" w:line="264" w:lineRule="auto"/>
              <w:ind w:firstLine="0"/>
              <w:jc w:val="center"/>
            </w:pPr>
            <w:r>
              <w:rPr>
                <w:b/>
                <w:sz w:val="19"/>
              </w:rPr>
              <w:t>设置</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骨干</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Qwen2.5-7B-Instruct；基础权重冻结</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LoRA</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rank 16，alpha 32，dropout 0.05</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优化器</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AdamW；生成适配学习率2×10⁻⁴；weight decay 0.01；β=(0.9,0.999)；ε=10⁻⁸</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学习预算</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5 epoch，有效批量32源文档；每批4源、累计8步；末批按有效源数归一化</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其他训练参数</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warmup 3%；梯度裁剪1；bfloat16</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长度与种子</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输入4096、输出2048、总上下文8192；17、29、43</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增强规模</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AAEC 500接受视图／0.82M token；CDCP 900／1.35M token</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生成</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K=3：1路贪心＋2路temperature 0.7、top-p 0.9采样</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硬件</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单张A100 80GB，64GiB RAM，4 CPU线程</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评价</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AAEC 80篇；CDCP 150篇；三种子严格micro-F1</w:t>
            </w:r>
          </w:p>
        </w:tc>
      </w:tr>
    </w:tbl>
    <w:p>
      <w:pPr>
        <w:pStyle w:val="Caption"/>
        <w:keepNext/>
        <w:spacing w:before="80" w:after="60" w:line="269" w:lineRule="auto"/>
        <w:ind w:firstLine="0"/>
        <w:jc w:val="center"/>
      </w:pPr>
      <w:r>
        <w:rPr>
          <w:rFonts w:ascii="Arial Unicode MS" w:hAnsi="Arial Unicode MS" w:eastAsia="Arial Unicode MS"/>
          <w:b/>
          <w:sz w:val="19"/>
        </w:rPr>
        <w:t>补充表S2-3 辅助头、评分与推理配置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4"/>
        <w:gridCol w:w="7553"/>
      </w:tblGrid>
      <w:tr>
        <w:trPr>
          <w:cantSplit/>
          <w:tblHeader/>
        </w:trPr>
        <w:tc>
          <w:tcPr>
            <w:tcW w:type="dxa" w:w="1994"/>
            <w:vAlign w:val="center"/>
            <w:tcMar>
              <w:top w:w="50" w:type="dxa"/>
              <w:bottom w:w="50" w:type="dxa"/>
              <w:left w:w="80" w:type="dxa"/>
              <w:right w:w="80" w:type="dxa"/>
            </w:tcMar>
            <w:shd w:fill="E7E6E6"/>
          </w:tcPr>
          <w:p>
            <w:pPr>
              <w:spacing w:after="0" w:line="264" w:lineRule="auto"/>
              <w:ind w:firstLine="0"/>
              <w:jc w:val="center"/>
            </w:pPr>
            <w:r>
              <w:rPr>
                <w:b/>
                <w:sz w:val="19"/>
              </w:rPr>
              <w:t>项目</w:t>
            </w:r>
          </w:p>
        </w:tc>
        <w:tc>
          <w:tcPr>
            <w:tcW w:type="dxa" w:w="7553"/>
            <w:vAlign w:val="center"/>
            <w:tcMar>
              <w:top w:w="50" w:type="dxa"/>
              <w:bottom w:w="50" w:type="dxa"/>
              <w:left w:w="80" w:type="dxa"/>
              <w:right w:w="80" w:type="dxa"/>
            </w:tcMar>
            <w:shd w:fill="E7E6E6"/>
          </w:tcPr>
          <w:p>
            <w:pPr>
              <w:spacing w:after="0" w:line="264" w:lineRule="auto"/>
              <w:ind w:firstLine="0"/>
              <w:jc w:val="center"/>
            </w:pPr>
            <w:r>
              <w:rPr>
                <w:b/>
                <w:sz w:val="19"/>
              </w:rPr>
              <w:t>设置</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跨度与对象头</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起止各一线性层；2层MLP，隐藏1024，dropout 0.1</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头部学习率</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辅助头10⁻³；评分头训练10 epoch</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损失系数</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原文生成1，头监督1，组件对齐0.5，关系对齐0.5；变体不承担整图生成损失</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校准</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按语料、种子、对象族分别拟合Platt；自然候选分布</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效用与阈值</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wC=wR=1；κC=1；κR为AAEC 1、CDCP 0.5；δ=0.20</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开发选择</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κR∈{0.5,1.0}；δ∈{0.01,0.05,0.10,0.20}；原TP损失≤5%；无合格配置返回G0</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编辑与外层</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组件24、关系96；每轮32尝试／3接受，最多4轮</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路由与时限</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n≤2500用全局，否则单对象局部；AAEC 3秒，CDCP 5秒</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候选与缺分</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预检关系槽位50000；保护初始对象；评分批4096；缺分拒绝受影响事务</w:t>
            </w:r>
          </w:p>
        </w:tc>
      </w:tr>
      <w:tr>
        <w:trPr>
          <w:cantSplit/>
        </w:trPr>
        <w:tc>
          <w:tcPr>
            <w:tcW w:type="dxa" w:w="1994"/>
            <w:vAlign w:val="center"/>
            <w:tcMar>
              <w:top w:w="50" w:type="dxa"/>
              <w:bottom w:w="50" w:type="dxa"/>
              <w:left w:w="80" w:type="dxa"/>
              <w:right w:w="80" w:type="dxa"/>
            </w:tcMar>
          </w:tcPr>
          <w:p>
            <w:pPr>
              <w:spacing w:after="0" w:line="264" w:lineRule="auto"/>
              <w:ind w:firstLine="0"/>
              <w:jc w:val="left"/>
            </w:pPr>
            <w:r>
              <w:rPr>
                <w:b w:val="0"/>
                <w:sz w:val="19"/>
              </w:rPr>
              <w:t>软件</w:t>
            </w:r>
          </w:p>
        </w:tc>
        <w:tc>
          <w:tcPr>
            <w:tcW w:type="dxa" w:w="7553"/>
            <w:vAlign w:val="center"/>
            <w:tcMar>
              <w:top w:w="50" w:type="dxa"/>
              <w:bottom w:w="50" w:type="dxa"/>
              <w:left w:w="80" w:type="dxa"/>
              <w:right w:w="80" w:type="dxa"/>
            </w:tcMar>
          </w:tcPr>
          <w:p>
            <w:pPr>
              <w:spacing w:after="0" w:line="264" w:lineRule="auto"/>
              <w:ind w:firstLine="0"/>
              <w:jc w:val="left"/>
            </w:pPr>
            <w:r>
              <w:rPr>
                <w:b w:val="0"/>
                <w:sz w:val="19"/>
              </w:rPr>
              <w:t>Python 3.11；PyTorch 2.5.1；Transformers 4.46.3；PEFT 0.13.2；HiGHS接口，固定4线程</w:t>
            </w:r>
          </w:p>
        </w:tc>
      </w:tr>
    </w:tbl>
    <w:p>
      <w:pPr>
        <w:spacing w:after="60" w:line="269" w:lineRule="auto"/>
      </w:pPr>
      <w:r>
        <w:t>配置、提示和版本清单绑定登记标识RT-PREREG-01。权重与分词器身份为rt-qwen25-7b-r1、rt-qwen25-tokenizer-r1；最终检查点按语料、方法、种子和epoch命名。NoPair、CompPair、T1/I0共享视图及掩码摘要，改变学习项；其余增强对照匹配接受规模和源文档更新预算。</w:t>
      </w:r>
    </w:p>
    <w:p>
      <w:pPr>
        <w:spacing w:after="60" w:line="269" w:lineRule="auto"/>
      </w:pPr>
      <w:r>
        <w:t>登记标识与文件摘要用于关联记录。本轮没有凭这些名称确认对应训练或推理已执行；模型、预测和逐文档计数仍需与实际交付文件绑定。</w:t>
      </w:r>
    </w:p>
    <w:p>
      <w:pPr>
        <w:pStyle w:val="Heading2"/>
      </w:pPr>
      <w:r>
        <w:rPr>
          <w:rFonts w:ascii="Arial Unicode MS" w:hAnsi="Arial Unicode MS" w:eastAsia="Arial Unicode MS"/>
        </w:rPr>
        <w:t>S2.4 研究问题与比较责任</w:t>
      </w:r>
    </w:p>
    <w:p>
      <w:pPr>
        <w:pStyle w:val="Caption"/>
        <w:keepNext/>
        <w:spacing w:before="80" w:after="60" w:line="269" w:lineRule="auto"/>
        <w:ind w:firstLine="0"/>
        <w:jc w:val="center"/>
      </w:pPr>
      <w:r>
        <w:rPr>
          <w:rFonts w:ascii="Arial Unicode MS" w:hAnsi="Arial Unicode MS" w:eastAsia="Arial Unicode MS"/>
          <w:b/>
          <w:sz w:val="19"/>
        </w:rPr>
        <w:t>补充表S2-4 主要比较族与探索性分析的归因边界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66"/>
        <w:gridCol w:w="4124"/>
      </w:tblGrid>
      <w:tr>
        <w:trPr>
          <w:cantSplit/>
          <w:tblHeader/>
        </w:trPr>
        <w:tc>
          <w:tcPr>
            <w:tcW w:type="dxa" w:w="1757"/>
            <w:vAlign w:val="center"/>
            <w:tcMar>
              <w:top w:w="50" w:type="dxa"/>
              <w:bottom w:w="50" w:type="dxa"/>
              <w:left w:w="80" w:type="dxa"/>
              <w:right w:w="80" w:type="dxa"/>
            </w:tcMar>
            <w:shd w:fill="E7E6E6"/>
          </w:tcPr>
          <w:p>
            <w:pPr>
              <w:spacing w:after="0" w:line="264" w:lineRule="auto"/>
              <w:ind w:firstLine="0"/>
              <w:jc w:val="center"/>
            </w:pPr>
            <w:r>
              <w:rPr>
                <w:b/>
                <w:sz w:val="19"/>
              </w:rPr>
              <w:t>层次与研究问题</w:t>
            </w:r>
          </w:p>
        </w:tc>
        <w:tc>
          <w:tcPr>
            <w:tcW w:type="dxa" w:w="3666"/>
            <w:vAlign w:val="center"/>
            <w:tcMar>
              <w:top w:w="50" w:type="dxa"/>
              <w:bottom w:w="50" w:type="dxa"/>
              <w:left w:w="80" w:type="dxa"/>
              <w:right w:w="80" w:type="dxa"/>
            </w:tcMar>
            <w:shd w:fill="E7E6E6"/>
          </w:tcPr>
          <w:p>
            <w:pPr>
              <w:spacing w:after="0" w:line="264" w:lineRule="auto"/>
              <w:ind w:firstLine="0"/>
              <w:jc w:val="center"/>
            </w:pPr>
            <w:r>
              <w:rPr>
                <w:b/>
                <w:sz w:val="19"/>
              </w:rPr>
              <w:t>比较与控制条件</w:t>
            </w:r>
          </w:p>
        </w:tc>
        <w:tc>
          <w:tcPr>
            <w:tcW w:type="dxa" w:w="4124"/>
            <w:vAlign w:val="center"/>
            <w:tcMar>
              <w:top w:w="50" w:type="dxa"/>
              <w:bottom w:w="50" w:type="dxa"/>
              <w:left w:w="80" w:type="dxa"/>
              <w:right w:w="80" w:type="dxa"/>
            </w:tcMar>
            <w:shd w:fill="E7E6E6"/>
          </w:tcPr>
          <w:p>
            <w:pPr>
              <w:spacing w:after="0" w:line="264" w:lineRule="auto"/>
              <w:ind w:firstLine="0"/>
              <w:jc w:val="center"/>
            </w:pPr>
            <w:r>
              <w:rPr>
                <w:b/>
                <w:sz w:val="19"/>
              </w:rPr>
              <w:t>可以回答的问题及归因边界</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主要1 整套训练</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T1/I0 对 T0/I0</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判断新训练配置的条件效果，不能将全部差异归于成对项</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主要2 成对项</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T1/I0 对 NoPair；同视图、同掩码、同辅助头</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判断成对目标的额外作用，不评价数据构造本身是否优于近邻</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主要3 整套推理</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T1/I0</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判断新推理配置的条件效果，不能归因于单一事务机制</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主要4 修改范围</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RelationOnly；同候选、同评分</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判断允许组件修改带来的差异，不等于共同接受的差异</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主要5 共同接受</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Single 对 Sequential；同候选、同评分</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判断单对象共同决策相对分步决策的作用</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主要6 等预算替代</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Regenerate</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判断相同追加调用与token上限下的差异，CPU成本另列</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主要7 开发风险限制</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T1/I1 对 NoRisk</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判断限制是否值得保留，开发保留率不保证测试安全</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探索 数据构造</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可靠对应构造 对 QOS式适配；同规模、同辅助头、无成对项</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区分数据构造和学习目标的作用</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探索 动作与求解</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Single、SetLocal与同目标Global；核对可行域和预算</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分别分析动作粒度及搜索，不能将差异全部归于效率</w:t>
            </w:r>
          </w:p>
        </w:tc>
      </w:tr>
      <w:tr>
        <w:trPr>
          <w:cantSplit/>
        </w:trPr>
        <w:tc>
          <w:tcPr>
            <w:tcW w:type="dxa" w:w="1757"/>
            <w:vAlign w:val="center"/>
            <w:tcMar>
              <w:top w:w="50" w:type="dxa"/>
              <w:bottom w:w="50" w:type="dxa"/>
              <w:left w:w="80" w:type="dxa"/>
              <w:right w:w="80" w:type="dxa"/>
            </w:tcMar>
          </w:tcPr>
          <w:p>
            <w:pPr>
              <w:spacing w:after="0" w:line="264" w:lineRule="auto"/>
              <w:ind w:firstLine="0"/>
              <w:jc w:val="left"/>
            </w:pPr>
            <w:r>
              <w:rPr>
                <w:b w:val="0"/>
                <w:sz w:val="19"/>
              </w:rPr>
              <w:t>探索 审核与评分</w:t>
            </w:r>
          </w:p>
        </w:tc>
        <w:tc>
          <w:tcPr>
            <w:tcW w:type="dxa" w:w="3666"/>
            <w:vAlign w:val="center"/>
            <w:tcMar>
              <w:top w:w="50" w:type="dxa"/>
              <w:bottom w:w="50" w:type="dxa"/>
              <w:left w:w="80" w:type="dxa"/>
              <w:right w:w="80" w:type="dxa"/>
            </w:tcMar>
          </w:tcPr>
          <w:p>
            <w:pPr>
              <w:spacing w:after="0" w:line="264" w:lineRule="auto"/>
              <w:ind w:firstLine="0"/>
              <w:jc w:val="left"/>
            </w:pPr>
            <w:r>
              <w:rPr>
                <w:b w:val="0"/>
                <w:sz w:val="19"/>
              </w:rPr>
              <w:t>按使用单位分层审核；分开报告评分质量、逐次接受与终态变化</w:t>
            </w:r>
          </w:p>
        </w:tc>
        <w:tc>
          <w:tcPr>
            <w:tcW w:type="dxa" w:w="4124"/>
            <w:vAlign w:val="center"/>
            <w:tcMar>
              <w:top w:w="50" w:type="dxa"/>
              <w:bottom w:w="50" w:type="dxa"/>
              <w:left w:w="80" w:type="dxa"/>
              <w:right w:w="80" w:type="dxa"/>
            </w:tcMar>
          </w:tcPr>
          <w:p>
            <w:pPr>
              <w:spacing w:after="0" w:line="264" w:lineRule="auto"/>
              <w:ind w:firstLine="0"/>
              <w:jc w:val="left"/>
            </w:pPr>
            <w:r>
              <w:rPr>
                <w:b w:val="0"/>
                <w:sz w:val="19"/>
              </w:rPr>
              <w:t>组件审核不代表关系审核，净变化不代表逐次过程风险</w:t>
            </w:r>
          </w:p>
        </w:tc>
      </w:tr>
    </w:tbl>
    <w:p>
      <w:pPr>
        <w:spacing w:after="60" w:line="269" w:lineRule="auto"/>
      </w:pPr>
      <w:r>
        <w:t>前7项各在AAEC和CDCP评价，构成14项主要比较。其余保持探索性身份。这张表承接原绪论中研究问题与比较责任的详细说明；第一章保留概括性表述，并在2.5节统一说明主要比较族。</w:t>
      </w:r>
    </w:p>
    <w:p>
      <w:pPr>
        <w:pStyle w:val="Heading2"/>
      </w:pPr>
      <w:r>
        <w:rPr>
          <w:rFonts w:ascii="Arial Unicode MS" w:hAnsi="Arial Unicode MS" w:eastAsia="Arial Unicode MS"/>
        </w:rPr>
        <w:t>S2.5 统计结果复算材料</w:t>
      </w:r>
    </w:p>
    <w:p>
      <w:pPr>
        <w:spacing w:after="60" w:line="269" w:lineRule="auto"/>
      </w:pPr>
      <w:r>
        <w:t>逐文档计数的主键为dataset、document_id、seed、method、object_family；source_group用于关联重复文本或同源组。计数均为非负整数，相同任务下各方法的TP+FN必须一致。失败文档保留一行，并按空预测记录TP=FP=0及对应FN。</w:t>
      </w:r>
    </w:p>
    <w:p>
      <w:pPr>
        <w:spacing w:after="60" w:line="269" w:lineRule="auto"/>
      </w:pPr>
      <w:r>
        <w:t>复算包还应包括比较族清单、共同抽样索引、重采样次数、随机数生成器及种子、代码版本和输入文件摘要。固定相同输入与抽样索引后，应得到相同的逐次差值、区间、原始p和Holm校正p。</w:t>
      </w:r>
    </w:p>
    <w:p>
      <w:pPr>
        <w:spacing w:after="60" w:line="269" w:lineRule="auto"/>
      </w:pPr>
      <w:r>
        <w:t xml:space="preserve">随本章提供的统计脚本与教学输入用于验证计数、配对与重采样接口。教学输入使用DEMO标识，不参与论文主结果。原稿主结果尚缺少完整的文档×种子×方法计数输入，因此本轮不声称已经复现表3-6、表4-6或表5-3中的统计分布。</w:t>
      </w:r>
    </w:p>
    <w:sectPr w:rsidR="00FC693F" w:rsidRPr="0006063C" w:rsidSect="00034616">
      <w:footerReference w:type="default" r:id="rId15"/>
      <w:pgSz w:h="16838" w:w="11906"/>
      <w:pgMar w:bottom="1020" w:footer="720" w:gutter="0" w:header="720" w:left="907" w:right="907"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278" w:lineRule="auto" w:after="100"/>
      <w:ind w:firstLine="420"/>
    </w:pPr>
    <w:rPr>
      <w:rFonts w:ascii="Arial Unicode MS" w:eastAsia="Arial Unicode MS" w:hAnsi="Arial Unicode MS"/>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20"/>
      <w:ind w:firstLine="0"/>
      <w:outlineLvl w:val="0"/>
    </w:pPr>
    <w:rPr>
      <w:rFonts w:eastAsia="Arial Unicode MS" w:ascii="Arial Unicode MS" w:hAnsi="Arial Unicode MS"/>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20" w:before="220"/>
      <w:ind w:firstLine="0"/>
      <w:outlineLvl w:val="1"/>
    </w:pPr>
    <w:rPr>
      <w:rFonts w:eastAsia="Arial Unicode MS" w:ascii="Arial Unicode MS" w:hAnsi="Arial Unicode MS"/>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20"/>
      <w:ind w:firstLine="0"/>
      <w:outlineLvl w:val="2"/>
    </w:pPr>
    <w:rPr>
      <w:rFonts w:eastAsia="Arial Unicode MS" w:ascii="Arial Unicode MS" w:hAnsi="Arial Unicode MS"/>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120" w:before="220"/>
      <w:ind w:firstLine="0"/>
      <w:outlineLvl w:val="3"/>
    </w:pPr>
    <w:rPr>
      <w:rFonts w:eastAsia="Arial Unicode MS" w:ascii="Arial Unicode MS" w:hAnsi="Arial Unicode MS"/>
      <w:b/>
      <w:bCs/>
      <w:i/>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eastAsia="Arial Unicode MS" w:ascii="Arial Unicode MS" w:hAnsi="Arial Unicode MS"/>
      <w:color w:val="000000"/>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78" w:lineRule="auto"/>
      <w:ind w:firstLine="420"/>
    </w:pPr>
    <w:rPr>
      <w:rFonts w:ascii="Arial Unicode MS" w:eastAsia="Arial Unicode MS" w:hAnsi="Arial Unicode MS"/>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52" w:lineRule="auto"/>
      <w:ind w:firstLine="0"/>
    </w:pPr>
    <w:rPr>
      <w:rFonts w:ascii="Arial Unicode MS" w:hAnsi="Arial Unicode MS" w:eastAsia="Arial Unicode MS"/>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9" Type="http://schemas.openxmlformats.org/officeDocument/2006/relationships/image" Target="media/rId129.png"/><Relationship Id="rId137" Type="http://schemas.openxmlformats.org/officeDocument/2006/relationships/image" Target="media/rId137.png"/><Relationship Id="rId22" Type="http://schemas.openxmlformats.org/officeDocument/2006/relationships/image" Target="media/rId22.png"/><Relationship Id="rId31" Type="http://schemas.openxmlformats.org/officeDocument/2006/relationships/image" Target="media/rId31.png"/><Relationship Id="rId55" Type="http://schemas.openxmlformats.org/officeDocument/2006/relationships/image" Target="media/rId55.png"/><Relationship Id="rId65" Type="http://schemas.openxmlformats.org/officeDocument/2006/relationships/image" Target="media/rId65.png"/><Relationship Id="rId73" Type="http://schemas.openxmlformats.org/officeDocument/2006/relationships/image" Target="media/rId73.png"/><Relationship Id="rId95" Type="http://schemas.openxmlformats.org/officeDocument/2006/relationships/image" Target="media/rId95.png"/><Relationship Id="rId116" Type="http://schemas.openxmlformats.org/officeDocument/2006/relationships/image" Target="media/rId116.png"/><Relationship Id="rId145" Type="http://schemas.openxmlformats.org/officeDocument/2006/relationships/image" Target="media/rId145.png"/><Relationship Id="rId86" Type="http://schemas.openxmlformats.org/officeDocument/2006/relationships/image" Target="media/rId86.png"/><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 Id="rId9" Type="http://schemas.openxmlformats.org/officeDocument/2006/relationships/image" Target="media/image1.png"/><Relationship Id="rId10" Type="http://schemas.openxmlformats.org/officeDocument/2006/relationships/image" Target="media/model_architecture_1.svg"/><Relationship Id="rId11" Type="http://schemas.openxmlformats.org/officeDocument/2006/relationships/image" Target="media/image2.png"/><Relationship Id="rId12" Type="http://schemas.openxmlformats.org/officeDocument/2006/relationships/image" Target="media/model_architecture_2.svg"/><Relationship Id="rId13" Type="http://schemas.openxmlformats.org/officeDocument/2006/relationships/image" Target="media/image3.png"/><Relationship Id="rId14" Type="http://schemas.openxmlformats.org/officeDocument/2006/relationships/image" Target="media/model_architecture_3.svg"/><Relationship Id="rId15" Type="http://schemas.openxmlformats.org/officeDocument/2006/relationships/footer" Target="footer1.xml"/></Relationships>
</file>

<file path=word/_rels/footnotes.xml.rels><?xml version='1.0' encoding='UTF-8' standalone='yes'?>
<Relationships xmlns="http://schemas.openxmlformats.org/package/2006/relationships"><Relationship Id="rId190" Type="http://schemas.openxmlformats.org/officeDocument/2006/relationships/hyperlink" Target="http://poster-openaccess.com/article_detail.php?paper_id=5295&amp;conf=ICIC&amp;year=2026" TargetMode="External"/><Relationship Id="rId161" Type="http://schemas.openxmlformats.org/officeDocument/2006/relationships/hyperlink" Target="https://aclanthology.org/2020.acl-main.298/" TargetMode="External"/><Relationship Id="rId189" Type="http://schemas.openxmlformats.org/officeDocument/2006/relationships/hyperlink" Target="https://aclanthology.org/2021.emnlp-main.243/" TargetMode="External"/><Relationship Id="rId185" Type="http://schemas.openxmlformats.org/officeDocument/2006/relationships/hyperlink" Target="https://aclanthology.org/2022.acl-long.162/" TargetMode="External"/><Relationship Id="rId203" Type="http://schemas.openxmlformats.org/officeDocument/2006/relationships/hyperlink" Target="https://aclanthology.org/2022.emnlp-main.713/" TargetMode="External"/><Relationship Id="rId181" Type="http://schemas.openxmlformats.org/officeDocument/2006/relationships/hyperlink" Target="https://aclanthology.org/2022.tacl-1.37/" TargetMode="External"/><Relationship Id="rId184" Type="http://schemas.openxmlformats.org/officeDocument/2006/relationships/hyperlink" Target="https://aclanthology.org/2023.emnlp-main.582/" TargetMode="External"/><Relationship Id="rId175" Type="http://schemas.openxmlformats.org/officeDocument/2006/relationships/hyperlink" Target="https://aclanthology.org/2023.emnlp-main.674/" TargetMode="External"/><Relationship Id="rId163" Type="http://schemas.openxmlformats.org/officeDocument/2006/relationships/hyperlink" Target="https://aclanthology.org/2024.eacl-long.121/" TargetMode="External"/><Relationship Id="rId206" Type="http://schemas.openxmlformats.org/officeDocument/2006/relationships/hyperlink" Target="https://aclanthology.org/2024.emnlp-main.1026/" TargetMode="External"/><Relationship Id="rId168" Type="http://schemas.openxmlformats.org/officeDocument/2006/relationships/hyperlink" Target="https://aclanthology.org/2024.findings-acl.689/" TargetMode="External"/><Relationship Id="rId171" Type="http://schemas.openxmlformats.org/officeDocument/2006/relationships/hyperlink" Target="https://aclanthology.org/2024.findings-acl.97/" TargetMode="External"/><Relationship Id="rId193" Type="http://schemas.openxmlformats.org/officeDocument/2006/relationships/hyperlink" Target="https://aclanthology.org/2024.findings-emnlp.672/" TargetMode="External"/><Relationship Id="rId172" Type="http://schemas.openxmlformats.org/officeDocument/2006/relationships/hyperlink" Target="https://aclanthology.org/2024.findings-naacl.238/" TargetMode="External"/><Relationship Id="rId183" Type="http://schemas.openxmlformats.org/officeDocument/2006/relationships/hyperlink" Target="https://aclanthology.org/2025.acl-long.1164/" TargetMode="External"/><Relationship Id="rId170" Type="http://schemas.openxmlformats.org/officeDocument/2006/relationships/hyperlink" Target="https://aclanthology.org/2025.acl-long.691/" TargetMode="External"/><Relationship Id="rId179" Type="http://schemas.openxmlformats.org/officeDocument/2006/relationships/hyperlink" Target="https://aclanthology.org/2025.aimecon-main.13/" TargetMode="External"/><Relationship Id="rId204" Type="http://schemas.openxmlformats.org/officeDocument/2006/relationships/hyperlink" Target="https://aclanthology.org/2025.cl-3.2/" TargetMode="External"/><Relationship Id="rId164" Type="http://schemas.openxmlformats.org/officeDocument/2006/relationships/hyperlink" Target="https://aclanthology.org/2025.coling-main.442/" TargetMode="External"/><Relationship Id="rId199" Type="http://schemas.openxmlformats.org/officeDocument/2006/relationships/hyperlink" Target="https://aclanthology.org/2025.coling-main.491/" TargetMode="External"/><Relationship Id="rId191" Type="http://schemas.openxmlformats.org/officeDocument/2006/relationships/hyperlink" Target="https://aclanthology.org/2025.emnlp-main.1351/" TargetMode="External"/><Relationship Id="rId195" Type="http://schemas.openxmlformats.org/officeDocument/2006/relationships/hyperlink" Target="https://aclanthology.org/2025.findings-acl.15/" TargetMode="External"/><Relationship Id="rId169" Type="http://schemas.openxmlformats.org/officeDocument/2006/relationships/hyperlink" Target="https://aclanthology.org/2025.findings-naacl.319/" TargetMode="External"/><Relationship Id="rId174" Type="http://schemas.openxmlformats.org/officeDocument/2006/relationships/hyperlink" Target="https://aclanthology.org/2026.fever-1.1/" TargetMode="External"/><Relationship Id="rId162" Type="http://schemas.openxmlformats.org/officeDocument/2006/relationships/hyperlink" Target="https://aclanthology.org/2026.findings-eacl.272/" TargetMode="External"/><Relationship Id="rId158" Type="http://schemas.openxmlformats.org/officeDocument/2006/relationships/hyperlink" Target="https://aclanthology.org/J17-3005/" TargetMode="External"/><Relationship Id="rId157" Type="http://schemas.openxmlformats.org/officeDocument/2006/relationships/hyperlink" Target="https://aclanthology.org/J19-4006/" TargetMode="External"/><Relationship Id="rId159" Type="http://schemas.openxmlformats.org/officeDocument/2006/relationships/hyperlink" Target="https://aclanthology.org/L18-1257/" TargetMode="External"/><Relationship Id="rId160" Type="http://schemas.openxmlformats.org/officeDocument/2006/relationships/hyperlink" Target="https://aclanthology.org/P17-1002/" TargetMode="External"/><Relationship Id="rId202" Type="http://schemas.openxmlformats.org/officeDocument/2006/relationships/hyperlink" Target="https://aclanthology.org/P17-1091/" TargetMode="External"/><Relationship Id="rId198" Type="http://schemas.openxmlformats.org/officeDocument/2006/relationships/hyperlink" Target="https://arxiv.org/abs/1402.1892v2" TargetMode="External"/><Relationship Id="rId186" Type="http://schemas.openxmlformats.org/officeDocument/2006/relationships/hyperlink" Target="https://arxiv.org/abs/1706.03762" TargetMode="External"/><Relationship Id="rId188" Type="http://schemas.openxmlformats.org/officeDocument/2006/relationships/hyperlink" Target="https://arxiv.org/abs/2106.09685" TargetMode="External"/><Relationship Id="rId178" Type="http://schemas.openxmlformats.org/officeDocument/2006/relationships/hyperlink" Target="https://arxiv.org/abs/2203.11171v4" TargetMode="External"/><Relationship Id="rId176" Type="http://schemas.openxmlformats.org/officeDocument/2006/relationships/hyperlink" Target="https://arxiv.org/abs/2303.17651v2" TargetMode="External"/><Relationship Id="rId177" Type="http://schemas.openxmlformats.org/officeDocument/2006/relationships/hyperlink" Target="https://arxiv.org/abs/2310.01798v2" TargetMode="External"/><Relationship Id="rId173" Type="http://schemas.openxmlformats.org/officeDocument/2006/relationships/hyperlink" Target="https://arxiv.org/abs/2311.09505v1" TargetMode="External"/><Relationship Id="rId187" Type="http://schemas.openxmlformats.org/officeDocument/2006/relationships/hyperlink" Target="https://arxiv.org/abs/2412.15115" TargetMode="External"/><Relationship Id="rId167" Type="http://schemas.openxmlformats.org/officeDocument/2006/relationships/hyperlink" Target="https://arxiv.org/abs/2506.16383v6" TargetMode="External"/><Relationship Id="rId165" Type="http://schemas.openxmlformats.org/officeDocument/2006/relationships/hyperlink" Target="https://arxiv.org/abs/2510.16363v1" TargetMode="External"/><Relationship Id="rId200" Type="http://schemas.openxmlformats.org/officeDocument/2006/relationships/hyperlink" Target="https://arxiv.org/abs/2605.13793v1" TargetMode="External"/><Relationship Id="rId205" Type="http://schemas.openxmlformats.org/officeDocument/2006/relationships/hyperlink" Target="https://arxiv.org/abs/2610.07699v1" TargetMode="External"/><Relationship Id="rId192" Type="http://schemas.openxmlformats.org/officeDocument/2006/relationships/hyperlink" Target="https://doi.org/10.1145/3799423" TargetMode="External"/><Relationship Id="rId197" Type="http://schemas.openxmlformats.org/officeDocument/2006/relationships/hyperlink" Target="https://jmlr.org/papers/v15/waegeman14a.html" TargetMode="External"/><Relationship Id="rId182" Type="http://schemas.openxmlformats.org/officeDocument/2006/relationships/hyperlink" Target="https://journals.sagepub.com/doi/10.1177/19462174251413169" TargetMode="External"/><Relationship Id="rId196" Type="http://schemas.openxmlformats.org/officeDocument/2006/relationships/hyperlink" Target="https://journals.sagepub.com/doi/10.3233/AAC-230008" TargetMode="External"/><Relationship Id="rId166" Type="http://schemas.openxmlformats.org/officeDocument/2006/relationships/hyperlink" Target="https://ojs.aaai.org/index.php/AAAI/article/view/42335" TargetMode="External"/><Relationship Id="rId180" Type="http://schemas.openxmlformats.org/officeDocument/2006/relationships/hyperlink" Target="https://proceedings.mlr.press/v337/xiao26a.html" TargetMode="External"/><Relationship Id="rId201" Type="http://schemas.openxmlformats.org/officeDocument/2006/relationships/hyperlink" Target="https://proceedings.mlr.press/v70/guo17a.html" TargetMode="External"/><Relationship Id="rId194" Type="http://schemas.openxmlformats.org/officeDocument/2006/relationships/hyperlink" Target="https://www.ijcai.org/proceedings/2024/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creator/>
  <cp:keywords/>
  <dcterms:created xsi:type="dcterms:W3CDTF">2026-10-11T14:18:31Z</dcterms:created>
  <dcterms:modified xsi:type="dcterms:W3CDTF">2026-10-11T14:18:31Z</dcterms:modified>
  <dc:subject>评审功能测试用完整模拟稿</dc:subject>
  <dc:description>基于最新分章修订稿整合；本轮替换三张架构图、统一公式编号并补充第三章必要术语解释。</dc:description>
</cp:coreProperties>
</file>

<file path=docProps/custom.xml><?xml version="1.0" encoding="utf-8"?>
<Properties xmlns="http://schemas.openxmlformats.org/officeDocument/2006/custom-properties" xmlns:vt="http://schemas.openxmlformats.org/officeDocument/2006/docPropsVTypes"/>
</file>