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3EACF80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382C54">
        <w:rPr>
          <w:b/>
          <w:sz w:val="32"/>
        </w:rPr>
        <w:t xml:space="preserve"> ՄԵԹՈԴՆ</w:t>
      </w:r>
      <w:r w:rsidR="00C860E2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ՌԵԶՈԼՑ</w:t>
      </w:r>
      <w:r w:rsidR="00382C54">
        <w:rPr>
          <w:b/>
          <w:sz w:val="32"/>
        </w:rPr>
        <w:t>ՈԻՏԻՎ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1" w:name="_Toc196513284"/>
      <w:bookmarkStart w:id="2" w:name="_Toc196995632"/>
      <w:bookmarkStart w:id="3" w:name="_Toc197511775"/>
      <w:r w:rsidRPr="00820F12">
        <w:rPr>
          <w:rFonts w:cstheme="majorHAnsi"/>
          <w:lang w:val="hy-AM"/>
        </w:rPr>
        <w:lastRenderedPageBreak/>
        <w:t>ՀԱՄԱՌՈՏԱԳԻՐ</w:t>
      </w:r>
      <w:bookmarkEnd w:id="1"/>
      <w:bookmarkEnd w:id="2"/>
      <w:bookmarkEnd w:id="3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18CCF4FD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r w:rsidRPr="00382C54">
        <w:rPr>
          <w:sz w:val="28"/>
          <w:szCs w:val="28"/>
          <w:lang w:val="hy-AM"/>
        </w:rPr>
        <w:t>ՄԵՔԵՆԱՅԱԿԱՆ ՄԵԹՈԴՆ</w:t>
      </w:r>
      <w:r w:rsidR="00C860E2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ՌԵԶՈԼՑՈԻՏԻՎ ԱՐՏԱԾՄԱՆ ՄԵՋ</w:t>
      </w:r>
    </w:p>
    <w:p w14:paraId="78B31114" w14:textId="39CFFE2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>ПРИМЕНЕНИЕ МАШИННЫХ МЕТОДОВ В 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671130D3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 METHODS IN RESOLUTION INFERENCE</w:t>
      </w:r>
    </w:p>
    <w:p w14:paraId="4A7E9939" w14:textId="04656310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4914A0">
        <w:t xml:space="preserve"> </w:t>
      </w:r>
      <w:r w:rsidR="00A4583F" w:rsidRPr="00A4583F">
        <w:t>Ռեզոլյուցիան, որպես ավտոմատ ապացուցման հիմնական գործիք, հաճախ բախվում է հաշվողական</w:t>
      </w:r>
      <w:r w:rsidR="004914A0">
        <w:t xml:space="preserve"> </w:t>
      </w:r>
      <w:r w:rsidR="00A4583F" w:rsidRPr="00A4583F">
        <w:t>բարդության խնդիրների՝ պայմանավորված լիտերալների ոչ ճիշտ ընտրությամբ:</w:t>
      </w:r>
      <w:r w:rsidR="004914A0">
        <w:t xml:space="preserve"> </w:t>
      </w:r>
      <w:r w:rsidR="00A4583F">
        <w:t>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4914A0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9C1E41F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</w:t>
      </w:r>
      <w:r w:rsidR="004914A0">
        <w:t xml:space="preserve"> </w:t>
      </w:r>
      <w:r w:rsidRPr="00A4583F">
        <w:t>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306F98CE" w14:textId="3DE40253" w:rsidR="00611AEA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11775" w:history="1">
            <w:r w:rsidR="00611AEA" w:rsidRPr="00C274A9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611AEA">
              <w:rPr>
                <w:noProof/>
                <w:webHidden/>
              </w:rPr>
              <w:tab/>
            </w:r>
            <w:r w:rsidR="00611AEA">
              <w:rPr>
                <w:noProof/>
                <w:webHidden/>
              </w:rPr>
              <w:fldChar w:fldCharType="begin"/>
            </w:r>
            <w:r w:rsidR="00611AEA">
              <w:rPr>
                <w:noProof/>
                <w:webHidden/>
              </w:rPr>
              <w:instrText xml:space="preserve"> PAGEREF _Toc197511775 \h </w:instrText>
            </w:r>
            <w:r w:rsidR="00611AEA">
              <w:rPr>
                <w:noProof/>
                <w:webHidden/>
              </w:rPr>
            </w:r>
            <w:r w:rsidR="00611AEA"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3</w:t>
            </w:r>
            <w:r w:rsidR="00611AEA">
              <w:rPr>
                <w:noProof/>
                <w:webHidden/>
              </w:rPr>
              <w:fldChar w:fldCharType="end"/>
            </w:r>
          </w:hyperlink>
        </w:p>
        <w:p w14:paraId="4445E30A" w14:textId="4BB98DD4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76" w:history="1">
            <w:r w:rsidRPr="00C274A9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C60E" w14:textId="40FB6313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77" w:history="1">
            <w:r w:rsidRPr="00C274A9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F59C" w14:textId="3B795576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78" w:history="1">
            <w:r w:rsidRPr="00C274A9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1213" w14:textId="2ABF811B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79" w:history="1">
            <w:r w:rsidRPr="00C274A9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49C7" w14:textId="20A4513A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0" w:history="1">
            <w:r w:rsidRPr="00C274A9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4044" w14:textId="7E227E71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1" w:history="1">
            <w:r w:rsidRPr="00C274A9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5CFA" w14:textId="68F2CBB4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2" w:history="1">
            <w:r w:rsidRPr="00C274A9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A86E" w14:textId="7F1D3F0E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3" w:history="1">
            <w:r w:rsidRPr="00C274A9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53FD" w14:textId="15B4BE2F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4" w:history="1">
            <w:r w:rsidRPr="00C274A9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416" w14:textId="1F042C20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5" w:history="1">
            <w:r w:rsidRPr="00C274A9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5C27" w14:textId="505B1453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6" w:history="1">
            <w:r w:rsidRPr="00C274A9">
              <w:rPr>
                <w:rStyle w:val="Hyperlink"/>
                <w:noProof/>
              </w:rPr>
              <w:t>2.4 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2E0B" w14:textId="7922710A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7" w:history="1">
            <w:r w:rsidRPr="00C274A9">
              <w:rPr>
                <w:rStyle w:val="Hyperlink"/>
                <w:noProof/>
              </w:rPr>
              <w:t>2.3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28BA" w14:textId="6FD0F354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8" w:history="1">
            <w:r w:rsidRPr="00C274A9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1B0C" w14:textId="1B9808BC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89" w:history="1">
            <w:r w:rsidRPr="00C274A9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6D08" w14:textId="6A77E7B2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0" w:history="1">
            <w:r w:rsidRPr="00C274A9">
              <w:rPr>
                <w:rStyle w:val="Hyperlink"/>
                <w:noProof/>
              </w:rPr>
              <w:t xml:space="preserve">3.1 </w:t>
            </w:r>
            <w:r w:rsidRPr="00C274A9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A54C" w14:textId="4E6B03E3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1" w:history="1">
            <w:r w:rsidRPr="00C274A9">
              <w:rPr>
                <w:rStyle w:val="Hyperlink"/>
                <w:noProof/>
              </w:rPr>
              <w:t xml:space="preserve">3.2 Սինթետիկ </w:t>
            </w:r>
            <w:r w:rsidRPr="00C274A9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22D5" w14:textId="404123A8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2" w:history="1">
            <w:r w:rsidRPr="00C274A9">
              <w:rPr>
                <w:rStyle w:val="Hyperlink"/>
                <w:noProof/>
              </w:rPr>
              <w:t xml:space="preserve">3.3 </w:t>
            </w:r>
            <w:r w:rsidRPr="00C274A9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377E" w14:textId="412644FB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3" w:history="1">
            <w:r w:rsidRPr="00C274A9">
              <w:rPr>
                <w:rStyle w:val="Hyperlink"/>
                <w:noProof/>
              </w:rPr>
              <w:t xml:space="preserve">3.4 </w:t>
            </w:r>
            <w:r w:rsidRPr="00C274A9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CF30" w14:textId="1D3557E3" w:rsidR="00611AEA" w:rsidRDefault="00611AE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4" w:history="1">
            <w:r w:rsidRPr="00C274A9">
              <w:rPr>
                <w:rStyle w:val="Hyperlink"/>
                <w:noProof/>
              </w:rPr>
              <w:t xml:space="preserve">3.5 </w:t>
            </w:r>
            <w:r w:rsidRPr="00C274A9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4C4A" w14:textId="285500D7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5" w:history="1">
            <w:r w:rsidRPr="00C274A9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8348" w14:textId="11F3BAB7" w:rsidR="00611AEA" w:rsidRDefault="00611AE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796" w:history="1">
            <w:r w:rsidRPr="00C274A9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6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3385372D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4" w:name="_Toc196513285"/>
      <w:bookmarkStart w:id="5" w:name="_Toc196995633"/>
      <w:bookmarkStart w:id="6" w:name="_Hlk196500046"/>
      <w:bookmarkStart w:id="7" w:name="_Toc197511776"/>
      <w:r>
        <w:lastRenderedPageBreak/>
        <w:t>ՆԵՐԱԾՈՒԹՅՈՒՆ</w:t>
      </w:r>
      <w:bookmarkEnd w:id="4"/>
      <w:bookmarkEnd w:id="5"/>
      <w:bookmarkEnd w:id="7"/>
    </w:p>
    <w:p w14:paraId="1EFF325E" w14:textId="77777777" w:rsidR="00EC59E8" w:rsidRPr="00EC59E8" w:rsidRDefault="00EC59E8" w:rsidP="00EC59E8"/>
    <w:bookmarkEnd w:id="6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C954B45" w14:textId="77777777" w:rsidR="00273830" w:rsidRDefault="00273830" w:rsidP="00611AEA">
      <w:pPr>
        <w:ind w:firstLine="0"/>
      </w:pPr>
    </w:p>
    <w:p w14:paraId="19B95842" w14:textId="77777777" w:rsidR="00FA0332" w:rsidRDefault="00FA0332" w:rsidP="00611AEA">
      <w:pPr>
        <w:pStyle w:val="Heading1"/>
        <w:pageBreakBefore/>
        <w:ind w:firstLine="0"/>
        <w:rPr>
          <w:lang w:val="hy-AM"/>
        </w:rPr>
      </w:pPr>
      <w:bookmarkStart w:id="8" w:name="_Toc195863027"/>
      <w:bookmarkStart w:id="9" w:name="_Toc196206277"/>
      <w:bookmarkStart w:id="10" w:name="_Toc196513286"/>
      <w:bookmarkStart w:id="11" w:name="_Toc196995634"/>
      <w:bookmarkStart w:id="12" w:name="_Toc197511777"/>
      <w:r w:rsidRPr="00FA0332">
        <w:rPr>
          <w:lang w:val="hy-AM"/>
        </w:rPr>
        <w:lastRenderedPageBreak/>
        <w:t>Գլուխ 1</w:t>
      </w:r>
      <w:bookmarkEnd w:id="8"/>
      <w:bookmarkEnd w:id="9"/>
      <w:bookmarkEnd w:id="10"/>
      <w:bookmarkEnd w:id="11"/>
      <w:bookmarkEnd w:id="12"/>
    </w:p>
    <w:p w14:paraId="6F6FF831" w14:textId="2DC7DE8C" w:rsidR="00FA0332" w:rsidRDefault="007F556B" w:rsidP="008A7D5A">
      <w:pPr>
        <w:pStyle w:val="Heading2"/>
        <w:ind w:firstLine="0"/>
      </w:pPr>
      <w:bookmarkStart w:id="13" w:name="_1.1_Դևիսի_և"/>
      <w:bookmarkStart w:id="14" w:name="_Toc196513287"/>
      <w:bookmarkStart w:id="15" w:name="_Toc196995635"/>
      <w:bookmarkStart w:id="16" w:name="_Toc197511778"/>
      <w:bookmarkEnd w:id="13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4"/>
      <w:bookmarkEnd w:id="15"/>
      <w:bookmarkEnd w:id="16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7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7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8" w:name="_Toc196513288"/>
      <w:bookmarkStart w:id="19" w:name="_Toc196995636"/>
      <w:bookmarkStart w:id="20" w:name="_Toc197511779"/>
      <w:r>
        <w:t xml:space="preserve">1.2 </w:t>
      </w:r>
      <w:r w:rsidRPr="002C69B4">
        <w:t>Ռեզոլյուցիայի մեթոդը տրամաբանակ արտահայտություններում</w:t>
      </w:r>
      <w:bookmarkEnd w:id="18"/>
      <w:bookmarkEnd w:id="19"/>
      <w:bookmarkEnd w:id="20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1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1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w:lastRenderedPageBreak/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2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2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3" w:name="_Toc196513289"/>
      <w:bookmarkStart w:id="24" w:name="_Toc196995637"/>
      <w:bookmarkStart w:id="25" w:name="_Toc197511780"/>
      <w:r>
        <w:t xml:space="preserve">1.3 </w:t>
      </w:r>
      <w:r w:rsidRPr="00200623">
        <w:t>Փոխարինում և ունիֆիկացիա</w:t>
      </w:r>
      <w:bookmarkEnd w:id="23"/>
      <w:bookmarkEnd w:id="24"/>
      <w:bookmarkEnd w:id="25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lastRenderedPageBreak/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6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6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7" w:name="_Toc196513290"/>
      <w:bookmarkStart w:id="28" w:name="_Toc196995638"/>
      <w:bookmarkStart w:id="29" w:name="_Toc197511781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7"/>
      <w:bookmarkEnd w:id="28"/>
      <w:bookmarkEnd w:id="29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</w:t>
      </w:r>
      <w:r w:rsidRPr="00820F12">
        <w:rPr>
          <w:lang w:val="hy-AM"/>
        </w:rPr>
        <w:lastRenderedPageBreak/>
        <w:t xml:space="preserve">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0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0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1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={P(a, x, f(g(y))),   P(a, f(a), f(u))}</m:t>
          </m:r>
        </m:oMath>
      </m:oMathPara>
    </w:p>
    <w:bookmarkStart w:id="32" w:name="_Hlk193212897"/>
    <w:bookmarkEnd w:id="31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2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3" w:name="_Toc196513291"/>
      <w:bookmarkStart w:id="34" w:name="_Toc196995639"/>
      <w:bookmarkStart w:id="35" w:name="_Toc197511782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3"/>
      <w:bookmarkEnd w:id="34"/>
      <w:bookmarkEnd w:id="35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lastRenderedPageBreak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6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6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611AEA">
      <w:pPr>
        <w:pStyle w:val="Heading1"/>
        <w:pageBreakBefore/>
        <w:ind w:firstLine="0"/>
        <w:rPr>
          <w:lang w:val="hy-AM"/>
        </w:rPr>
      </w:pPr>
      <w:bookmarkStart w:id="37" w:name="_Toc196513292"/>
      <w:bookmarkStart w:id="38" w:name="_Toc196995640"/>
      <w:bookmarkStart w:id="39" w:name="_Hlk197343058"/>
      <w:bookmarkStart w:id="40" w:name="_Toc197511783"/>
      <w:r w:rsidRPr="008C1E85">
        <w:rPr>
          <w:lang w:val="hy-AM"/>
        </w:rPr>
        <w:lastRenderedPageBreak/>
        <w:t>Գլուխ 2</w:t>
      </w:r>
      <w:bookmarkEnd w:id="37"/>
      <w:bookmarkEnd w:id="38"/>
      <w:bookmarkEnd w:id="40"/>
    </w:p>
    <w:p w14:paraId="38BBC31D" w14:textId="002E638C" w:rsidR="003610B2" w:rsidRDefault="00400310" w:rsidP="002B2D5C">
      <w:pPr>
        <w:pStyle w:val="Heading2"/>
        <w:ind w:firstLine="0"/>
      </w:pPr>
      <w:bookmarkStart w:id="41" w:name="_Toc196995641"/>
      <w:bookmarkStart w:id="42" w:name="_Toc197511784"/>
      <w:bookmarkEnd w:id="39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1"/>
      <w:bookmarkEnd w:id="42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FD2965F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3" w:name="Introduction"/>
      <w:r w:rsidRPr="008F128B">
        <w:rPr>
          <w:iCs/>
        </w:rPr>
        <w:t>first-order form</w:t>
      </w:r>
      <w:bookmarkEnd w:id="43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44" w:name="_Toc196995642"/>
      <w:bookmarkStart w:id="45" w:name="_Toc197511785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44"/>
      <w:bookmarkEnd w:id="45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19B94E55" w:rsidR="006F06BC" w:rsidRDefault="006F06BC" w:rsidP="006F06BC">
      <w:pPr>
        <w:pStyle w:val="Heading2"/>
        <w:ind w:firstLine="0"/>
      </w:pPr>
      <w:bookmarkStart w:id="46" w:name="_Toc197511786"/>
      <w:r>
        <w:t>2.4 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6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7" w:name="_Hlk197097017"/>
      <w:r w:rsidRPr="00893356">
        <w:t>Սահմանափակումներ</w:t>
      </w:r>
      <w:r w:rsidR="001A6AC6">
        <w:t>ը</w:t>
      </w:r>
      <w:r>
        <w:t>`</w:t>
      </w:r>
    </w:p>
    <w:bookmarkEnd w:id="47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77777777" w:rsidR="006E1F12" w:rsidRPr="006E1F12" w:rsidRDefault="006E1F12" w:rsidP="006E1F12">
      <w:pPr>
        <w:pStyle w:val="Heading2"/>
        <w:ind w:firstLine="0"/>
      </w:pPr>
      <w:bookmarkStart w:id="48" w:name="_Toc196995643"/>
      <w:bookmarkStart w:id="49" w:name="_Toc197511787"/>
      <w:r w:rsidRPr="006E1F12">
        <w:t xml:space="preserve">2.3 </w:t>
      </w:r>
      <w:bookmarkEnd w:id="48"/>
      <w:r w:rsidRPr="006E1F12">
        <w:t>TPTP գրադարանի ակսիոմների օգտագործում</w:t>
      </w:r>
      <w:bookmarkEnd w:id="49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50" w:name="_Toc197511788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50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1" w:name="_Toc197511789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1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2" w:name="_Toc197511790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2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1A934A5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58BCC9BD" w14:textId="77777777" w:rsidR="00CE6E23" w:rsidRDefault="00CE6E23" w:rsidP="00AD54AF"/>
    <w:p w14:paraId="4C367362" w14:textId="143E68EB" w:rsidR="00E67055" w:rsidRDefault="004B13B8" w:rsidP="00E67055">
      <w:pPr>
        <w:pStyle w:val="Heading2"/>
        <w:ind w:firstLine="0"/>
        <w:rPr>
          <w:lang w:val="hy-AM"/>
        </w:rPr>
      </w:pPr>
      <w:bookmarkStart w:id="53" w:name="_Toc197511791"/>
      <w:r>
        <w:t>3.2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3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48A65F53" w:rsidR="008459C3" w:rsidRPr="008459C3" w:rsidRDefault="008459C3" w:rsidP="008459C3">
      <w:r w:rsidRPr="008459C3">
        <w:t xml:space="preserve">Ծրագիրը բացում է տրված TPTP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</w:t>
      </w:r>
      <w:r w:rsidRPr="008459C3">
        <w:lastRenderedPageBreak/>
        <w:t xml:space="preserve">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4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4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</w:t>
      </w:r>
      <w:r w:rsidR="004B0265">
        <w:lastRenderedPageBreak/>
        <w:t xml:space="preserve">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lastRenderedPageBreak/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44F1C1B3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5" w:name="_Toc197511792"/>
      <w:r w:rsidRPr="0038663C">
        <w:t>3.</w:t>
      </w:r>
      <w:r w:rsidR="00DE05F4">
        <w:t>3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>
        <w:rPr>
          <w:lang w:val="hy-AM"/>
        </w:rPr>
        <w:t xml:space="preserve">և </w:t>
      </w:r>
      <w:r w:rsidRPr="0038663C">
        <w:rPr>
          <w:lang w:val="hy-AM"/>
        </w:rPr>
        <w:t>ապացույցների մշակում</w:t>
      </w:r>
      <w:bookmarkEnd w:id="55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797F65"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</w:t>
      </w:r>
      <w:r w:rsidRPr="00E31EA8">
        <w:lastRenderedPageBreak/>
        <w:t>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1F5960BE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6" w:name="_Toc197511793"/>
      <w:r w:rsidRPr="0038663C">
        <w:t>3.</w:t>
      </w:r>
      <w:r>
        <w:t>4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6"/>
    </w:p>
    <w:p w14:paraId="617FB434" w14:textId="77777777" w:rsidR="00A3615C" w:rsidRDefault="00A3615C" w:rsidP="008F0ABB"/>
    <w:p w14:paraId="7AE45361" w14:textId="2F43F8E3" w:rsidR="00597DAE" w:rsidRDefault="00C7298E" w:rsidP="009E7EA1">
      <w:r w:rsidRPr="00C7298E">
        <w:t>Այս ենթաբաժինը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1E812857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Արգումենտների տիպերը (max_args=3) - յուրաքանչյուրը կոդավորված հետևյալ 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C87AB29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-1՝ լրացնող արժեք (padding), եթե արգումենտների քանակը 3-ից պակաս է</w:t>
      </w:r>
      <w:r>
        <w:t>,</w:t>
      </w:r>
    </w:p>
    <w:p w14:paraId="1F4BF8E2" w14:textId="327905E1" w:rsidR="00C7298E" w:rsidRDefault="00C7298E" w:rsidP="009E7EA1">
      <w:r w:rsidRPr="00C7298E">
        <w:lastRenderedPageBreak/>
        <w:t>Այս եղանակով յուրաքանչյուր լիտերալ վերածվում է 5 չափանի թվային վեկտորի, որը պահպանում է նրա իմաստաբանական (սեմանտիկ) հատկությունները։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t>Խնդրի գրաֆային ներկայացման համար կիրառվում է հետևյալ մոտեցումը՝</w:t>
      </w:r>
    </w:p>
    <w:p w14:paraId="27489736" w14:textId="022C52F0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Յուրաքանչյուր գագաթի հատկանիշները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Կողեր (Edges)</w:t>
      </w:r>
      <w:r>
        <w:t xml:space="preserve"> - գրաֆի կողերը ստեղծվում են այն լիտերալների զույգերի միջև, որոնք կարող են ռեզոլյուցիայի ենթարկվել: 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2F39675" w:rsidR="00287FF9" w:rsidRDefault="00287FF9" w:rsidP="00287FF9">
      <w:pPr>
        <w:pStyle w:val="ListParagraph"/>
        <w:numPr>
          <w:ilvl w:val="0"/>
          <w:numId w:val="64"/>
        </w:numPr>
      </w:pPr>
      <w:r>
        <w:t>Գագաթի հատկանիշների չափը՝ 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Պարտիաների ձևավորում (Batching)</w:t>
      </w:r>
      <w:r>
        <w:t xml:space="preserve"> - գրաֆները խմբավորվում են պարտիաների մեջ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75F8DAD7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 fine-tuning։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վիճակից։</w:t>
      </w:r>
    </w:p>
    <w:p w14:paraId="79DCB383" w14:textId="5357911F" w:rsidR="00EB21E8" w:rsidRDefault="00EB21E8" w:rsidP="00EB21E8">
      <w:pPr>
        <w:pStyle w:val="ListParagraph"/>
        <w:numPr>
          <w:ilvl w:val="0"/>
          <w:numId w:val="66"/>
        </w:numPr>
      </w:pPr>
      <w:r>
        <w:t>Իրականացնել fine-tuning՝ նոր տվյալների վրա հիմնվելով։</w:t>
      </w:r>
    </w:p>
    <w:p w14:paraId="453A23D1" w14:textId="2886621D" w:rsidR="00EB21E8" w:rsidRDefault="00EB21E8" w:rsidP="009E7EA1">
      <w:r w:rsidRPr="00EB21E8">
        <w:t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fine-tune անել այն կոնկրետ տիրույթի (օր.՝ հավասարությունների թեորիա, բազմությունների թեորիա 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վրա։</w:t>
      </w:r>
    </w:p>
    <w:p w14:paraId="64F34BA3" w14:textId="09E7D1EA" w:rsidR="00EB21E8" w:rsidRDefault="00EB21E8" w:rsidP="009E7EA1">
      <w:r w:rsidRPr="00EB21E8">
        <w:t>Մոդելը սովորաբար ուսուցանվում է 10-30 էպոխաների ընթացքում, կախված տվյալների քանակից և բարդությունից։ Վերջնական մոդելն ունի մոտ 85-95% ճշգրտություն թեստային բազմության վրա՝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lastRenderedPageBreak/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t>GPU-ի վրա՝ արագացված ուսուցման համար (CUDA միջոցով)։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մեջ։</w:t>
      </w:r>
    </w:p>
    <w:p w14:paraId="6E69C006" w14:textId="2F09C974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պահպանելով հնարավորին մոդելի ընդհանրացման հատկությունը։</w:t>
      </w:r>
    </w:p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22363347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7" w:name="_Toc197511794"/>
      <w:r w:rsidRPr="0038663C">
        <w:t>3.</w:t>
      </w:r>
      <w:r>
        <w:t>5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57"/>
    </w:p>
    <w:p w14:paraId="3B2FFDCD" w14:textId="77777777" w:rsidR="002457CC" w:rsidRDefault="002457CC" w:rsidP="009E7EA1"/>
    <w:p w14:paraId="1EAB4A8E" w14:textId="222335C8" w:rsidR="00C162B8" w:rsidRPr="00E11BF1" w:rsidRDefault="00C162B8" w:rsidP="009E7EA1">
      <w:pPr>
        <w:rPr>
          <w:rFonts w:asciiTheme="minorHAnsi" w:hAnsiTheme="minorHAnsi"/>
          <w:lang w:val="hy-AM"/>
        </w:rPr>
      </w:pP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58" w:name="_Toc197511795"/>
      <w:r>
        <w:lastRenderedPageBreak/>
        <w:t>ԵԶՐԱԿԱՑՈՒԹՅՈՒՆՆԵՐ և ԱՌԱՋԱՐԿՈՒԹՅՈՒՆՆԵՐ</w:t>
      </w:r>
      <w:bookmarkEnd w:id="58"/>
    </w:p>
    <w:p w14:paraId="119C6863" w14:textId="77777777" w:rsidR="00370F2B" w:rsidRDefault="00370F2B" w:rsidP="00370F2B">
      <w:pPr>
        <w:ind w:firstLine="0"/>
      </w:pPr>
    </w:p>
    <w:p w14:paraId="7029A0CA" w14:textId="5CA3AF85" w:rsidR="00370F2B" w:rsidRDefault="00370F2B" w:rsidP="009E7EA1"/>
    <w:p w14:paraId="4460829C" w14:textId="2C517631" w:rsidR="00C162B8" w:rsidRDefault="00A15DAB" w:rsidP="00662556">
      <w:pPr>
        <w:pStyle w:val="Heading1"/>
        <w:pageBreakBefore/>
        <w:ind w:firstLine="0"/>
      </w:pPr>
      <w:bookmarkStart w:id="59" w:name="_Toc197511796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59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4F80DB25" w:rsidR="00C162B8" w:rsidRDefault="00416EB4" w:rsidP="009E7EA1">
      <w:r w:rsidRPr="00416EB4">
        <w:t>Գրքեր՝</w:t>
      </w:r>
    </w:p>
    <w:p w14:paraId="4F9F22B6" w14:textId="302ED17F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>
        <w:t xml:space="preserve"> </w:t>
      </w:r>
      <w:r w:rsidRPr="006D1315">
        <w:t>Математическая логика и автоматическое доказательство теорем</w:t>
      </w:r>
    </w:p>
    <w:p w14:paraId="00E6906B" w14:textId="7AEBCFC6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Pr="00416EB4">
        <w:t>Resolution Theorem Proving</w:t>
      </w:r>
    </w:p>
    <w:p w14:paraId="1D323041" w14:textId="44651525" w:rsidR="00416EB4" w:rsidRDefault="00416EB4" w:rsidP="00416EB4">
      <w:r>
        <w:t>Նյութեր համացանցից</w:t>
      </w:r>
      <w:r w:rsidRPr="00416EB4">
        <w:t>՝</w:t>
      </w:r>
    </w:p>
    <w:p w14:paraId="3F69DEB0" w14:textId="4BEEB947" w:rsidR="00646028" w:rsidRDefault="00646028" w:rsidP="00646028">
      <w:pPr>
        <w:pStyle w:val="ListParagraph"/>
        <w:numPr>
          <w:ilvl w:val="0"/>
          <w:numId w:val="60"/>
        </w:numPr>
      </w:pPr>
      <w:hyperlink r:id="rId8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5CCAB93C" w14:textId="5A5B9B51" w:rsidR="00416EB4" w:rsidRDefault="00646028" w:rsidP="00416EB4">
      <w:pPr>
        <w:pStyle w:val="ListParagraph"/>
        <w:numPr>
          <w:ilvl w:val="0"/>
          <w:numId w:val="60"/>
        </w:numPr>
      </w:pPr>
      <w:hyperlink r:id="rId9" w:history="1">
        <w:r w:rsidRPr="003B1898">
          <w:rPr>
            <w:rStyle w:val="Hyperlink"/>
          </w:rPr>
          <w:t>https://vprover.github.io/</w:t>
        </w:r>
      </w:hyperlink>
    </w:p>
    <w:p w14:paraId="3CA9E17E" w14:textId="07E7E079" w:rsidR="00416EB4" w:rsidRDefault="00416EB4" w:rsidP="00416EB4">
      <w:pPr>
        <w:pStyle w:val="ListParagraph"/>
        <w:numPr>
          <w:ilvl w:val="0"/>
          <w:numId w:val="60"/>
        </w:numPr>
      </w:pPr>
      <w:hyperlink r:id="rId10" w:history="1">
        <w:r w:rsidRPr="003B1898">
          <w:rPr>
            <w:rStyle w:val="Hyperlink"/>
          </w:rPr>
          <w:t>https://www.tptp.org/</w:t>
        </w:r>
      </w:hyperlink>
    </w:p>
    <w:p w14:paraId="0484914B" w14:textId="238A8AAE" w:rsidR="00646028" w:rsidRDefault="00646028" w:rsidP="00416EB4">
      <w:pPr>
        <w:pStyle w:val="ListParagraph"/>
        <w:numPr>
          <w:ilvl w:val="0"/>
          <w:numId w:val="60"/>
        </w:numPr>
      </w:pPr>
      <w:hyperlink r:id="rId11" w:history="1">
        <w:r w:rsidRPr="003B1898">
          <w:rPr>
            <w:rStyle w:val="Hyperlink"/>
          </w:rPr>
          <w:t>https://theaisummer.com/gnn-architectures/</w:t>
        </w:r>
      </w:hyperlink>
    </w:p>
    <w:p w14:paraId="7E0A606C" w14:textId="428CDFEF" w:rsidR="00646028" w:rsidRDefault="00646028" w:rsidP="00784EC0">
      <w:pPr>
        <w:pStyle w:val="ListParagraph"/>
        <w:numPr>
          <w:ilvl w:val="0"/>
          <w:numId w:val="60"/>
        </w:numPr>
      </w:pPr>
      <w:hyperlink r:id="rId12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3DBD1A97" w14:textId="0449B1BB" w:rsidR="006D1315" w:rsidRDefault="006D1315" w:rsidP="009E7EA1"/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3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759A3" w14:textId="77777777" w:rsidR="009E07EB" w:rsidRDefault="009E07EB">
      <w:pPr>
        <w:spacing w:after="0" w:line="240" w:lineRule="auto"/>
      </w:pPr>
      <w:r>
        <w:separator/>
      </w:r>
    </w:p>
  </w:endnote>
  <w:endnote w:type="continuationSeparator" w:id="0">
    <w:p w14:paraId="6AC128EB" w14:textId="77777777" w:rsidR="009E07EB" w:rsidRDefault="009E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4FB4E" w14:textId="77777777" w:rsidR="009E07EB" w:rsidRDefault="009E07EB">
      <w:pPr>
        <w:spacing w:after="0" w:line="240" w:lineRule="auto"/>
      </w:pPr>
      <w:r>
        <w:separator/>
      </w:r>
    </w:p>
  </w:footnote>
  <w:footnote w:type="continuationSeparator" w:id="0">
    <w:p w14:paraId="1A67532D" w14:textId="77777777" w:rsidR="009E07EB" w:rsidRDefault="009E0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4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7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58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4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8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57"/>
  </w:num>
  <w:num w:numId="11" w16cid:durableId="1473712023">
    <w:abstractNumId w:val="39"/>
  </w:num>
  <w:num w:numId="12" w16cid:durableId="644893621">
    <w:abstractNumId w:val="49"/>
  </w:num>
  <w:num w:numId="13" w16cid:durableId="1487746178">
    <w:abstractNumId w:val="45"/>
  </w:num>
  <w:num w:numId="14" w16cid:durableId="169024027">
    <w:abstractNumId w:val="19"/>
  </w:num>
  <w:num w:numId="15" w16cid:durableId="7567879">
    <w:abstractNumId w:val="47"/>
  </w:num>
  <w:num w:numId="16" w16cid:durableId="1727728435">
    <w:abstractNumId w:val="23"/>
  </w:num>
  <w:num w:numId="17" w16cid:durableId="2010056996">
    <w:abstractNumId w:val="26"/>
  </w:num>
  <w:num w:numId="18" w16cid:durableId="1544825016">
    <w:abstractNumId w:val="59"/>
  </w:num>
  <w:num w:numId="19" w16cid:durableId="2028751894">
    <w:abstractNumId w:val="24"/>
  </w:num>
  <w:num w:numId="20" w16cid:durableId="390034786">
    <w:abstractNumId w:val="50"/>
  </w:num>
  <w:num w:numId="21" w16cid:durableId="408045165">
    <w:abstractNumId w:val="14"/>
  </w:num>
  <w:num w:numId="22" w16cid:durableId="1916892475">
    <w:abstractNumId w:val="37"/>
  </w:num>
  <w:num w:numId="23" w16cid:durableId="1084104810">
    <w:abstractNumId w:val="27"/>
  </w:num>
  <w:num w:numId="24" w16cid:durableId="198323887">
    <w:abstractNumId w:val="66"/>
  </w:num>
  <w:num w:numId="25" w16cid:durableId="2109618542">
    <w:abstractNumId w:val="38"/>
  </w:num>
  <w:num w:numId="26" w16cid:durableId="1533036919">
    <w:abstractNumId w:val="10"/>
  </w:num>
  <w:num w:numId="27" w16cid:durableId="787042025">
    <w:abstractNumId w:val="65"/>
  </w:num>
  <w:num w:numId="28" w16cid:durableId="50472342">
    <w:abstractNumId w:val="35"/>
  </w:num>
  <w:num w:numId="29" w16cid:durableId="697773875">
    <w:abstractNumId w:val="54"/>
  </w:num>
  <w:num w:numId="30" w16cid:durableId="694422023">
    <w:abstractNumId w:val="9"/>
  </w:num>
  <w:num w:numId="31" w16cid:durableId="2052722739">
    <w:abstractNumId w:val="25"/>
  </w:num>
  <w:num w:numId="32" w16cid:durableId="1502038420">
    <w:abstractNumId w:val="51"/>
  </w:num>
  <w:num w:numId="33" w16cid:durableId="1805807851">
    <w:abstractNumId w:val="60"/>
  </w:num>
  <w:num w:numId="34" w16cid:durableId="1789544243">
    <w:abstractNumId w:val="48"/>
  </w:num>
  <w:num w:numId="35" w16cid:durableId="405765482">
    <w:abstractNumId w:val="28"/>
  </w:num>
  <w:num w:numId="36" w16cid:durableId="672881742">
    <w:abstractNumId w:val="22"/>
  </w:num>
  <w:num w:numId="37" w16cid:durableId="1540817480">
    <w:abstractNumId w:val="44"/>
  </w:num>
  <w:num w:numId="38" w16cid:durableId="1067803517">
    <w:abstractNumId w:val="12"/>
  </w:num>
  <w:num w:numId="39" w16cid:durableId="893735189">
    <w:abstractNumId w:val="58"/>
  </w:num>
  <w:num w:numId="40" w16cid:durableId="282737210">
    <w:abstractNumId w:val="56"/>
  </w:num>
  <w:num w:numId="41" w16cid:durableId="322437231">
    <w:abstractNumId w:val="36"/>
  </w:num>
  <w:num w:numId="42" w16cid:durableId="633828083">
    <w:abstractNumId w:val="17"/>
  </w:num>
  <w:num w:numId="43" w16cid:durableId="681857505">
    <w:abstractNumId w:val="18"/>
  </w:num>
  <w:num w:numId="44" w16cid:durableId="185800852">
    <w:abstractNumId w:val="55"/>
  </w:num>
  <w:num w:numId="45" w16cid:durableId="75252084">
    <w:abstractNumId w:val="34"/>
  </w:num>
  <w:num w:numId="46" w16cid:durableId="673259893">
    <w:abstractNumId w:val="46"/>
  </w:num>
  <w:num w:numId="47" w16cid:durableId="1107894496">
    <w:abstractNumId w:val="63"/>
  </w:num>
  <w:num w:numId="48" w16cid:durableId="1281642475">
    <w:abstractNumId w:val="33"/>
  </w:num>
  <w:num w:numId="49" w16cid:durableId="252596354">
    <w:abstractNumId w:val="41"/>
  </w:num>
  <w:num w:numId="50" w16cid:durableId="421603767">
    <w:abstractNumId w:val="20"/>
  </w:num>
  <w:num w:numId="51" w16cid:durableId="2026704959">
    <w:abstractNumId w:val="11"/>
  </w:num>
  <w:num w:numId="52" w16cid:durableId="550658400">
    <w:abstractNumId w:val="30"/>
  </w:num>
  <w:num w:numId="53" w16cid:durableId="1958294374">
    <w:abstractNumId w:val="67"/>
  </w:num>
  <w:num w:numId="54" w16cid:durableId="275871257">
    <w:abstractNumId w:val="68"/>
  </w:num>
  <w:num w:numId="55" w16cid:durableId="1665742503">
    <w:abstractNumId w:val="61"/>
  </w:num>
  <w:num w:numId="56" w16cid:durableId="819224932">
    <w:abstractNumId w:val="15"/>
  </w:num>
  <w:num w:numId="57" w16cid:durableId="1366366916">
    <w:abstractNumId w:val="13"/>
  </w:num>
  <w:num w:numId="58" w16cid:durableId="2069573966">
    <w:abstractNumId w:val="32"/>
  </w:num>
  <w:num w:numId="59" w16cid:durableId="1314918343">
    <w:abstractNumId w:val="43"/>
  </w:num>
  <w:num w:numId="60" w16cid:durableId="1024014489">
    <w:abstractNumId w:val="62"/>
  </w:num>
  <w:num w:numId="61" w16cid:durableId="1869369678">
    <w:abstractNumId w:val="53"/>
  </w:num>
  <w:num w:numId="62" w16cid:durableId="2071732407">
    <w:abstractNumId w:val="52"/>
  </w:num>
  <w:num w:numId="63" w16cid:durableId="792095480">
    <w:abstractNumId w:val="64"/>
  </w:num>
  <w:num w:numId="64" w16cid:durableId="1896814698">
    <w:abstractNumId w:val="40"/>
  </w:num>
  <w:num w:numId="65" w16cid:durableId="326716806">
    <w:abstractNumId w:val="42"/>
  </w:num>
  <w:num w:numId="66" w16cid:durableId="1350447241">
    <w:abstractNumId w:val="29"/>
  </w:num>
  <w:num w:numId="67" w16cid:durableId="1487816896">
    <w:abstractNumId w:val="31"/>
  </w:num>
  <w:num w:numId="68" w16cid:durableId="1319457928">
    <w:abstractNumId w:val="21"/>
  </w:num>
  <w:num w:numId="69" w16cid:durableId="750007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757C"/>
    <w:rsid w:val="00071FA9"/>
    <w:rsid w:val="00077792"/>
    <w:rsid w:val="00077CAE"/>
    <w:rsid w:val="00082083"/>
    <w:rsid w:val="00087233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3678B"/>
    <w:rsid w:val="00140981"/>
    <w:rsid w:val="00143C93"/>
    <w:rsid w:val="0015074B"/>
    <w:rsid w:val="00163175"/>
    <w:rsid w:val="00171A9E"/>
    <w:rsid w:val="001777EA"/>
    <w:rsid w:val="00181C91"/>
    <w:rsid w:val="001928BC"/>
    <w:rsid w:val="00195121"/>
    <w:rsid w:val="00195209"/>
    <w:rsid w:val="00195609"/>
    <w:rsid w:val="001A5B94"/>
    <w:rsid w:val="001A6AC6"/>
    <w:rsid w:val="001A788A"/>
    <w:rsid w:val="001B446E"/>
    <w:rsid w:val="001B52A2"/>
    <w:rsid w:val="001B7D1C"/>
    <w:rsid w:val="001C5101"/>
    <w:rsid w:val="001D08CB"/>
    <w:rsid w:val="001D2C7F"/>
    <w:rsid w:val="001E3ACB"/>
    <w:rsid w:val="001F780F"/>
    <w:rsid w:val="00200623"/>
    <w:rsid w:val="00214252"/>
    <w:rsid w:val="002407DF"/>
    <w:rsid w:val="002457CC"/>
    <w:rsid w:val="00246CFC"/>
    <w:rsid w:val="00246F71"/>
    <w:rsid w:val="00250526"/>
    <w:rsid w:val="002554E4"/>
    <w:rsid w:val="0026385E"/>
    <w:rsid w:val="00271671"/>
    <w:rsid w:val="00273830"/>
    <w:rsid w:val="002742B0"/>
    <w:rsid w:val="00287607"/>
    <w:rsid w:val="00287FF9"/>
    <w:rsid w:val="00294EDD"/>
    <w:rsid w:val="0029639D"/>
    <w:rsid w:val="002B2D5C"/>
    <w:rsid w:val="002C1169"/>
    <w:rsid w:val="002C69B4"/>
    <w:rsid w:val="002D2CE3"/>
    <w:rsid w:val="002E172A"/>
    <w:rsid w:val="002E6018"/>
    <w:rsid w:val="002F3B75"/>
    <w:rsid w:val="002F7789"/>
    <w:rsid w:val="00302642"/>
    <w:rsid w:val="00315DEF"/>
    <w:rsid w:val="00317E9E"/>
    <w:rsid w:val="00326F90"/>
    <w:rsid w:val="003358C4"/>
    <w:rsid w:val="003454E5"/>
    <w:rsid w:val="003610B2"/>
    <w:rsid w:val="00370F2B"/>
    <w:rsid w:val="00372B5E"/>
    <w:rsid w:val="00377837"/>
    <w:rsid w:val="0037784E"/>
    <w:rsid w:val="00382C54"/>
    <w:rsid w:val="0038595E"/>
    <w:rsid w:val="0038663C"/>
    <w:rsid w:val="0039241B"/>
    <w:rsid w:val="003A5402"/>
    <w:rsid w:val="003B2BC5"/>
    <w:rsid w:val="003C517B"/>
    <w:rsid w:val="003E2818"/>
    <w:rsid w:val="003F4062"/>
    <w:rsid w:val="00400310"/>
    <w:rsid w:val="00416EB4"/>
    <w:rsid w:val="004240BF"/>
    <w:rsid w:val="004273B7"/>
    <w:rsid w:val="00431523"/>
    <w:rsid w:val="0043275B"/>
    <w:rsid w:val="004502DC"/>
    <w:rsid w:val="00450C12"/>
    <w:rsid w:val="00453C13"/>
    <w:rsid w:val="00476270"/>
    <w:rsid w:val="004914A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74E"/>
    <w:rsid w:val="005876DB"/>
    <w:rsid w:val="005951B1"/>
    <w:rsid w:val="00597DAE"/>
    <w:rsid w:val="005B0D29"/>
    <w:rsid w:val="005B632A"/>
    <w:rsid w:val="005D5D75"/>
    <w:rsid w:val="00600C3A"/>
    <w:rsid w:val="00604ECF"/>
    <w:rsid w:val="00611AEA"/>
    <w:rsid w:val="0061460A"/>
    <w:rsid w:val="0061704C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92865"/>
    <w:rsid w:val="00695066"/>
    <w:rsid w:val="00695BE0"/>
    <w:rsid w:val="0069680B"/>
    <w:rsid w:val="006C05F5"/>
    <w:rsid w:val="006C6AA1"/>
    <w:rsid w:val="006D060A"/>
    <w:rsid w:val="006D1315"/>
    <w:rsid w:val="006D6735"/>
    <w:rsid w:val="006E1F12"/>
    <w:rsid w:val="006E425D"/>
    <w:rsid w:val="006E761B"/>
    <w:rsid w:val="006F06BC"/>
    <w:rsid w:val="006F7D8C"/>
    <w:rsid w:val="00702A46"/>
    <w:rsid w:val="00724A18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556B"/>
    <w:rsid w:val="008074C3"/>
    <w:rsid w:val="00820F12"/>
    <w:rsid w:val="00822FEE"/>
    <w:rsid w:val="008459C3"/>
    <w:rsid w:val="008468FA"/>
    <w:rsid w:val="0084798D"/>
    <w:rsid w:val="00847D77"/>
    <w:rsid w:val="00867A69"/>
    <w:rsid w:val="008800F4"/>
    <w:rsid w:val="00893356"/>
    <w:rsid w:val="00894149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4050C"/>
    <w:rsid w:val="009553B5"/>
    <w:rsid w:val="00964BB6"/>
    <w:rsid w:val="009812F1"/>
    <w:rsid w:val="009A0111"/>
    <w:rsid w:val="009B215C"/>
    <w:rsid w:val="009D4E18"/>
    <w:rsid w:val="009E07EB"/>
    <w:rsid w:val="009E1240"/>
    <w:rsid w:val="009E3E22"/>
    <w:rsid w:val="009E7EA1"/>
    <w:rsid w:val="009F0D5B"/>
    <w:rsid w:val="009F4ADA"/>
    <w:rsid w:val="00A10B9D"/>
    <w:rsid w:val="00A15DAB"/>
    <w:rsid w:val="00A24CCE"/>
    <w:rsid w:val="00A3615C"/>
    <w:rsid w:val="00A4389D"/>
    <w:rsid w:val="00A448C1"/>
    <w:rsid w:val="00A4583F"/>
    <w:rsid w:val="00A548F2"/>
    <w:rsid w:val="00A76878"/>
    <w:rsid w:val="00A77862"/>
    <w:rsid w:val="00A91DB3"/>
    <w:rsid w:val="00AA1D8D"/>
    <w:rsid w:val="00AA63DC"/>
    <w:rsid w:val="00AA7949"/>
    <w:rsid w:val="00AC1CA4"/>
    <w:rsid w:val="00AC21A5"/>
    <w:rsid w:val="00AD54AF"/>
    <w:rsid w:val="00AE1C73"/>
    <w:rsid w:val="00AE2F54"/>
    <w:rsid w:val="00AE65AA"/>
    <w:rsid w:val="00AF2B3E"/>
    <w:rsid w:val="00B25656"/>
    <w:rsid w:val="00B47730"/>
    <w:rsid w:val="00B525B0"/>
    <w:rsid w:val="00B62562"/>
    <w:rsid w:val="00B7062B"/>
    <w:rsid w:val="00B731B7"/>
    <w:rsid w:val="00B8290B"/>
    <w:rsid w:val="00B9132C"/>
    <w:rsid w:val="00B95372"/>
    <w:rsid w:val="00B96478"/>
    <w:rsid w:val="00BA48F8"/>
    <w:rsid w:val="00BC0F99"/>
    <w:rsid w:val="00BC6E21"/>
    <w:rsid w:val="00C051A1"/>
    <w:rsid w:val="00C11209"/>
    <w:rsid w:val="00C162B8"/>
    <w:rsid w:val="00C22C58"/>
    <w:rsid w:val="00C26D01"/>
    <w:rsid w:val="00C317CE"/>
    <w:rsid w:val="00C7298E"/>
    <w:rsid w:val="00C72AB8"/>
    <w:rsid w:val="00C84609"/>
    <w:rsid w:val="00C8539B"/>
    <w:rsid w:val="00C860E2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77EC2"/>
    <w:rsid w:val="00D821B8"/>
    <w:rsid w:val="00D915D9"/>
    <w:rsid w:val="00DB17F1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81D37"/>
    <w:rsid w:val="00E93A39"/>
    <w:rsid w:val="00EA182A"/>
    <w:rsid w:val="00EA5E43"/>
    <w:rsid w:val="00EB21E8"/>
    <w:rsid w:val="00EB67C3"/>
    <w:rsid w:val="00EB68D1"/>
    <w:rsid w:val="00EC59E8"/>
    <w:rsid w:val="00EE0DB4"/>
    <w:rsid w:val="00EE4143"/>
    <w:rsid w:val="00EF491F"/>
    <w:rsid w:val="00EF6DB4"/>
    <w:rsid w:val="00F01D23"/>
    <w:rsid w:val="00F200AD"/>
    <w:rsid w:val="00F3762E"/>
    <w:rsid w:val="00F47927"/>
    <w:rsid w:val="00F62369"/>
    <w:rsid w:val="00F6630D"/>
    <w:rsid w:val="00F75E49"/>
    <w:rsid w:val="00F822C1"/>
    <w:rsid w:val="00F90688"/>
    <w:rsid w:val="00F917D1"/>
    <w:rsid w:val="00F92542"/>
    <w:rsid w:val="00F97120"/>
    <w:rsid w:val="00FA0332"/>
    <w:rsid w:val="00FC4E24"/>
    <w:rsid w:val="00FC693F"/>
    <w:rsid w:val="00FD2415"/>
    <w:rsid w:val="00FD7259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37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till.pub/2021/gnn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isummer.com/gnn-architec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p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prover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35</Pages>
  <Words>8112</Words>
  <Characters>46245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cp:lastModifiedBy>Vahagn Voskanyan</cp:lastModifiedBy>
  <cp:revision>237</cp:revision>
  <cp:lastPrinted>2025-05-07T08:05:00Z</cp:lastPrinted>
  <dcterms:created xsi:type="dcterms:W3CDTF">2013-12-23T23:15:00Z</dcterms:created>
  <dcterms:modified xsi:type="dcterms:W3CDTF">2025-05-07T08:05:00Z</dcterms:modified>
  <cp:category/>
</cp:coreProperties>
</file>