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686172"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686172"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68617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68617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686172"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686172"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68617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6E03E2" w:rsidRDefault="006E03E2" w:rsidP="006E03E2">
      <w:pPr>
        <w:autoSpaceDE w:val="0"/>
        <w:autoSpaceDN w:val="0"/>
        <w:adjustRightInd w:val="0"/>
        <w:spacing w:after="0" w:line="276" w:lineRule="auto"/>
        <w:jc w:val="center"/>
        <w:rPr>
          <w:rFonts w:cstheme="minorHAnsi"/>
          <w:b/>
          <w:color w:val="000000"/>
          <w:sz w:val="36"/>
          <w:szCs w:val="36"/>
          <w:lang w:val="en-US"/>
        </w:rPr>
      </w:pPr>
      <w:r w:rsidRPr="006E03E2">
        <w:rPr>
          <w:rFonts w:cstheme="minorHAnsi"/>
          <w:b/>
          <w:color w:val="000000"/>
          <w:sz w:val="36"/>
          <w:szCs w:val="36"/>
          <w:lang w:val="en-US"/>
        </w:rPr>
        <w:t>Clustered vs Non-clustered indexes</w:t>
      </w:r>
    </w:p>
    <w:p w:rsidR="00162FF8"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A table can have only one clusered index. </w:t>
      </w:r>
      <w:r w:rsidRPr="006E03E2">
        <w:rPr>
          <w:rFonts w:cstheme="minorHAnsi"/>
          <w:color w:val="000000"/>
          <w:sz w:val="32"/>
          <w:szCs w:val="32"/>
          <w:lang w:val="en-US"/>
        </w:rPr>
        <w:t>A clustered index determines the physical order of data in a table. Forthis reason, a table can have only one clustered index.</w:t>
      </w:r>
      <w:r w:rsidRPr="006E03E2">
        <w:rPr>
          <w:lang w:val="en-US"/>
        </w:rPr>
        <w:t xml:space="preserve"> </w:t>
      </w:r>
      <w:r w:rsidRPr="006E03E2">
        <w:rPr>
          <w:rFonts w:cstheme="minorHAnsi"/>
          <w:color w:val="000000"/>
          <w:sz w:val="32"/>
          <w:szCs w:val="32"/>
          <w:lang w:val="en-US"/>
        </w:rPr>
        <w:t>Note that Id column is marked as primary key. Primary key, constraint create clustered indexes automatically if no clustered index already exists on the table.</w:t>
      </w:r>
    </w:p>
    <w:p w:rsidR="006E03E2"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Clustered </w:t>
      </w:r>
      <w:r w:rsidRPr="006E03E2">
        <w:rPr>
          <w:rFonts w:cstheme="minorHAnsi"/>
          <w:color w:val="000000"/>
          <w:sz w:val="32"/>
          <w:szCs w:val="32"/>
          <w:lang w:val="en-US"/>
        </w:rPr>
        <w:t>index can contain multiple columns (a composite index), like the way a telephone directory is organized by last name and first name.</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a composite clustered Index on the Gender and Salary columns</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Clustered Index IX tblEmployee_Gender_Salary</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 </w:t>
      </w:r>
      <w:r w:rsidRPr="00E3739F">
        <w:rPr>
          <w:rFonts w:cstheme="minorHAnsi"/>
          <w:color w:val="000000"/>
          <w:sz w:val="32"/>
          <w:szCs w:val="32"/>
          <w:lang w:val="en-US"/>
        </w:rPr>
        <w:t>Employee</w:t>
      </w:r>
      <w:r>
        <w:rPr>
          <w:rFonts w:cstheme="minorHAnsi"/>
          <w:color w:val="000000"/>
          <w:sz w:val="32"/>
          <w:szCs w:val="32"/>
          <w:lang w:val="en-US"/>
        </w:rPr>
        <w:t>s</w:t>
      </w:r>
      <w:r w:rsidRPr="00E3739F">
        <w:rPr>
          <w:rFonts w:cstheme="minorHAnsi"/>
          <w:color w:val="000000"/>
          <w:sz w:val="32"/>
          <w:szCs w:val="32"/>
          <w:lang w:val="en-US"/>
        </w:rPr>
        <w:t xml:space="preserve"> (Gender DESC</w:t>
      </w:r>
    </w:p>
    <w:p w:rsid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Salary ASC)</w:t>
      </w:r>
    </w:p>
    <w:p w:rsidR="00155792" w:rsidRDefault="00155792" w:rsidP="00E3739F">
      <w:pPr>
        <w:autoSpaceDE w:val="0"/>
        <w:autoSpaceDN w:val="0"/>
        <w:adjustRightInd w:val="0"/>
        <w:spacing w:after="0" w:line="276" w:lineRule="auto"/>
        <w:jc w:val="both"/>
        <w:rPr>
          <w:rFonts w:cstheme="minorHAnsi"/>
          <w:color w:val="000000"/>
          <w:sz w:val="32"/>
          <w:szCs w:val="32"/>
          <w:lang w:val="en-US"/>
        </w:rPr>
      </w:pPr>
    </w:p>
    <w:p w:rsidR="00E3739F" w:rsidRPr="00E43335" w:rsidRDefault="00E3739F" w:rsidP="00E3739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w:t>
      </w:r>
      <w:r>
        <w:rPr>
          <w:rFonts w:cstheme="minorHAnsi"/>
          <w:color w:val="000000"/>
          <w:sz w:val="32"/>
          <w:szCs w:val="32"/>
          <w:lang w:val="en-US"/>
        </w:rPr>
        <w:lastRenderedPageBreak/>
        <w:t>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lastRenderedPageBreak/>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licences by microsoft and is not open source however postgres is 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An atomic value is a value that cannot be divided. For example, in the table shown below, the values in the [Color] column in the first row can </w:t>
      </w:r>
      <w:r w:rsidRPr="00131DF1">
        <w:rPr>
          <w:rFonts w:cstheme="minorHAnsi"/>
          <w:sz w:val="32"/>
          <w:szCs w:val="32"/>
          <w:lang w:val="en-US"/>
        </w:rPr>
        <w:lastRenderedPageBreak/>
        <w:t>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lastRenderedPageBreak/>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lastRenderedPageBreak/>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ACID (atomicity, consistency, isolation, durability) is a set of properties of database transactions intended to guarantee data validity despite errors, power failures, and other mishaps. In the context of databases, 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lastRenderedPageBreak/>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xml:space="preserve">: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w:t>
      </w:r>
      <w:r w:rsidRPr="008F4D1A">
        <w:rPr>
          <w:rFonts w:cstheme="minorHAnsi"/>
          <w:sz w:val="32"/>
          <w:szCs w:val="32"/>
          <w:lang w:val="en-US"/>
        </w:rPr>
        <w:lastRenderedPageBreak/>
        <w:t>transaction with a Commit or Rollback i.e. if the transaction is completed successfully, it is committed. If the transaction faces any 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lastRenderedPageBreak/>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Default="008F4D1A" w:rsidP="008F4D1A">
      <w:pPr>
        <w:autoSpaceDE w:val="0"/>
        <w:autoSpaceDN w:val="0"/>
        <w:adjustRightInd w:val="0"/>
        <w:spacing w:after="0" w:line="276" w:lineRule="auto"/>
        <w:rPr>
          <w:rFonts w:cstheme="minorHAnsi"/>
          <w:sz w:val="32"/>
          <w:szCs w:val="32"/>
          <w:lang w:val="en-US"/>
        </w:rPr>
      </w:pPr>
    </w:p>
    <w:p w:rsidR="00686172" w:rsidRDefault="00686172" w:rsidP="00686172">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 xml:space="preserve">Transaction </w:t>
      </w:r>
      <w:r>
        <w:rPr>
          <w:rFonts w:cstheme="minorHAnsi"/>
          <w:b/>
          <w:sz w:val="36"/>
          <w:szCs w:val="36"/>
          <w:lang w:val="en-US"/>
        </w:rPr>
        <w:t>Isolation levels</w:t>
      </w:r>
    </w:p>
    <w:p w:rsidR="00686172" w:rsidRDefault="00686172" w:rsidP="00686172">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A transaction isolation level is defined by the following phenomena</w:t>
      </w:r>
      <w:r>
        <w:rPr>
          <w:rFonts w:cstheme="minorHAnsi"/>
          <w:sz w:val="32"/>
          <w:szCs w:val="32"/>
          <w:lang w:val="en-US"/>
        </w:rPr>
        <w:t>:</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A Dirty read is a situation when a transaction reads data that has not yet been committed. For example, Let’s say transaction 1 updates a row and leaves it uncommitted, meanwhile, Transaction 2 reads the updated row. If transaction 1 rolls back the change, transaction 2 will have read data that is considered never to have existed.</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 xml:space="preserve">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w:t>
      </w:r>
      <w:r w:rsidRPr="00977963">
        <w:rPr>
          <w:rFonts w:cstheme="minorHAnsi"/>
          <w:spacing w:val="2"/>
          <w:sz w:val="32"/>
          <w:szCs w:val="32"/>
          <w:lang w:val="en-US"/>
        </w:rPr>
        <w:lastRenderedPageBreak/>
        <w:t>T1 re-executes the statement that reads the rows, it gets a different set of rows this time.</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This isolation level guarantees that any data read is committed at the moment it is read. Thus it does not allow dirty read. The transaction holds a read or write lock on the current row, and thus prevents other transactions from reading, updating, or deleting it.</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Pr>
          <w:rFonts w:cstheme="minorHAnsi"/>
          <w:spacing w:val="2"/>
          <w:sz w:val="32"/>
          <w:szCs w:val="32"/>
          <w:lang w:val="en-US"/>
        </w:rPr>
        <w:t xml:space="preserve"> </w:t>
      </w:r>
    </w:p>
    <w:p w:rsidR="00686172" w:rsidRPr="00977963"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Existing rows are locked from being changed. New rows can be inserted later (phantom row). But, once a new row has been inserted then it also will be protected. So, it only protects existing rows from being updated.</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rsidR="00686172"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 and doesn’t even allow phantom rows. So it guarantees repeated reads and disallows phantom rows</w:t>
      </w:r>
    </w:p>
    <w:p w:rsidR="00686172" w:rsidRDefault="00686172" w:rsidP="00686172">
      <w:pPr>
        <w:shd w:val="clear" w:color="auto" w:fill="FFFFFF"/>
        <w:spacing w:after="0" w:line="240" w:lineRule="auto"/>
        <w:textAlignment w:val="baseline"/>
        <w:rPr>
          <w:rFonts w:cstheme="minorHAnsi"/>
          <w:spacing w:val="2"/>
          <w:sz w:val="32"/>
          <w:szCs w:val="32"/>
          <w:lang w:val="en-US"/>
        </w:rPr>
      </w:pPr>
      <w:r>
        <w:rPr>
          <w:noProof/>
          <w:lang w:val="en-US"/>
        </w:rPr>
        <w:drawing>
          <wp:inline distT="0" distB="0" distL="0" distR="0" wp14:anchorId="33DF1051" wp14:editId="0F81C793">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pacing w:val="2"/>
          <w:sz w:val="32"/>
          <w:szCs w:val="32"/>
          <w:lang w:val="en-US"/>
        </w:rPr>
      </w:pPr>
    </w:p>
    <w:p w:rsidR="00686172" w:rsidRDefault="00686172" w:rsidP="00686172">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lastRenderedPageBreak/>
        <w:drawing>
          <wp:inline distT="0" distB="0" distL="0" distR="0" wp14:anchorId="00D20535" wp14:editId="141E7B94">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z w:val="32"/>
          <w:szCs w:val="32"/>
          <w:lang w:val="en-US"/>
        </w:rPr>
      </w:pP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Pr="004F715F">
        <w:rPr>
          <w:rFonts w:cstheme="minorHAnsi"/>
          <w:sz w:val="32"/>
          <w:szCs w:val="32"/>
          <w:lang w:val="en-US"/>
        </w:rPr>
        <w:t>READ COMMITTED</w:t>
      </w:r>
      <w:r>
        <w:rPr>
          <w:rFonts w:cstheme="minorHAnsi"/>
          <w:sz w:val="32"/>
          <w:szCs w:val="32"/>
          <w:lang w:val="en-US"/>
        </w:rPr>
        <w:t>.</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We can use the (NOLOCK) table hint to read uncommitted transaction from read committed transaction level It is the same as Read uncommitted</w:t>
      </w:r>
      <w:r w:rsidRPr="007A5E67">
        <w:rPr>
          <w:rFonts w:cstheme="minorHAnsi"/>
          <w:sz w:val="32"/>
          <w:szCs w:val="32"/>
          <w:lang w:val="en-US"/>
        </w:rPr>
        <w:sym w:font="Wingdings" w:char="F0E8"/>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70778E84" wp14:editId="35A35AAC">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rsidR="00686172" w:rsidRPr="008F4D1A"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p>
    <w:p w:rsidR="00686172" w:rsidRPr="008F4D1A" w:rsidRDefault="00686172" w:rsidP="008F4D1A">
      <w:pPr>
        <w:autoSpaceDE w:val="0"/>
        <w:autoSpaceDN w:val="0"/>
        <w:adjustRightInd w:val="0"/>
        <w:spacing w:after="0" w:line="276" w:lineRule="auto"/>
        <w:rPr>
          <w:rFonts w:cstheme="minorHAnsi"/>
          <w:sz w:val="32"/>
          <w:szCs w:val="32"/>
          <w:lang w:val="en-US"/>
        </w:rPr>
      </w:pPr>
      <w:bookmarkStart w:id="0" w:name="_GoBack"/>
      <w:bookmarkEnd w:id="0"/>
    </w:p>
    <w:sectPr w:rsidR="00686172"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10"/>
  </w:num>
  <w:num w:numId="6">
    <w:abstractNumId w:val="7"/>
  </w:num>
  <w:num w:numId="7">
    <w:abstractNumId w:val="6"/>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1001A2"/>
    <w:rsid w:val="00131DF1"/>
    <w:rsid w:val="00155792"/>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A06CD"/>
    <w:rsid w:val="003E337B"/>
    <w:rsid w:val="0044688D"/>
    <w:rsid w:val="00455CFC"/>
    <w:rsid w:val="00506257"/>
    <w:rsid w:val="00526765"/>
    <w:rsid w:val="005D3426"/>
    <w:rsid w:val="006404DD"/>
    <w:rsid w:val="0065310A"/>
    <w:rsid w:val="00686172"/>
    <w:rsid w:val="0069644F"/>
    <w:rsid w:val="006E03E2"/>
    <w:rsid w:val="007206D8"/>
    <w:rsid w:val="00753A0F"/>
    <w:rsid w:val="008119AD"/>
    <w:rsid w:val="00863CBD"/>
    <w:rsid w:val="008F4D1A"/>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75558"/>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3739F"/>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9EFC"/>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28</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59</cp:revision>
  <dcterms:created xsi:type="dcterms:W3CDTF">2021-11-15T20:48:00Z</dcterms:created>
  <dcterms:modified xsi:type="dcterms:W3CDTF">2022-11-07T07:04:00Z</dcterms:modified>
</cp:coreProperties>
</file>