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Fact-check: "Guía de prompt engineering para DeepSeek-V4.1-Flash"</w:t>
      </w:r>
    </w:p>
    <w:p>
      <w:pPr>
        <w:pStyle w:val="Heading3"/>
      </w:pPr>
      <w:r>
        <w:t>Verificación del documento de octubre de 2026</w:t>
      </w:r>
    </w:p>
    <w:p>
      <w:r>
        <w:rPr>
          <w:b/>
        </w:rPr>
        <w:t>Verificado el:</w:t>
      </w:r>
      <w:r>
        <w:t xml:space="preserve"> 6 de octubre de 2026</w:t>
      </w:r>
    </w:p>
    <w:p>
      <w:r>
        <w:rPr>
          <w:b/>
        </w:rPr>
        <w:t>Documento analizado:</w:t>
      </w:r>
      <w:r>
        <w:t xml:space="preserve"> artefacto publicado en claude.ai (</w:t>
      </w:r>
      <w:r>
        <w:rPr>
          <w:rFonts w:ascii="Consolas" w:hAnsi="Consolas"/>
          <w:sz w:val="20"/>
        </w:rPr>
        <w:t>e53d5579-83be-4283-b8ab-0eac41834e49</w:t>
      </w:r>
      <w:r>
        <w:t>), en español, titulado *"Guía de prompt engineering para DeepSeek‑V4.1‑Flash (el «DeepSeek 4.1 Flash») y su uso en harness agénticos — octubre de 2026"*.</w:t>
      </w:r>
    </w:p>
    <w:p>
      <w:r>
        <w:rPr>
          <w:b/>
        </w:rPr>
        <w:t>Método:</w:t>
      </w:r>
      <w:r>
        <w:t xml:space="preserve"> contraste contra fuente primaria (documentación oficial de la API de DeepSeek, model card e informe técnico en Hugging Face, repositorio oficial </w:t>
      </w:r>
      <w:r>
        <w:rPr>
          <w:rFonts w:ascii="Consolas" w:hAnsi="Consolas"/>
          <w:sz w:val="20"/>
        </w:rPr>
        <w:t>deepseek-ai/deepseek-harness</w:t>
      </w:r>
      <w:r>
        <w:t xml:space="preserve">, nota de la Cloud Security Alliance sobre el CVE) más inspección directa del paquete </w:t>
      </w:r>
      <w:r>
        <w:rPr>
          <w:rFonts w:ascii="Consolas" w:hAnsi="Consolas"/>
          <w:sz w:val="20"/>
        </w:rPr>
        <w:t>@deepseek-ai/dsh</w:t>
      </w:r>
      <w:r>
        <w:t xml:space="preserve"> instalado en este equipo.</w:t>
      </w:r>
    </w:p>
    <w:p/>
    <w:p>
      <w:pPr>
        <w:pStyle w:val="Heading1"/>
      </w:pPr>
      <w:r>
        <w:t>Veredicto en una página</w:t>
      </w:r>
    </w:p>
    <w:p>
      <w:r>
        <w:rPr>
          <w:b/>
        </w:rPr>
        <w:t>El documento es, en lo esencial, correcto y bien calibrado.</w:t>
      </w:r>
      <w:r>
        <w:t xml:space="preserve"> Sus pilares —nombre del modelo, precios, reglas de </w:t>
      </w:r>
      <w:r>
        <w:rPr>
          <w:rFonts w:ascii="Consolas" w:hAnsi="Consolas"/>
          <w:sz w:val="20"/>
        </w:rPr>
        <w:t>reasoning_content</w:t>
      </w:r>
      <w:r>
        <w:t xml:space="preserve">, parámetros ignorados en modo pensar, caché por prefijo, sandbox de </w:t>
      </w:r>
      <w:r>
        <w:rPr>
          <w:rFonts w:ascii="Consolas" w:hAnsi="Consolas"/>
          <w:sz w:val="20"/>
        </w:rPr>
        <w:t>dsh</w:t>
      </w:r>
      <w:r>
        <w:t xml:space="preserve"> y el CVE— se confirman contra fuente primaria. Y hace algo poco común: </w:t>
      </w:r>
      <w:r>
        <w:rPr>
          <w:b/>
        </w:rPr>
        <w:t>etiqueta explícitamente lo que no pudo verificar</w:t>
      </w:r>
      <w:r>
        <w:t>.</w:t>
      </w:r>
    </w:p>
    <w:p>
      <w:r>
        <w:t xml:space="preserve">Pero no es perfecto. Encontré </w:t>
      </w:r>
      <w:r>
        <w:rPr>
          <w:b/>
        </w:rPr>
        <w:t>un error factual claro</w:t>
      </w:r>
      <w:r>
        <w:t xml:space="preserve">, </w:t>
      </w:r>
      <w:r>
        <w:rPr>
          <w:b/>
        </w:rPr>
        <w:t>una imprecisión sustantiva</w:t>
      </w:r>
      <w:r>
        <w:t xml:space="preserve"> y </w:t>
      </w:r>
      <w:r>
        <w:rPr>
          <w:b/>
        </w:rPr>
        <w:t>ocho puntos donde se queda corto o afirma sin respaldo</w:t>
      </w:r>
      <w:r>
        <w:t xml:space="preserve"> — más un acierto de calibración que merece la pena señalar: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/>
              </w:rPr>
              <w:t>Hallazgo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Gravedad</w:t>
            </w:r>
          </w:p>
        </w:tc>
      </w:tr>
      <w:tr>
        <w:tc>
          <w:tcPr>
            <w:tcW w:type="dxa" w:w="2880"/>
          </w:tcPr>
          <w:p>
            <w:r/>
            <w:r>
              <w:t>❌</w:t>
            </w:r>
          </w:p>
        </w:tc>
        <w:tc>
          <w:tcPr>
            <w:tcW w:type="dxa" w:w="2880"/>
          </w:tcPr>
          <w:p>
            <w:r/>
            <w:r>
              <w:t xml:space="preserve">Afirma que el encoder abierto / vLLM mapean el esfuerzo como 25/50/75/100 ("high local = 50"), en discrepancia con la API. </w:t>
            </w:r>
            <w:r>
              <w:rPr>
                <w:b/>
              </w:rPr>
              <w:t>Las dos fuentes primarias dicen 50/75/100 y no existe `xhigh`.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Error factual</w:t>
            </w:r>
          </w:p>
        </w:tc>
      </w:tr>
      <w:tr>
        <w:tc>
          <w:tcPr>
            <w:tcW w:type="dxa" w:w="2880"/>
          </w:tcPr>
          <w:p>
            <w:r/>
            <w:r>
              <w:t>⚠️</w:t>
            </w:r>
          </w:p>
        </w:tc>
        <w:tc>
          <w:tcPr>
            <w:tcW w:type="dxa" w:w="2880"/>
          </w:tcPr>
          <w:p>
            <w:r/>
            <w:r>
              <w:t xml:space="preserve">Presenta </w:t>
            </w:r>
            <w:r>
              <w:rPr>
                <w:rFonts w:ascii="Consolas" w:hAnsi="Consolas"/>
                <w:sz w:val="20"/>
              </w:rPr>
              <w:t>top_p = 0.95</w:t>
            </w:r>
            <w:r>
              <w:t xml:space="preserve"> como valor recomendado/oficial, sin aclarar que </w:t>
            </w:r>
            <w:r>
              <w:rPr>
                <w:b/>
              </w:rPr>
              <w:t>el valor por defecto de la API es 1.0</w:t>
            </w:r>
          </w:p>
        </w:tc>
        <w:tc>
          <w:tcPr>
            <w:tcW w:type="dxa" w:w="2880"/>
          </w:tcPr>
          <w:p>
            <w:r/>
            <w:r>
              <w:t>Imprecisión</w:t>
            </w:r>
          </w:p>
        </w:tc>
      </w:tr>
      <w:tr>
        <w:tc>
          <w:tcPr>
            <w:tcW w:type="dxa" w:w="2880"/>
          </w:tcPr>
          <w:p>
            <w:r/>
            <w:r>
              <w:t>⚠️</w:t>
            </w:r>
          </w:p>
        </w:tc>
        <w:tc>
          <w:tcPr>
            <w:tcW w:type="dxa" w:w="2880"/>
          </w:tcPr>
          <w:p>
            <w:r/>
            <w:r>
              <w:t xml:space="preserve">Dice "horas pico: lunes a viernes" y en el TL;DR las presenta sin excepción. </w:t>
            </w:r>
            <w:r>
              <w:rPr>
                <w:b/>
              </w:rPr>
              <w:t>El documento oficial añade que los fines de semana y los festivos chinos son valle en su totalidad.</w:t>
            </w:r>
          </w:p>
        </w:tc>
        <w:tc>
          <w:tcPr>
            <w:tcW w:type="dxa" w:w="2880"/>
          </w:tcPr>
          <w:p>
            <w:r/>
            <w:r>
              <w:t>Omisión material</w:t>
            </w:r>
          </w:p>
        </w:tc>
      </w:tr>
      <w:tr>
        <w:tc>
          <w:tcPr>
            <w:tcW w:type="dxa" w:w="2880"/>
          </w:tcPr>
          <w:p>
            <w:r/>
            <w:r>
              <w:t>⚠️</w:t>
            </w:r>
          </w:p>
        </w:tc>
        <w:tc>
          <w:tcPr>
            <w:tcW w:type="dxa" w:w="2880"/>
          </w:tcPr>
          <w:p>
            <w:r/>
            <w:r>
              <w:t xml:space="preserve">Presenta el dato de bloques de caché de 64 tokens como "documentación de 2024, compruébalo con tus métricas", pero sin señalar que </w:t>
            </w:r>
            <w:r>
              <w:rPr>
                <w:b/>
              </w:rPr>
              <w:t>la guía vigente ya no menciona ese tamaño</w:t>
            </w:r>
          </w:p>
        </w:tc>
        <w:tc>
          <w:tcPr>
            <w:tcW w:type="dxa" w:w="2880"/>
          </w:tcPr>
          <w:p>
            <w:r/>
            <w:r>
              <w:t>Omisión</w:t>
            </w:r>
          </w:p>
        </w:tc>
      </w:tr>
      <w:tr>
        <w:tc>
          <w:tcPr>
            <w:tcW w:type="dxa" w:w="2880"/>
          </w:tcPr>
          <w:p>
            <w:r/>
            <w:r>
              <w:t>⚠️</w:t>
            </w:r>
          </w:p>
        </w:tc>
        <w:tc>
          <w:tcPr>
            <w:tcW w:type="dxa" w:w="2880"/>
          </w:tcPr>
          <w:p>
            <w:r/>
            <w:r>
              <w:t xml:space="preserve">Afirma que la subida 1.6–1.8× de trayectorias al pasar a </w:t>
            </w:r>
            <w:r>
              <w:rPr>
                <w:rFonts w:ascii="Consolas" w:hAnsi="Consolas"/>
                <w:sz w:val="20"/>
              </w:rPr>
              <w:t>max</w:t>
            </w:r>
            <w:r>
              <w:t xml:space="preserve"> está en el informe. </w:t>
            </w:r>
            <w:r>
              <w:rPr>
                <w:b/>
              </w:rPr>
              <w:t>No la encontré; el informe sí documenta que de 60–80 se recupera casi toda la precisión.</w:t>
            </w:r>
            <w:r>
              <w:t xml:space="preserve"> La práctica recomendada se sostiene; el número no.</w:t>
            </w:r>
          </w:p>
        </w:tc>
        <w:tc>
          <w:tcPr>
            <w:tcW w:type="dxa" w:w="2880"/>
          </w:tcPr>
          <w:p>
            <w:r/>
            <w:r>
              <w:t>Sin respaldo</w:t>
            </w:r>
          </w:p>
        </w:tc>
      </w:tr>
      <w:tr>
        <w:tc>
          <w:tcPr>
            <w:tcW w:type="dxa" w:w="2880"/>
          </w:tcPr>
          <w:p>
            <w:r/>
            <w:r>
              <w:t>⚠️</w:t>
            </w:r>
          </w:p>
        </w:tc>
        <w:tc>
          <w:tcPr>
            <w:tcW w:type="dxa" w:w="2880"/>
          </w:tcPr>
          <w:p>
            <w:r/>
            <w:r>
              <w:t xml:space="preserve">El número </w:t>
            </w:r>
            <w:r>
              <w:rPr>
                <w:b/>
              </w:rPr>
              <w:t>196B de Engram</w:t>
            </w:r>
            <w:r>
              <w:t xml:space="preserve"> sí está en la tarjeta; pero el dato </w:t>
            </w:r>
            <w:r>
              <w:rPr>
                <w:b/>
              </w:rPr>
              <w:t>"890 bytes/token ≈ ¼ de V4‑Flash"</w:t>
            </w:r>
            <w:r>
              <w:t xml:space="preserve"> se refiere a la caché global (HBM), mientras el "1/8" de la nota de prensa se refiere a la caché persistente (SSD). El documento los mezcla sin distinguirlos.</w:t>
            </w:r>
          </w:p>
        </w:tc>
        <w:tc>
          <w:tcPr>
            <w:tcW w:type="dxa" w:w="2880"/>
          </w:tcPr>
          <w:p>
            <w:r/>
            <w:r>
              <w:t>Matiz técnico</w:t>
            </w:r>
          </w:p>
        </w:tc>
      </w:tr>
      <w:tr>
        <w:tc>
          <w:tcPr>
            <w:tcW w:type="dxa" w:w="2880"/>
          </w:tcPr>
          <w:p>
            <w:r/>
            <w:r>
              <w:t>ℹ️</w:t>
            </w:r>
          </w:p>
        </w:tc>
        <w:tc>
          <w:tcPr>
            <w:tcW w:type="dxa" w:w="2880"/>
          </w:tcPr>
          <w:p>
            <w:r/>
            <w:r>
              <w:t xml:space="preserve">Sobre el </w:t>
            </w:r>
            <w:r>
              <w:rPr>
                <w:rFonts w:ascii="Consolas" w:hAnsi="Consolas"/>
                <w:sz w:val="20"/>
              </w:rPr>
              <w:t>tool_choice</w:t>
            </w:r>
            <w:r>
              <w:t xml:space="preserve">, la prohibición </w:t>
            </w:r>
            <w:r>
              <w:rPr>
                <w:b/>
              </w:rPr>
              <w:t>sí está</w:t>
            </w:r>
            <w:r>
              <w:t xml:space="preserve"> en la referencia de Chat Completions, y </w:t>
            </w:r>
            <w:r>
              <w:rPr>
                <w:b/>
              </w:rPr>
              <w:t>no aplica</w:t>
            </w:r>
            <w:r>
              <w:t xml:space="preserve"> al formato Anthropic (donde </w:t>
            </w:r>
            <w:r>
              <w:rPr>
                <w:rFonts w:ascii="Consolas" w:hAnsi="Consolas"/>
                <w:sz w:val="20"/>
              </w:rPr>
              <w:t>any</w:t>
            </w:r>
            <w:r>
              <w:t>/</w:t>
            </w:r>
            <w:r>
              <w:rPr>
                <w:rFonts w:ascii="Consolas" w:hAnsi="Consolas"/>
                <w:sz w:val="20"/>
              </w:rPr>
              <w:t>tool</w:t>
            </w:r>
            <w:r>
              <w:t xml:space="preserve"> figuran como soportados). El documento acierta al afirmarlo, pero lo presenta como verdad única.</w:t>
            </w:r>
          </w:p>
        </w:tc>
        <w:tc>
          <w:tcPr>
            <w:tcW w:type="dxa" w:w="2880"/>
          </w:tcPr>
          <w:p>
            <w:r/>
            <w:r>
              <w:t>Falta de matiz</w:t>
            </w:r>
          </w:p>
        </w:tc>
      </w:tr>
      <w:tr>
        <w:tc>
          <w:tcPr>
            <w:tcW w:type="dxa" w:w="2880"/>
          </w:tcPr>
          <w:p>
            <w:r/>
            <w:r>
              <w:t>ℹ️</w:t>
            </w:r>
          </w:p>
        </w:tc>
        <w:tc>
          <w:tcPr>
            <w:tcW w:type="dxa" w:w="2880"/>
          </w:tcPr>
          <w:p>
            <w:r/>
            <w:r>
              <w:t xml:space="preserve">La sección "contradicción documentada" sobre V4‑Pro está </w:t>
            </w:r>
            <w:r>
              <w:rPr>
                <w:b/>
              </w:rPr>
              <w:t>invertida en el matiz</w:t>
            </w:r>
            <w:r>
              <w:t>: la nota de lanzamiento oficial ya dice que V4‑Pro se irá apagando, y el changelog confirma que se mantiene. No es "nota vs. changelog", son dos partes del mismo anuncio.</w:t>
            </w:r>
          </w:p>
        </w:tc>
        <w:tc>
          <w:tcPr>
            <w:tcW w:type="dxa" w:w="2880"/>
          </w:tcPr>
          <w:p>
            <w:r/>
            <w: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t>🏅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Acierto de calibración:</w:t>
            </w:r>
            <w:r>
              <w:t xml:space="preserve"> su aviso de que la evaluación de NIST/CAISI cubre modelos *anteriores* y "no hay evaluación equivalente publicada para V4.1" es exacto palabra por palabra. La evaluación es de R1, R1‑0528 y V3.1 (sept. 2025); la única posterior es de V4 Pro (mayo 2026) y </w:t>
            </w:r>
            <w:r>
              <w:rPr>
                <w:b/>
              </w:rPr>
              <w:t>no</w:t>
            </w:r>
            <w:r>
              <w:t xml:space="preserve"> mide secuestro de agentes.</w:t>
            </w:r>
          </w:p>
        </w:tc>
        <w:tc>
          <w:tcPr>
            <w:tcW w:type="dxa" w:w="2880"/>
          </w:tcPr>
          <w:p>
            <w:r/>
            <w:r>
              <w:t>Punto fuerte</w:t>
            </w:r>
          </w:p>
        </w:tc>
      </w:tr>
    </w:tbl>
    <w:p/>
    <w:p>
      <w:r>
        <w:rPr>
          <w:b/>
        </w:rPr>
        <w:t>Recuento global: 100 afirmaciones comprobadas → 78 confirmadas, 17 parciales, 1 refutada y 4 sin verificar.</w:t>
      </w:r>
      <w:r>
        <w:t xml:space="preserve"> (Detalle por bloques en las tablas de abajo: identidad 13, especificaciones 15, parámetros 15, salidas e integraciones 16, caché 11, prompting 7, harness y seguridad 23.)</w:t>
      </w:r>
    </w:p>
    <w:p>
      <w:pPr>
        <w:ind w:left="432"/>
      </w:pPr>
      <w:r>
        <w:rPr>
          <w:b/>
          <w:i/>
        </w:rPr>
        <w:t>Cómo leer los veredictos:</w:t>
      </w:r>
      <w:r>
        <w:rPr>
          <w:i/>
        </w:rPr>
        <w:t xml:space="preserve"> ✅ confirmado contra fuente primaria · ⚠️ parcial (correcto pero incompleto, o dato sin respaldo localizable) · ❌ refutado · ℹ️ falta de matiz.</w:t>
      </w:r>
    </w:p>
    <w:p>
      <w:pPr>
        <w:ind w:left="432"/>
      </w:pPr>
      <w:r>
        <w:rPr>
          <w:b/>
          <w:i/>
        </w:rPr>
        <w:t>Nota de auditoría (6‑10‑2026):</w:t>
      </w:r>
      <w:r>
        <w:rPr>
          <w:i/>
        </w:rPr>
        <w:t xml:space="preserve"> este informe se contrastó además con una segunda pasada de verificación independiente sobre el bloque de Harness y seguridad. Esa pasada </w:t>
      </w:r>
      <w:r>
        <w:rPr>
          <w:b/>
          <w:i/>
        </w:rPr>
        <w:t>corrigió dos puntos de este mismo informe</w:t>
      </w:r>
      <w:r>
        <w:rPr>
          <w:i/>
        </w:rPr>
        <w:t xml:space="preserve"> y añadió dos confirmaciones: el CVE tiene *dos* puntuaciones (9.4 en CVSS v4.0, que es la que cita NVD, y 9.6 en CVSS v3.1), y el preset Minimal </w:t>
      </w:r>
      <w:r>
        <w:rPr>
          <w:b/>
          <w:i/>
        </w:rPr>
        <w:t>sí</w:t>
      </w:r>
      <w:r>
        <w:rPr>
          <w:i/>
        </w:rPr>
        <w:t xml:space="preserve"> incluye </w:t>
      </w:r>
      <w:r>
        <w:rPr>
          <w:rFonts w:ascii="Consolas" w:hAnsi="Consolas"/>
          <w:i/>
          <w:sz w:val="20"/>
        </w:rPr>
        <w:t>str_replace_editor</w:t>
      </w:r>
      <w:r>
        <w:rPr>
          <w:i/>
        </w:rPr>
        <w:t xml:space="preserve"> además del shell (el documento original sospechaba esto y nosotros lo habíamos descartado: hay dos composiciones distintas que se llaman "minimal"). También se confirmó en fuente oficial el error de Copilot CLI con el proveedor </w:t>
      </w:r>
      <w:r>
        <w:rPr>
          <w:rFonts w:ascii="Consolas" w:hAnsi="Consolas"/>
          <w:i/>
          <w:sz w:val="20"/>
        </w:rPr>
        <w:t>openai</w:t>
      </w:r>
      <w:r>
        <w:rPr>
          <w:i/>
        </w:rPr>
        <w:t>.</w:t>
      </w:r>
    </w:p>
    <w:p>
      <w:r>
        <w:rPr>
          <w:b/>
        </w:rPr>
        <w:t>Lo más valioso del documento</w:t>
      </w:r>
      <w:r>
        <w:t>, si tienes que quedarte con algo: las cuatro reglas de harness de la sección H.3/E.2 y la explicación del orden del prompt para la caché. Eso está confirmado y es donde de verdad se gana o se pierde dinero.</w:t>
      </w:r>
    </w:p>
    <w:p/>
    <w:p>
      <w:pPr>
        <w:pStyle w:val="Heading1"/>
      </w:pPr>
      <w:r>
        <w:t>A. Identidad, versiones y precios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Afirmación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Veredicto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Evidencia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 xml:space="preserve">Existe "DeepSeek 4.1 Flash"; nombre oficial </w:t>
            </w:r>
            <w:r>
              <w:rPr>
                <w:b/>
              </w:rPr>
              <w:t>DeepSeek‑V4.1‑Flash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Nota oficial y changelog: "Today, we officially release the DeepSeek-V4.1-Flash model"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 xml:space="preserve">En la API se llama </w:t>
            </w:r>
            <w:r>
              <w:rPr>
                <w:rFonts w:ascii="Consolas" w:hAnsi="Consolas"/>
                <w:sz w:val="20"/>
              </w:rPr>
              <w:t>deepseek-flash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 xml:space="preserve">Página de precios: "Use </w:t>
            </w:r>
            <w:r>
              <w:rPr>
                <w:rFonts w:ascii="Consolas" w:hAnsi="Consolas"/>
                <w:sz w:val="20"/>
              </w:rPr>
              <w:t>deepseek-flash</w:t>
            </w:r>
            <w:r>
              <w:t xml:space="preserve"> as the model name"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 xml:space="preserve">Lanzado el </w:t>
            </w:r>
            <w:r>
              <w:rPr>
                <w:b/>
              </w:rPr>
              <w:t>10‑09‑2026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Changelog y nota de prensa, ambos con fecha 2026-09-10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Sigue siendo la última versión a 4‑10‑2026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 xml:space="preserve">Última entrada del changelog. </w:t>
            </w:r>
            <w:r>
              <w:rPr>
                <w:rFonts w:ascii="Consolas" w:hAnsi="Consolas"/>
                <w:sz w:val="20"/>
              </w:rPr>
              <w:t>DeepSeek-V4.1-Pro</w:t>
            </w:r>
            <w:r>
              <w:t xml:space="preserve"> se anuncia como futuro, sin lanzar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deepseek-v4-flash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deepseek-v4-flash-vision-exp</w:t>
            </w:r>
            <w:r>
              <w:t xml:space="preserve"> solo se redirigen temporalmente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"the corresponding models have been retired, their requests are served by the DeepSeek-V4.1-Flash model"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deepseek-chat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deepseek-reasoner</w:t>
            </w:r>
            <w:r>
              <w:t xml:space="preserve"> se retiraron el 2026‑07‑24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Changelog 2026-04-24: "will be discontinued in three months (2026-07-24)"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Linaje completo (V3.1 → V4.1‑Flash)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Fechas idénticas en el changelog. *Nota menor:* el documento lista "V3.2 (2025‑12‑01)"; ese mismo día también salió V3.2‑Speciale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Contradicción sobre V4‑Pro: la nota dice redirección, el changelog dice continuidad</w:t>
            </w:r>
          </w:p>
        </w:tc>
        <w:tc>
          <w:tcPr>
            <w:tcW w:type="dxa" w:w="2160"/>
          </w:tcPr>
          <w:p>
            <w:r/>
            <w:r>
              <w:t>⚠️ Parcial</w:t>
            </w:r>
          </w:p>
        </w:tc>
        <w:tc>
          <w:tcPr>
            <w:tcW w:type="dxa" w:w="2160"/>
          </w:tcPr>
          <w:p>
            <w:r/>
            <w:r>
              <w:t xml:space="preserve">Ambos textos existen, pero la nota oficial </w:t>
            </w:r>
            <w:r>
              <w:rPr>
                <w:b/>
              </w:rPr>
              <w:t>ya dice</w:t>
            </w:r>
            <w:r>
              <w:t xml:space="preserve"> "we're phasing out V4-Pro". No son fuentes opuestas: es el mismo anuncio. El changelog confirma que V4‑Pro sigue vivo y facturándose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Precios: caché hit $0.003 / miss $0.15 / salida $0.60 (valle); pico al doble</w:t>
            </w:r>
          </w:p>
        </w:tc>
        <w:tc>
          <w:tcPr>
            <w:tcW w:type="dxa" w:w="2160"/>
          </w:tcPr>
          <w:p>
            <w:r/>
            <w:r>
              <w:t>✅ Confirmado al dígito</w:t>
            </w:r>
          </w:p>
        </w:tc>
        <w:tc>
          <w:tcPr>
            <w:tcW w:type="dxa" w:w="2160"/>
          </w:tcPr>
          <w:p>
            <w:r/>
            <w:r>
              <w:t>Tabla de precios vigente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El acierto de caché cuesta ~50 veces menos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0,15 ÷ 0,003 = 50 (cálculo propio sobre cifras oficiales)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Horas pico 01:00–04:00 y 06:00–10:00 UTC, L–V, excluidos festivos chinos</w:t>
            </w:r>
          </w:p>
        </w:tc>
        <w:tc>
          <w:tcPr>
            <w:tcW w:type="dxa" w:w="2160"/>
          </w:tcPr>
          <w:p>
            <w:r/>
            <w:r>
              <w:t>⚠️ Parcial</w:t>
            </w:r>
          </w:p>
        </w:tc>
        <w:tc>
          <w:tcPr>
            <w:tcW w:type="dxa" w:w="2160"/>
          </w:tcPr>
          <w:p>
            <w:r/>
            <w:r>
              <w:t xml:space="preserve">Correcto, pero </w:t>
            </w:r>
            <w:r>
              <w:rPr>
                <w:b/>
              </w:rPr>
              <w:t>incompleto</w:t>
            </w:r>
            <w:r>
              <w:t>: la fuente añade "All other hours are off-peak, including weekends and Chinese public holidays in full"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Concurrencia 2500 (vs 500 de V4‑Pro)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Página de precios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La lectura de que el coste del agente lo marcan las entradas repetidas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Nota oficial: "Cache-hit charges often account for a large share of agent costs"</w:t>
            </w:r>
          </w:p>
        </w:tc>
      </w:tr>
    </w:tbl>
    <w:p/>
    <w:p>
      <w:pPr>
        <w:pStyle w:val="Heading1"/>
      </w:pPr>
      <w:r>
        <w:t>B. Especificaciones técnicas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Afirmación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Veredicto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Evidencia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MoE de 552B de backbone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Nota oficial y model card: "552B-parameter MoE" / "552B backbone parameters"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8B activos en prefill, 16B en decode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>Model card: "activate only 8B parameters per token during prefill and 16B during decode"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196B adicionales de memoria Engram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Model card: "Engram conditional memory (196B parameters, sparsely accessed via token-based lookup)"</w:t>
            </w:r>
          </w:p>
        </w:tc>
      </w:tr>
      <w:tr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Causal Encoder‑Decoder de 40 capas (20+20)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>Model card: "a 40-layer Transformer organized as a 20-layer causal encoder followed by a 20-layer decoder"</w:t>
            </w:r>
          </w:p>
        </w:tc>
      </w:tr>
      <w:tr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CSA2, Engram, Single‑Pass mHC, DSpark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Los cuatro aparecen nombrados en la model card, con la descripción que da el documento</w:t>
            </w:r>
          </w:p>
        </w:tc>
      </w:tr>
      <w:tr>
        <w:tc>
          <w:tcPr>
            <w:tcW w:type="dxa" w:w="2160"/>
          </w:tcPr>
          <w:p>
            <w:r/>
            <w:r>
              <w:t>19</w:t>
            </w:r>
          </w:p>
        </w:tc>
        <w:tc>
          <w:tcPr>
            <w:tcW w:type="dxa" w:w="2160"/>
          </w:tcPr>
          <w:p>
            <w:r/>
            <w:r>
              <w:t>1 experto compartido + 384 enrutados, 6 activos por token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Model card, literal</w:t>
            </w:r>
          </w:p>
        </w:tc>
      </w:tr>
      <w:tr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t>45T tokens multimodales; sparse attention a 64K; contexto a 1M desde los 34T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>Model card</w:t>
            </w:r>
          </w:p>
        </w:tc>
      </w:tr>
      <w:tr>
        <w:tc>
          <w:tcPr>
            <w:tcW w:type="dxa" w:w="2160"/>
          </w:tcPr>
          <w:p>
            <w:r/>
            <w:r>
              <w:t>21</w:t>
            </w:r>
          </w:p>
        </w:tc>
        <w:tc>
          <w:tcPr>
            <w:tcW w:type="dxa" w:w="2160"/>
          </w:tcPr>
          <w:p>
            <w:r/>
            <w:r>
              <w:t>Contexto 1M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Precios: "CONTEXT LENGTH 1M"; API: 393 216 como tope de salida sobre esa ventana</w:t>
            </w:r>
          </w:p>
        </w:tc>
      </w:tr>
      <w:tr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>
              <w:t>Salida máxima 384K (393 216)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API: "The value must be between 1 and 384K (393216)"</w:t>
            </w:r>
          </w:p>
        </w:tc>
      </w:tr>
      <w:tr>
        <w:tc>
          <w:tcPr>
            <w:tcW w:type="dxa" w:w="2160"/>
          </w:tcPr>
          <w:p>
            <w:r/>
            <w:r>
              <w:t>23</w:t>
            </w:r>
          </w:p>
        </w:tc>
        <w:tc>
          <w:tcPr>
            <w:tcW w:type="dxa" w:w="2160"/>
          </w:tcPr>
          <w:p>
            <w:r/>
            <w:r>
              <w:t>Entrada texto+imagen, salida solo texto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"natively processes images and text, and generates text autoregressively"</w:t>
            </w:r>
          </w:p>
        </w:tc>
      </w:tr>
      <w:tr>
        <w:tc>
          <w:tcPr>
            <w:tcW w:type="dxa" w:w="2160"/>
          </w:tcPr>
          <w:p>
            <w:r/>
            <w:r>
              <w:t>24</w:t>
            </w:r>
          </w:p>
        </w:tc>
        <w:tc>
          <w:tcPr>
            <w:tcW w:type="dxa" w:w="2160"/>
          </w:tcPr>
          <w:p>
            <w:r/>
            <w:r>
              <w:t>Caché KV de 890 bytes/token ≈ ¼ de V4‑Flash</w:t>
            </w:r>
          </w:p>
        </w:tc>
        <w:tc>
          <w:tcPr>
            <w:tcW w:type="dxa" w:w="2160"/>
          </w:tcPr>
          <w:p>
            <w:r/>
            <w:r>
              <w:t>⚠️ Parcial</w:t>
            </w:r>
          </w:p>
        </w:tc>
        <w:tc>
          <w:tcPr>
            <w:tcW w:type="dxa" w:w="2160"/>
          </w:tcPr>
          <w:p>
            <w:r/>
            <w:r>
              <w:t xml:space="preserve">El número es correcto ("reduce the global KV cache footprint to 890 bytes per token — roughly 1/4"), pero es la caché </w:t>
            </w:r>
            <w:r>
              <w:rPr>
                <w:b/>
              </w:rPr>
              <w:t>global en HBM</w:t>
            </w:r>
            <w:r>
              <w:t xml:space="preserve">. El 1/8 que cita la nota de prensa es la caché </w:t>
            </w:r>
            <w:r>
              <w:rPr>
                <w:b/>
              </w:rPr>
              <w:t>persistente</w:t>
            </w:r>
            <w:r>
              <w:t xml:space="preserve"> (SSD), vía SWA Bounded Replay. El documento usa ambos sin distinguirlos</w:t>
            </w:r>
          </w:p>
        </w:tc>
      </w:tr>
      <w:tr>
        <w:tc>
          <w:tcPr>
            <w:tcW w:type="dxa" w:w="2160"/>
          </w:tcPr>
          <w:p>
            <w:r/>
            <w:r>
              <w:t>25</w:t>
            </w:r>
          </w:p>
        </w:tc>
        <w:tc>
          <w:tcPr>
            <w:tcW w:type="dxa" w:w="2160"/>
          </w:tcPr>
          <w:p>
            <w:r/>
            <w:r>
              <w:t>Licencia MIT (pesos y repo)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license: mit</w:t>
            </w:r>
            <w:r>
              <w:t xml:space="preserve"> y "This repository and the model weights are licensed under the MIT License"</w:t>
            </w:r>
          </w:p>
        </w:tc>
      </w:tr>
      <w:tr>
        <w:tc>
          <w:tcPr>
            <w:tcW w:type="dxa" w:w="2160"/>
          </w:tcPr>
          <w:p>
            <w:r/>
            <w:r>
              <w:t>26</w:t>
            </w:r>
          </w:p>
        </w:tc>
        <w:tc>
          <w:tcPr>
            <w:tcW w:type="dxa" w:w="2160"/>
          </w:tcPr>
          <w:p>
            <w:r/>
            <w:r>
              <w:t xml:space="preserve">No hay plantilla Jinja; se usa </w:t>
            </w:r>
            <w:r>
              <w:rPr>
                <w:rFonts w:ascii="Consolas" w:hAnsi="Consolas"/>
                <w:sz w:val="20"/>
              </w:rPr>
              <w:t>encoding.py</w:t>
            </w:r>
            <w:r>
              <w:t xml:space="preserve"> o la librería </w:t>
            </w:r>
            <w:r>
              <w:rPr>
                <w:rFonts w:ascii="Consolas" w:hAnsi="Consolas"/>
                <w:sz w:val="20"/>
              </w:rPr>
              <w:t>deepseek-recipe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 xml:space="preserve">"This release does not include a Jinja-format chat template"; </w:t>
            </w:r>
            <w:r>
              <w:rPr>
                <w:rFonts w:ascii="Consolas" w:hAnsi="Consolas"/>
                <w:sz w:val="20"/>
              </w:rPr>
              <w:t>deepseek-recipe</w:t>
            </w:r>
            <w:r>
              <w:t xml:space="preserve"> se describe como "Rust libraries with Python bindings"</w:t>
            </w:r>
          </w:p>
        </w:tc>
      </w:tr>
      <w:tr>
        <w:tc>
          <w:tcPr>
            <w:tcW w:type="dxa" w:w="2160"/>
          </w:tcPr>
          <w:p>
            <w:r/>
            <w:r>
              <w:t>27</w:t>
            </w:r>
          </w:p>
        </w:tc>
        <w:tc>
          <w:tcPr>
            <w:tcW w:type="dxa" w:w="2160"/>
          </w:tcPr>
          <w:p>
            <w:r/>
            <w:r>
              <w:t>Corte de conocimiento no publicado</w:t>
            </w:r>
          </w:p>
        </w:tc>
        <w:tc>
          <w:tcPr>
            <w:tcW w:type="dxa" w:w="2160"/>
          </w:tcPr>
          <w:p>
            <w:r/>
            <w:r>
              <w:t>✅ Confirmado (como no disponible)</w:t>
            </w:r>
          </w:p>
        </w:tc>
        <w:tc>
          <w:tcPr>
            <w:tcW w:type="dxa" w:w="2160"/>
          </w:tcPr>
          <w:p>
            <w:r/>
            <w:r>
              <w:t>No aparece en model card, informe, precios, changelog ni guías</w:t>
            </w:r>
          </w:p>
        </w:tc>
      </w:tr>
      <w:tr>
        <w:tc>
          <w:tcPr>
            <w:tcW w:type="dxa" w:w="2160"/>
          </w:tcPr>
          <w:p>
            <w:r/>
            <w:r>
              <w:t>28</w:t>
            </w:r>
          </w:p>
        </w:tc>
        <w:tc>
          <w:tcPr>
            <w:tcW w:type="dxa" w:w="2160"/>
          </w:tcPr>
          <w:p>
            <w:r/>
            <w:r>
              <w:t>Tasa de alucinación de V4.1 no publicada</w:t>
            </w:r>
          </w:p>
        </w:tc>
        <w:tc>
          <w:tcPr>
            <w:tcW w:type="dxa" w:w="2160"/>
          </w:tcPr>
          <w:p>
            <w:r/>
            <w:r>
              <w:t>✅ Confirmado (como no disponible)</w:t>
            </w:r>
          </w:p>
        </w:tc>
        <w:tc>
          <w:tcPr>
            <w:tcW w:type="dxa" w:w="2160"/>
          </w:tcPr>
          <w:p>
            <w:r/>
            <w:r>
              <w:t>Igual que el anterior</w:t>
            </w:r>
          </w:p>
        </w:tc>
      </w:tr>
    </w:tbl>
    <w:p/>
    <w:p>
      <w:pPr>
        <w:pStyle w:val="Heading1"/>
      </w:pPr>
      <w:r>
        <w:t>C. Parámetros de generación y comportamiento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Afirmación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Veredicto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Evidencia</w:t>
            </w:r>
          </w:p>
        </w:tc>
      </w:tr>
      <w:tr>
        <w:tc>
          <w:tcPr>
            <w:tcW w:type="dxa" w:w="2160"/>
          </w:tcPr>
          <w:p>
            <w:r/>
            <w:r>
              <w:t>29</w:t>
            </w:r>
          </w:p>
        </w:tc>
        <w:tc>
          <w:tcPr>
            <w:tcW w:type="dxa" w:w="2160"/>
          </w:tcPr>
          <w:p>
            <w:r/>
            <w:r>
              <w:t xml:space="preserve">Modo thinking activado por defecto, esfuerzo </w:t>
            </w:r>
            <w:r>
              <w:rPr>
                <w:rFonts w:ascii="Consolas" w:hAnsi="Consolas"/>
                <w:sz w:val="20"/>
              </w:rPr>
              <w:t>high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 xml:space="preserve">"Thinking mode is enabled by default, with the default effort being </w:t>
            </w:r>
            <w:r>
              <w:rPr>
                <w:rFonts w:ascii="Consolas" w:hAnsi="Consolas"/>
                <w:sz w:val="20"/>
              </w:rPr>
              <w:t>high</w:t>
            </w:r>
            <w:r>
              <w:t>"</w:t>
            </w:r>
          </w:p>
        </w:tc>
      </w:tr>
      <w:tr>
        <w:tc>
          <w:tcPr>
            <w:tcW w:type="dxa" w:w="2160"/>
          </w:tcPr>
          <w:p>
            <w:r/>
            <w:r>
              <w:t>30</w:t>
            </w:r>
          </w:p>
        </w:tc>
        <w:tc>
          <w:tcPr>
            <w:tcW w:type="dxa" w:w="2160"/>
          </w:tcPr>
          <w:p>
            <w:r/>
            <w:r>
              <w:t>Mapeo low/high/max = 50/75/100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encoding/README.md</w:t>
            </w:r>
            <w:r>
              <w:t>: "</w:t>
            </w:r>
            <w:r>
              <w:rPr>
                <w:rFonts w:ascii="Consolas" w:hAnsi="Consolas"/>
                <w:sz w:val="20"/>
              </w:rPr>
              <w:t>"low"</w:t>
            </w:r>
            <w:r>
              <w:t xml:space="preserve"> → 50, </w:t>
            </w:r>
            <w:r>
              <w:rPr>
                <w:rFonts w:ascii="Consolas" w:hAnsi="Consolas"/>
                <w:sz w:val="20"/>
              </w:rPr>
              <w:t>"high"</w:t>
            </w:r>
            <w:r>
              <w:t xml:space="preserve"> → 75, </w:t>
            </w:r>
            <w:r>
              <w:rPr>
                <w:rFonts w:ascii="Consolas" w:hAnsi="Consolas"/>
                <w:sz w:val="20"/>
              </w:rPr>
              <w:t>"max"</w:t>
            </w:r>
            <w:r>
              <w:t xml:space="preserve"> → 100"</w:t>
            </w:r>
          </w:p>
        </w:tc>
      </w:tr>
      <w:tr>
        <w:tc>
          <w:tcPr>
            <w:tcW w:type="dxa" w:w="2160"/>
          </w:tcPr>
          <w:p>
            <w:r/>
            <w:r>
              <w:t>31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El encoder abierto/vLLM mapea distinto: 25/50/75/100, y "high" local = 50</w:t>
            </w:r>
          </w:p>
        </w:tc>
        <w:tc>
          <w:tcPr>
            <w:tcW w:type="dxa" w:w="2160"/>
          </w:tcPr>
          <w:p>
            <w:r/>
            <w:r>
              <w:t xml:space="preserve">❌ </w:t>
            </w:r>
            <w:r>
              <w:rPr>
                <w:b/>
              </w:rPr>
              <w:t>REFUTADO</w:t>
            </w:r>
          </w:p>
        </w:tc>
        <w:tc>
          <w:tcPr>
            <w:tcW w:type="dxa" w:w="2160"/>
          </w:tcPr>
          <w:p>
            <w:r/>
            <w:r>
              <w:t xml:space="preserve">La fuente primaria dice exactamente lo contrario: el encoder de referencia usa 50/75/100 y </w:t>
            </w:r>
            <w:r>
              <w:rPr>
                <w:b/>
              </w:rPr>
              <w:t>no define `xhigh`</w:t>
            </w:r>
            <w:r>
              <w:t>. Ese 25/50/75/100 era el comportamiento antiguo de vLLM</w:t>
            </w:r>
          </w:p>
        </w:tc>
      </w:tr>
      <w:tr>
        <w:tc>
          <w:tcPr>
            <w:tcW w:type="dxa" w:w="2160"/>
          </w:tcPr>
          <w:p>
            <w:r/>
            <w:r>
              <w:t>32</w:t>
            </w:r>
          </w:p>
        </w:tc>
        <w:tc>
          <w:tcPr>
            <w:tcW w:type="dxa" w:w="2160"/>
          </w:tcPr>
          <w:p>
            <w:r/>
            <w:r>
              <w:t xml:space="preserve">Alias: </w:t>
            </w:r>
            <w:r>
              <w:rPr>
                <w:rFonts w:ascii="Consolas" w:hAnsi="Consolas"/>
                <w:sz w:val="20"/>
              </w:rPr>
              <w:t>minimal</w:t>
            </w:r>
            <w:r>
              <w:t xml:space="preserve">→low, </w:t>
            </w:r>
            <w:r>
              <w:rPr>
                <w:rFonts w:ascii="Consolas" w:hAnsi="Consolas"/>
                <w:sz w:val="20"/>
              </w:rPr>
              <w:t>medium</w:t>
            </w:r>
            <w:r>
              <w:t xml:space="preserve">→high, </w:t>
            </w:r>
            <w:r>
              <w:rPr>
                <w:rFonts w:ascii="Consolas" w:hAnsi="Consolas"/>
                <w:sz w:val="20"/>
              </w:rPr>
              <w:t>xhigh</w:t>
            </w:r>
            <w:r>
              <w:t xml:space="preserve">→high, </w:t>
            </w:r>
            <w:r>
              <w:rPr>
                <w:rFonts w:ascii="Consolas" w:hAnsi="Consolas"/>
                <w:sz w:val="20"/>
              </w:rPr>
              <w:t>ultra</w:t>
            </w:r>
            <w:r>
              <w:t>→max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 xml:space="preserve">Tabla oficial de mapeo (los tres primeros, literales; </w:t>
            </w:r>
            <w:r>
              <w:rPr>
                <w:rFonts w:ascii="Consolas" w:hAnsi="Consolas"/>
                <w:sz w:val="20"/>
              </w:rPr>
              <w:t>ultra</w:t>
            </w:r>
            <w:r>
              <w:t xml:space="preserve"> aparece en la misma tabla)</w:t>
            </w:r>
          </w:p>
        </w:tc>
      </w:tr>
      <w:tr>
        <w:tc>
          <w:tcPr>
            <w:tcW w:type="dxa" w:w="2160"/>
          </w:tcPr>
          <w:p>
            <w:r/>
            <w:r>
              <w:t>33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temperature</w:t>
            </w:r>
            <w:r>
              <w:t xml:space="preserve"> y penalties se ignoran en modo thinking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 xml:space="preserve">"Thinking mode does not support the </w:t>
            </w:r>
            <w:r>
              <w:rPr>
                <w:rFonts w:ascii="Consolas" w:hAnsi="Consolas"/>
                <w:sz w:val="20"/>
              </w:rPr>
              <w:t>temperature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presence_penalty</w:t>
            </w:r>
            <w:r>
              <w:t xml:space="preserve">, or </w:t>
            </w:r>
            <w:r>
              <w:rPr>
                <w:rFonts w:ascii="Consolas" w:hAnsi="Consolas"/>
                <w:sz w:val="20"/>
              </w:rPr>
              <w:t>frequency_penalty</w:t>
            </w:r>
            <w:r>
              <w:t xml:space="preserve"> parameters… will also have no effect"</w:t>
            </w:r>
          </w:p>
        </w:tc>
      </w:tr>
      <w:tr>
        <w:tc>
          <w:tcPr>
            <w:tcW w:type="dxa" w:w="2160"/>
          </w:tcPr>
          <w:p>
            <w:r/>
            <w:r>
              <w:t>34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top_p</w:t>
            </w:r>
            <w:r>
              <w:t xml:space="preserve"> solo actúa en thinking, rango efectivo 0.95–1.0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 xml:space="preserve">"values below </w:t>
            </w:r>
            <w:r>
              <w:rPr>
                <w:rFonts w:ascii="Consolas" w:hAnsi="Consolas"/>
                <w:sz w:val="20"/>
              </w:rPr>
              <w:t>0.95</w:t>
            </w:r>
            <w:r>
              <w:t xml:space="preserve"> are treated as </w:t>
            </w:r>
            <w:r>
              <w:rPr>
                <w:rFonts w:ascii="Consolas" w:hAnsi="Consolas"/>
                <w:sz w:val="20"/>
              </w:rPr>
              <w:t>0.95</w:t>
            </w:r>
            <w:r>
              <w:t>"</w:t>
            </w:r>
          </w:p>
        </w:tc>
      </w:tr>
      <w:tr>
        <w:tc>
          <w:tcPr>
            <w:tcW w:type="dxa" w:w="2160"/>
          </w:tcPr>
          <w:p>
            <w:r/>
            <w:r>
              <w:t>35</w:t>
            </w:r>
          </w:p>
        </w:tc>
        <w:tc>
          <w:tcPr>
            <w:tcW w:type="dxa" w:w="2160"/>
          </w:tcPr>
          <w:p>
            <w:r/>
            <w:r>
              <w:t xml:space="preserve">Recomendación oficial: </w:t>
            </w:r>
            <w:r>
              <w:rPr>
                <w:rFonts w:ascii="Consolas" w:hAnsi="Consolas"/>
                <w:sz w:val="20"/>
              </w:rPr>
              <w:t>temperature=1.0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top_p=0.95</w:t>
            </w:r>
          </w:p>
        </w:tc>
        <w:tc>
          <w:tcPr>
            <w:tcW w:type="dxa" w:w="2160"/>
          </w:tcPr>
          <w:p>
            <w:r/>
            <w:r>
              <w:t>⚠️ Parcial</w:t>
            </w:r>
          </w:p>
        </w:tc>
        <w:tc>
          <w:tcPr>
            <w:tcW w:type="dxa" w:w="2160"/>
          </w:tcPr>
          <w:p>
            <w:r/>
            <w:r>
              <w:t xml:space="preserve">La model card recomienda "0.95 </w:t>
            </w:r>
            <w:r>
              <w:rPr>
                <w:b/>
              </w:rPr>
              <w:t>or 1.0</w:t>
            </w:r>
            <w:r>
              <w:t xml:space="preserve">". </w:t>
            </w:r>
            <w:r>
              <w:rPr>
                <w:b/>
              </w:rPr>
              <w:t>El valor por defecto de la API es `temperature` 1 y `top_p` 1</w:t>
            </w:r>
            <w:r>
              <w:t xml:space="preserve"> — el documento no lo aclara y puede inducir a error</w:t>
            </w:r>
          </w:p>
        </w:tc>
      </w:tr>
      <w:tr>
        <w:tc>
          <w:tcPr>
            <w:tcW w:type="dxa" w:w="2160"/>
          </w:tcPr>
          <w:p>
            <w:r/>
            <w:r>
              <w:t>36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max_tokens</w:t>
            </w:r>
            <w:r>
              <w:t xml:space="preserve"> por defecto: 8K sin thinking, 64K con thinking, 128K con </w:t>
            </w:r>
            <w:r>
              <w:rPr>
                <w:rFonts w:ascii="Consolas" w:hAnsi="Consolas"/>
                <w:sz w:val="20"/>
              </w:rPr>
              <w:t>max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>Referencia de la API, palabra por palabra</w:t>
            </w:r>
          </w:p>
        </w:tc>
      </w:tr>
      <w:tr>
        <w:tc>
          <w:tcPr>
            <w:tcW w:type="dxa" w:w="2160"/>
          </w:tcPr>
          <w:p>
            <w:r/>
            <w:r>
              <w:t>37</w:t>
            </w:r>
          </w:p>
        </w:tc>
        <w:tc>
          <w:tcPr>
            <w:tcW w:type="dxa" w:w="2160"/>
          </w:tcPr>
          <w:p>
            <w:r/>
            <w:r>
              <w:t>Tarjeta recomienda ≥256K para tareas duras</w:t>
            </w:r>
          </w:p>
        </w:tc>
        <w:tc>
          <w:tcPr>
            <w:tcW w:type="dxa" w:w="2160"/>
          </w:tcPr>
          <w:p>
            <w:r/>
            <w:r>
              <w:t>⚠️ Parcial</w:t>
            </w:r>
          </w:p>
        </w:tc>
        <w:tc>
          <w:tcPr>
            <w:tcW w:type="dxa" w:w="2160"/>
          </w:tcPr>
          <w:p>
            <w:r/>
            <w:r>
              <w:t>La tarjeta dice "</w:t>
            </w:r>
            <w:r>
              <w:rPr>
                <w:rFonts w:ascii="Consolas" w:hAnsi="Consolas"/>
                <w:sz w:val="20"/>
              </w:rPr>
              <w:t>max_tokens</w:t>
            </w:r>
            <w:r>
              <w:t xml:space="preserve"> ≥ 256K" en su tabla de sampling recomendado, </w:t>
            </w:r>
            <w:r>
              <w:rPr>
                <w:b/>
              </w:rPr>
              <w:t>sin</w:t>
            </w:r>
            <w:r>
              <w:t xml:space="preserve"> calificarlo de "tareas duras". La etiqueta es añadido del documento</w:t>
            </w:r>
          </w:p>
        </w:tc>
      </w:tr>
      <w:tr>
        <w:tc>
          <w:tcPr>
            <w:tcW w:type="dxa" w:w="2160"/>
          </w:tcPr>
          <w:p>
            <w:r/>
            <w:r>
              <w:t>38</w:t>
            </w:r>
          </w:p>
        </w:tc>
        <w:tc>
          <w:tcPr>
            <w:tcW w:type="dxa" w:w="2160"/>
          </w:tcPr>
          <w:p>
            <w:r/>
            <w:r>
              <w:t xml:space="preserve">Poco </w:t>
            </w:r>
            <w:r>
              <w:rPr>
                <w:rFonts w:ascii="Consolas" w:hAnsi="Consolas"/>
                <w:sz w:val="20"/>
              </w:rPr>
              <w:t>max_tokens</w:t>
            </w:r>
            <w:r>
              <w:t xml:space="preserve"> + thinking ⇒ </w:t>
            </w:r>
            <w:r>
              <w:rPr>
                <w:rFonts w:ascii="Consolas" w:hAnsi="Consolas"/>
                <w:sz w:val="20"/>
              </w:rPr>
              <w:t>content</w:t>
            </w:r>
            <w:r>
              <w:t xml:space="preserve"> vacío con </w:t>
            </w:r>
            <w:r>
              <w:rPr>
                <w:rFonts w:ascii="Consolas" w:hAnsi="Consolas"/>
                <w:sz w:val="20"/>
              </w:rPr>
              <w:t>finish_reason=length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 xml:space="preserve">La API advierte de que el contenido puede llegar cortado por </w:t>
            </w:r>
            <w:r>
              <w:rPr>
                <w:rFonts w:ascii="Consolas" w:hAnsi="Consolas"/>
                <w:sz w:val="20"/>
              </w:rPr>
              <w:t>length</w:t>
            </w:r>
            <w:r>
              <w:t>; el síntoma descrito es correcto</w:t>
            </w:r>
          </w:p>
        </w:tc>
      </w:tr>
      <w:tr>
        <w:tc>
          <w:tcPr>
            <w:tcW w:type="dxa" w:w="2160"/>
          </w:tcPr>
          <w:p>
            <w:r/>
            <w:r>
              <w:t>39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`tool_choice: "required"` o herramienta nombrada dan error 400 en thinking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Referencia de Chat Completions: "</w:t>
            </w:r>
            <w:r>
              <w:rPr>
                <w:rFonts w:ascii="Consolas" w:hAnsi="Consolas"/>
                <w:sz w:val="20"/>
              </w:rPr>
              <w:t>required</w:t>
            </w:r>
            <w:r>
              <w:t xml:space="preserve"> and named tool choices are not supported in thinking mode; the API returns a </w:t>
            </w:r>
            <w:r>
              <w:rPr>
                <w:rFonts w:ascii="Consolas" w:hAnsi="Consolas"/>
                <w:sz w:val="20"/>
              </w:rPr>
              <w:t>400</w:t>
            </w:r>
            <w:r>
              <w:t xml:space="preserve"> error." </w:t>
            </w:r>
            <w:r>
              <w:rPr>
                <w:b/>
              </w:rPr>
              <w:t>Matiz que el documento omite:</w:t>
            </w:r>
            <w:r>
              <w:t xml:space="preserve"> en el formato Anthropic, </w:t>
            </w:r>
            <w:r>
              <w:rPr>
                <w:rFonts w:ascii="Consolas" w:hAnsi="Consolas"/>
                <w:sz w:val="20"/>
              </w:rPr>
              <w:t>any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tool</w:t>
            </w:r>
            <w:r>
              <w:t xml:space="preserve"> figuran como soportados</w:t>
            </w:r>
          </w:p>
        </w:tc>
      </w:tr>
      <w:tr>
        <w:tc>
          <w:tcPr>
            <w:tcW w:type="dxa" w:w="2160"/>
          </w:tcPr>
          <w:p>
            <w:r/>
            <w:r>
              <w:t>40</w:t>
            </w:r>
          </w:p>
        </w:tc>
        <w:tc>
          <w:tcPr>
            <w:tcW w:type="dxa" w:w="2160"/>
          </w:tcPr>
          <w:p>
            <w:r/>
            <w:r>
              <w:t xml:space="preserve">Con </w:t>
            </w:r>
            <w:r>
              <w:rPr>
                <w:rFonts w:ascii="Consolas" w:hAnsi="Consolas"/>
                <w:sz w:val="20"/>
              </w:rPr>
              <w:t>tools</w:t>
            </w:r>
            <w:r>
              <w:t xml:space="preserve"> hay que reenviar *todo* el </w:t>
            </w:r>
            <w:r>
              <w:rPr>
                <w:rFonts w:ascii="Consolas" w:hAnsi="Consolas"/>
                <w:sz w:val="20"/>
              </w:rPr>
              <w:t>reasoning_content</w:t>
            </w:r>
            <w:r>
              <w:t>, incluso de turnos sin herramienta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 xml:space="preserve">"the </w:t>
            </w:r>
            <w:r>
              <w:rPr>
                <w:rFonts w:ascii="Consolas" w:hAnsi="Consolas"/>
                <w:sz w:val="20"/>
              </w:rPr>
              <w:t>reasoning_content</w:t>
            </w:r>
            <w:r>
              <w:t xml:space="preserve"> must be fully passed back to the API in all subsequent requests — even for turns where the model did not perform a tool call… the API will return a 400 error"</w:t>
            </w:r>
          </w:p>
        </w:tc>
      </w:tr>
      <w:tr>
        <w:tc>
          <w:tcPr>
            <w:tcW w:type="dxa" w:w="2160"/>
          </w:tcPr>
          <w:p>
            <w:r/>
            <w:r>
              <w:t>41</w:t>
            </w:r>
          </w:p>
        </w:tc>
        <w:tc>
          <w:tcPr>
            <w:tcW w:type="dxa" w:w="2160"/>
          </w:tcPr>
          <w:p>
            <w:r/>
            <w:r>
              <w:t xml:space="preserve">Sin </w:t>
            </w:r>
            <w:r>
              <w:rPr>
                <w:rFonts w:ascii="Consolas" w:hAnsi="Consolas"/>
                <w:sz w:val="20"/>
              </w:rPr>
              <w:t>tools</w:t>
            </w:r>
            <w:r>
              <w:t xml:space="preserve">, el </w:t>
            </w:r>
            <w:r>
              <w:rPr>
                <w:rFonts w:ascii="Consolas" w:hAnsi="Consolas"/>
                <w:sz w:val="20"/>
              </w:rPr>
              <w:t>reasoning_content</w:t>
            </w:r>
            <w:r>
              <w:t xml:space="preserve"> se ignora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"even if passed to the API, it will be ignored and will not be concatenated into the context"</w:t>
            </w:r>
          </w:p>
        </w:tc>
      </w:tr>
      <w:tr>
        <w:tc>
          <w:tcPr>
            <w:tcW w:type="dxa" w:w="2160"/>
          </w:tcPr>
          <w:p>
            <w:r/>
            <w:r>
              <w:t>42</w:t>
            </w:r>
          </w:p>
        </w:tc>
        <w:tc>
          <w:tcPr>
            <w:tcW w:type="dxa" w:w="2160"/>
          </w:tcPr>
          <w:p>
            <w:r/>
            <w:r>
              <w:t>La API alojada no acepta esfuerzos enteros 1–100 (solo niveles con nombre)</w:t>
            </w:r>
          </w:p>
        </w:tc>
        <w:tc>
          <w:tcPr>
            <w:tcW w:type="dxa" w:w="2160"/>
          </w:tcPr>
          <w:p>
            <w:r/>
            <w:r>
              <w:t>⚠️ Parcial</w:t>
            </w:r>
          </w:p>
        </w:tc>
        <w:tc>
          <w:tcPr>
            <w:tcW w:type="dxa" w:w="2160"/>
          </w:tcPr>
          <w:p>
            <w:r/>
            <w:r>
              <w:t>Correcto para la API (</w:t>
            </w:r>
            <w:r>
              <w:rPr>
                <w:rFonts w:ascii="Consolas" w:hAnsi="Consolas"/>
                <w:sz w:val="20"/>
              </w:rPr>
              <w:t>none/low/high/max</w:t>
            </w:r>
            <w:r>
              <w:t xml:space="preserve">), y el modelo abierto </w:t>
            </w:r>
            <w:r>
              <w:rPr>
                <w:b/>
              </w:rPr>
              <w:t>sí</w:t>
            </w:r>
            <w:r>
              <w:t xml:space="preserve"> acepta entero 1–100 ("continuously controllable reasoning effort (integer 1–100)"). El documento lo trata como "confianza baja en blogs": es correcto, pero por una razón distinta a la que sugiere</w:t>
            </w:r>
          </w:p>
        </w:tc>
      </w:tr>
      <w:tr>
        <w:tc>
          <w:tcPr>
            <w:tcW w:type="dxa" w:w="2160"/>
          </w:tcPr>
          <w:p>
            <w:r/>
            <w:r>
              <w:t>43</w:t>
            </w:r>
          </w:p>
        </w:tc>
        <w:tc>
          <w:tcPr>
            <w:tcW w:type="dxa" w:w="2160"/>
          </w:tcPr>
          <w:p>
            <w:r/>
            <w:r>
              <w:t>El esfuerzo se inyecta como instrucción de sistema al inicio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encoding/README.md</w:t>
            </w:r>
            <w:r>
              <w:t xml:space="preserve">: prefijo </w:t>
            </w:r>
            <w:r>
              <w:rPr>
                <w:rFonts w:ascii="Consolas" w:hAnsi="Consolas"/>
                <w:sz w:val="20"/>
              </w:rPr>
              <w:t>Reasoning Effort: {budget} (range 1-100…)</w:t>
            </w:r>
            <w:r>
              <w:t xml:space="preserve"> inyectado una sola vez, al principio, </w:t>
            </w:r>
            <w:r>
              <w:rPr>
                <w:b/>
              </w:rPr>
              <w:t>solo</w:t>
            </w:r>
            <w:r>
              <w:t xml:space="preserve"> en modo thinking</w:t>
            </w:r>
          </w:p>
        </w:tc>
      </w:tr>
    </w:tbl>
    <w:p/>
    <w:p>
      <w:pPr>
        <w:pStyle w:val="Heading1"/>
      </w:pPr>
      <w:r>
        <w:t>D. Structured output, tool calling e integraciones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Afirmación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Veredicto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Evidencia</w:t>
            </w:r>
          </w:p>
        </w:tc>
      </w:tr>
      <w:tr>
        <w:tc>
          <w:tcPr>
            <w:tcW w:type="dxa" w:w="2160"/>
          </w:tcPr>
          <w:p>
            <w:r/>
            <w:r>
              <w:t>44</w:t>
            </w:r>
          </w:p>
        </w:tc>
        <w:tc>
          <w:tcPr>
            <w:tcW w:type="dxa" w:w="2160"/>
          </w:tcPr>
          <w:p>
            <w:r/>
            <w:r>
              <w:t xml:space="preserve">JSON Output exige la palabra "json", un ejemplo y </w:t>
            </w:r>
            <w:r>
              <w:rPr>
                <w:rFonts w:ascii="Consolas" w:hAnsi="Consolas"/>
                <w:sz w:val="20"/>
              </w:rPr>
              <w:t>max_tokens</w:t>
            </w:r>
            <w:r>
              <w:t xml:space="preserve"> holgado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La API avisa de que sin instrucción explícita puede generar espacios en blanco hasta agotar el límite</w:t>
            </w:r>
          </w:p>
        </w:tc>
      </w:tr>
      <w:tr>
        <w:tc>
          <w:tcPr>
            <w:tcW w:type="dxa" w:w="2160"/>
          </w:tcPr>
          <w:p>
            <w:r/>
            <w:r>
              <w:t>45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strict</w:t>
            </w:r>
            <w:r>
              <w:t xml:space="preserve"> en Beta con </w:t>
            </w:r>
            <w:r>
              <w:rPr>
                <w:rFonts w:ascii="Consolas" w:hAnsi="Consolas"/>
                <w:sz w:val="20"/>
              </w:rPr>
              <w:t>base_url=.../beta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strict: true</w:t>
            </w:r>
            <w:r>
              <w:t xml:space="preserve"> en </w:t>
            </w:r>
            <w:r>
              <w:rPr>
                <w:b/>
              </w:rPr>
              <w:t>todas</w:t>
            </w:r>
            <w:r>
              <w:t xml:space="preserve"> las funciones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>Guía de Tool Calls</w:t>
            </w:r>
          </w:p>
        </w:tc>
      </w:tr>
      <w:tr>
        <w:tc>
          <w:tcPr>
            <w:tcW w:type="dxa" w:w="2160"/>
          </w:tcPr>
          <w:p>
            <w:r/>
            <w:r>
              <w:t>46</w:t>
            </w:r>
          </w:p>
        </w:tc>
        <w:tc>
          <w:tcPr>
            <w:tcW w:type="dxa" w:w="2160"/>
          </w:tcPr>
          <w:p>
            <w:r/>
            <w:r>
              <w:t xml:space="preserve">Tipos soportados en </w:t>
            </w:r>
            <w:r>
              <w:rPr>
                <w:rFonts w:ascii="Consolas" w:hAnsi="Consolas"/>
                <w:sz w:val="20"/>
              </w:rPr>
              <w:t>strict</w:t>
            </w:r>
            <w:r>
              <w:t xml:space="preserve">: object/string/number/integer/boolean/array/enum/anyOf, </w:t>
            </w:r>
            <w:r>
              <w:rPr>
                <w:rFonts w:ascii="Consolas" w:hAnsi="Consolas"/>
                <w:sz w:val="20"/>
              </w:rPr>
              <w:t>$ref</w:t>
            </w:r>
            <w:r>
              <w:t>/</w:t>
            </w:r>
            <w:r>
              <w:rPr>
                <w:rFonts w:ascii="Consolas" w:hAnsi="Consolas"/>
                <w:sz w:val="20"/>
              </w:rPr>
              <w:t>$def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 xml:space="preserve">La lista oficial es algo más amplia que la del documento (incluye también </w:t>
            </w:r>
            <w:r>
              <w:rPr>
                <w:rFonts w:ascii="Consolas" w:hAnsi="Consolas"/>
                <w:sz w:val="20"/>
              </w:rPr>
              <w:t>boolean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anyOf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47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json_schema</w:t>
            </w:r>
            <w:r>
              <w:t xml:space="preserve"> solo en </w:t>
            </w:r>
            <w:r>
              <w:rPr>
                <w:rFonts w:ascii="Consolas" w:hAnsi="Consolas"/>
                <w:sz w:val="20"/>
              </w:rPr>
              <w:t>/responses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 xml:space="preserve">Chat Completions solo admite </w:t>
            </w:r>
            <w:r>
              <w:rPr>
                <w:rFonts w:ascii="Consolas" w:hAnsi="Consolas"/>
                <w:sz w:val="20"/>
              </w:rPr>
              <w:t>text</w:t>
            </w:r>
            <w:r>
              <w:t>/</w:t>
            </w:r>
            <w:r>
              <w:rPr>
                <w:rFonts w:ascii="Consolas" w:hAnsi="Consolas"/>
                <w:sz w:val="20"/>
              </w:rPr>
              <w:t>json_object</w:t>
            </w:r>
          </w:p>
        </w:tc>
      </w:tr>
      <w:tr>
        <w:tc>
          <w:tcPr>
            <w:tcW w:type="dxa" w:w="2160"/>
          </w:tcPr>
          <w:p>
            <w:r/>
            <w:r>
              <w:t>48</w:t>
            </w:r>
          </w:p>
        </w:tc>
        <w:tc>
          <w:tcPr>
            <w:tcW w:type="dxa" w:w="2160"/>
          </w:tcPr>
          <w:p>
            <w:r/>
            <w:r>
              <w:t xml:space="preserve">Nombres de función 1–128 caracteres, </w:t>
            </w:r>
            <w:r>
              <w:rPr>
                <w:rFonts w:ascii="Consolas" w:hAnsi="Consolas"/>
                <w:sz w:val="20"/>
              </w:rPr>
              <w:t>^[a-zA-Z0-9_-]+$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Referencia de la API</w:t>
            </w:r>
          </w:p>
        </w:tc>
      </w:tr>
      <w:tr>
        <w:tc>
          <w:tcPr>
            <w:tcW w:type="dxa" w:w="2160"/>
          </w:tcPr>
          <w:p>
            <w:r/>
            <w:r>
              <w:t>49</w:t>
            </w:r>
          </w:p>
        </w:tc>
        <w:tc>
          <w:tcPr>
            <w:tcW w:type="dxa" w:w="2160"/>
          </w:tcPr>
          <w:p>
            <w:r/>
            <w:r>
              <w:t xml:space="preserve">En Responses API, </w:t>
            </w:r>
            <w:r>
              <w:rPr>
                <w:rFonts w:ascii="Consolas" w:hAnsi="Consolas"/>
                <w:sz w:val="20"/>
              </w:rPr>
              <w:t>parallel_tool_calls</w:t>
            </w:r>
            <w:r>
              <w:t xml:space="preserve"> se ignora (siempre activas)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>"Ignored (parallel tool calling is always enabled)"</w:t>
            </w:r>
          </w:p>
        </w:tc>
      </w:tr>
      <w:tr>
        <w:tc>
          <w:tcPr>
            <w:tcW w:type="dxa" w:w="2160"/>
          </w:tcPr>
          <w:p>
            <w:r/>
            <w:r>
              <w:t>50</w:t>
            </w:r>
          </w:p>
        </w:tc>
        <w:tc>
          <w:tcPr>
            <w:tcW w:type="dxa" w:w="2160"/>
          </w:tcPr>
          <w:p>
            <w:r/>
            <w:r>
              <w:t xml:space="preserve">El rol </w:t>
            </w:r>
            <w:r>
              <w:rPr>
                <w:rFonts w:ascii="Consolas" w:hAnsi="Consolas"/>
                <w:sz w:val="20"/>
              </w:rPr>
              <w:t>developer</w:t>
            </w:r>
            <w:r>
              <w:t xml:space="preserve"> se trata como </w:t>
            </w:r>
            <w:r>
              <w:rPr>
                <w:rFonts w:ascii="Consolas" w:hAnsi="Consolas"/>
                <w:sz w:val="20"/>
              </w:rPr>
              <w:t>user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>Tabla de Input Items</w:t>
            </w:r>
          </w:p>
        </w:tc>
      </w:tr>
      <w:tr>
        <w:tc>
          <w:tcPr>
            <w:tcW w:type="dxa" w:w="2160"/>
          </w:tcPr>
          <w:p>
            <w:r/>
            <w:r>
              <w:t>51</w:t>
            </w:r>
          </w:p>
        </w:tc>
        <w:tc>
          <w:tcPr>
            <w:tcW w:type="dxa" w:w="2160"/>
          </w:tcPr>
          <w:p>
            <w:r/>
            <w:r>
              <w:t>No se pueden insertar llamadas a herramienta a mitad de conversación en Chat Completions (sí en Anthropic/Responses)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Tabla "Inserting Tool Calls Mid-Conversation"</w:t>
            </w:r>
          </w:p>
        </w:tc>
      </w:tr>
      <w:tr>
        <w:tc>
          <w:tcPr>
            <w:tcW w:type="dxa" w:w="2160"/>
          </w:tcPr>
          <w:p>
            <w:r/>
            <w:r>
              <w:t>52</w:t>
            </w:r>
          </w:p>
        </w:tc>
        <w:tc>
          <w:tcPr>
            <w:tcW w:type="dxa" w:w="2160"/>
          </w:tcPr>
          <w:p>
            <w:r/>
            <w:r>
              <w:t xml:space="preserve">En la API Anthropic, </w:t>
            </w:r>
            <w:r>
              <w:rPr>
                <w:rFonts w:ascii="Consolas" w:hAnsi="Consolas"/>
                <w:sz w:val="20"/>
              </w:rPr>
              <w:t>is_error</w:t>
            </w:r>
            <w:r>
              <w:t xml:space="preserve"> de </w:t>
            </w:r>
            <w:r>
              <w:rPr>
                <w:rFonts w:ascii="Consolas" w:hAnsi="Consolas"/>
                <w:sz w:val="20"/>
              </w:rPr>
              <w:t>tool_result</w:t>
            </w:r>
            <w:r>
              <w:t xml:space="preserve"> se ignora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>Tabla de compatibilidad</w:t>
            </w:r>
          </w:p>
        </w:tc>
      </w:tr>
      <w:tr>
        <w:tc>
          <w:tcPr>
            <w:tcW w:type="dxa" w:w="2160"/>
          </w:tcPr>
          <w:p>
            <w:r/>
            <w:r>
              <w:t>53</w:t>
            </w:r>
          </w:p>
        </w:tc>
        <w:tc>
          <w:tcPr>
            <w:tcW w:type="dxa" w:w="2160"/>
          </w:tcPr>
          <w:p>
            <w:r/>
            <w:r>
              <w:t xml:space="preserve">En la API Anthropic, </w:t>
            </w:r>
            <w:r>
              <w:rPr>
                <w:rFonts w:ascii="Consolas" w:hAnsi="Consolas"/>
                <w:sz w:val="20"/>
              </w:rPr>
              <w:t>cache_control</w:t>
            </w:r>
            <w:r>
              <w:t xml:space="preserve"> se ignora</w:t>
            </w:r>
          </w:p>
        </w:tc>
        <w:tc>
          <w:tcPr>
            <w:tcW w:type="dxa" w:w="2160"/>
          </w:tcPr>
          <w:p>
            <w:r/>
            <w:r>
              <w:t>✅ Confirmado (4 apariciones)</w:t>
            </w:r>
          </w:p>
        </w:tc>
        <w:tc>
          <w:tcPr>
            <w:tcW w:type="dxa" w:w="2160"/>
          </w:tcPr>
          <w:p>
            <w:r/>
            <w:r>
              <w:t>Tablas de compatibilidad</w:t>
            </w:r>
          </w:p>
        </w:tc>
      </w:tr>
      <w:tr>
        <w:tc>
          <w:tcPr>
            <w:tcW w:type="dxa" w:w="2160"/>
          </w:tcPr>
          <w:p>
            <w:r/>
            <w:r>
              <w:t>54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user_id</w:t>
            </w:r>
            <w:r>
              <w:t xml:space="preserve"> aísla la caché KV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Referencia de la API y guía de Rate Limit</w:t>
            </w:r>
          </w:p>
        </w:tc>
      </w:tr>
      <w:tr>
        <w:tc>
          <w:tcPr>
            <w:tcW w:type="dxa" w:w="2160"/>
          </w:tcPr>
          <w:p>
            <w:r/>
            <w:r>
              <w:t>55</w:t>
            </w:r>
          </w:p>
        </w:tc>
        <w:tc>
          <w:tcPr>
            <w:tcW w:type="dxa" w:w="2160"/>
          </w:tcPr>
          <w:p>
            <w:r/>
            <w:r>
              <w:t xml:space="preserve">En Responses API, </w:t>
            </w:r>
            <w:r>
              <w:rPr>
                <w:rFonts w:ascii="Consolas" w:hAnsi="Consolas"/>
                <w:sz w:val="20"/>
              </w:rPr>
              <w:t>prompt_cache_key</w:t>
            </w:r>
            <w:r>
              <w:t xml:space="preserve"> no está soportado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>"Not supported. Context caching is managed automatically"</w:t>
            </w:r>
          </w:p>
        </w:tc>
      </w:tr>
      <w:tr>
        <w:tc>
          <w:tcPr>
            <w:tcW w:type="dxa" w:w="2160"/>
          </w:tcPr>
          <w:p>
            <w:r/>
            <w:r>
              <w:t>56</w:t>
            </w:r>
          </w:p>
        </w:tc>
        <w:tc>
          <w:tcPr>
            <w:tcW w:type="dxa" w:w="2160"/>
          </w:tcPr>
          <w:p>
            <w:r/>
            <w:r>
              <w:t xml:space="preserve">Mapeo Claude: </w:t>
            </w:r>
            <w:r>
              <w:rPr>
                <w:rFonts w:ascii="Consolas" w:hAnsi="Consolas"/>
                <w:sz w:val="20"/>
              </w:rPr>
              <w:t>claude-opus*</w:t>
            </w:r>
            <w:r>
              <w:t>→</w:t>
            </w:r>
            <w:r>
              <w:rPr>
                <w:rFonts w:ascii="Consolas" w:hAnsi="Consolas"/>
                <w:sz w:val="20"/>
              </w:rPr>
              <w:t>deepseek-v4-pro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claude-haiku*</w:t>
            </w:r>
            <w:r>
              <w:t>/</w:t>
            </w:r>
            <w:r>
              <w:rPr>
                <w:rFonts w:ascii="Consolas" w:hAnsi="Consolas"/>
                <w:sz w:val="20"/>
              </w:rPr>
              <w:t>claude-sonnet*</w:t>
            </w:r>
            <w:r>
              <w:t>→</w:t>
            </w:r>
            <w:r>
              <w:rPr>
                <w:rFonts w:ascii="Consolas" w:hAnsi="Consolas"/>
                <w:sz w:val="20"/>
              </w:rPr>
              <w:t>deepseek-flash</w:t>
            </w:r>
            <w:r>
              <w:t>; no soportado→</w:t>
            </w:r>
            <w:r>
              <w:rPr>
                <w:rFonts w:ascii="Consolas" w:hAnsi="Consolas"/>
                <w:sz w:val="20"/>
              </w:rPr>
              <w:t>deepseek-flash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>Guía de Anthropic API y de Claude Code</w:t>
            </w:r>
          </w:p>
        </w:tc>
      </w:tr>
      <w:tr>
        <w:tc>
          <w:tcPr>
            <w:tcW w:type="dxa" w:w="2160"/>
          </w:tcPr>
          <w:p>
            <w:r/>
            <w:r>
              <w:t>57</w:t>
            </w:r>
          </w:p>
        </w:tc>
        <w:tc>
          <w:tcPr>
            <w:tcW w:type="dxa" w:w="2160"/>
          </w:tcPr>
          <w:p>
            <w:r/>
            <w:r>
              <w:t xml:space="preserve">Variables de Claude Code: </w:t>
            </w:r>
            <w:r>
              <w:rPr>
                <w:rFonts w:ascii="Consolas" w:hAnsi="Consolas"/>
                <w:sz w:val="20"/>
              </w:rPr>
              <w:t>ANTHROPIC_BASE_URL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ANTHROPIC_AUTH_TOKEN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ANTHROPIC_DEFAULT_HAIKU_MODEL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CLAUDE_CODE_SUBAGENT_MODEL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La guía oficial usa exactamente esas variables</w:t>
            </w:r>
          </w:p>
        </w:tc>
      </w:tr>
      <w:tr>
        <w:tc>
          <w:tcPr>
            <w:tcW w:type="dxa" w:w="2160"/>
          </w:tcPr>
          <w:p>
            <w:r/>
            <w:r>
              <w:t>58</w:t>
            </w:r>
          </w:p>
        </w:tc>
        <w:tc>
          <w:tcPr>
            <w:tcW w:type="dxa" w:w="2160"/>
          </w:tcPr>
          <w:p>
            <w:r/>
            <w:r>
              <w:t xml:space="preserve">Copilot CLI falla con el error "The reasoning_content in the thinking mode must be passed back to the API" si se usa proveedor </w:t>
            </w:r>
            <w:r>
              <w:rPr>
                <w:rFonts w:ascii="Consolas" w:hAnsi="Consolas"/>
                <w:sz w:val="20"/>
              </w:rPr>
              <w:t>openai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 xml:space="preserve">Guía oficial de Copilot CLI: "Use </w:t>
            </w:r>
            <w:r>
              <w:rPr>
                <w:rFonts w:ascii="Consolas" w:hAnsi="Consolas"/>
                <w:sz w:val="20"/>
              </w:rPr>
              <w:t>anthropic</w:t>
            </w:r>
            <w:r>
              <w:t xml:space="preserve"> as the provider type. The </w:t>
            </w:r>
            <w:r>
              <w:rPr>
                <w:rFonts w:ascii="Consolas" w:hAnsi="Consolas"/>
                <w:sz w:val="20"/>
              </w:rPr>
              <w:t>openai</w:t>
            </w:r>
            <w:r>
              <w:t xml:space="preserve"> type triggers a 400 error: The reasoning_content in the thinking mode must be passed back to the API"</w:t>
            </w:r>
          </w:p>
        </w:tc>
      </w:tr>
      <w:tr>
        <w:tc>
          <w:tcPr>
            <w:tcW w:type="dxa" w:w="2160"/>
          </w:tcPr>
          <w:p>
            <w:r/>
            <w:r>
              <w:t>59</w:t>
            </w:r>
          </w:p>
        </w:tc>
        <w:tc>
          <w:tcPr>
            <w:tcW w:type="dxa" w:w="2160"/>
          </w:tcPr>
          <w:p>
            <w:r/>
            <w:r>
              <w:t>Evaluación NIST/CAISI citada (R1, R1-0528, V3.1 con AgentDojo; "12 veces más")</w:t>
            </w:r>
          </w:p>
        </w:tc>
        <w:tc>
          <w:tcPr>
            <w:tcW w:type="dxa" w:w="2160"/>
          </w:tcPr>
          <w:p>
            <w:r/>
            <w:r>
              <w:t>✅ Confirmado, palabra por palabra</w:t>
            </w:r>
          </w:p>
        </w:tc>
        <w:tc>
          <w:tcPr>
            <w:tcW w:type="dxa" w:w="2160"/>
          </w:tcPr>
          <w:p>
            <w:r/>
            <w:r>
              <w:t xml:space="preserve">Informe oficial del CAISI (NIST, 30‑09‑2025): "in September 2025 CAISI conducted a technical evaluation of three DeepSeek models (R1, R1-0528, and V3.1)", "evaluated models on AgentDojo", "far more susceptible to agent hijacking attacks", "12 times more likely", "censored and aligned with CCP narratives". </w:t>
            </w:r>
            <w:r>
              <w:rPr>
                <w:b/>
              </w:rPr>
              <w:t>Y el documento acierta en lo esencial:</w:t>
            </w:r>
            <w:r>
              <w:t xml:space="preserve"> no existe evaluación equivalente de V4.1 (la única posterior es de V4 Pro, mayo de 2026, y es de capacidades y coste, sin secuestro de agentes ni censura)</w:t>
            </w:r>
          </w:p>
        </w:tc>
      </w:tr>
    </w:tbl>
    <w:p/>
    <w:p>
      <w:pPr>
        <w:pStyle w:val="Heading1"/>
      </w:pPr>
      <w:r>
        <w:t>E. Caché de contexto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Afirmación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Veredicto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Evidencia</w:t>
            </w:r>
          </w:p>
        </w:tc>
      </w:tr>
      <w:tr>
        <w:tc>
          <w:tcPr>
            <w:tcW w:type="dxa" w:w="2160"/>
          </w:tcPr>
          <w:p>
            <w:r/>
            <w:r>
              <w:t>60</w:t>
            </w:r>
          </w:p>
        </w:tc>
        <w:tc>
          <w:tcPr>
            <w:tcW w:type="dxa" w:w="2160"/>
          </w:tcPr>
          <w:p>
            <w:r/>
            <w:r>
              <w:t>Activada por defecto, sin cambios de código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"enabled by default for all users… without needing to modify their code"</w:t>
            </w:r>
          </w:p>
        </w:tc>
      </w:tr>
      <w:tr>
        <w:tc>
          <w:tcPr>
            <w:tcW w:type="dxa" w:w="2160"/>
          </w:tcPr>
          <w:p>
            <w:r/>
            <w:r>
              <w:t>61</w:t>
            </w:r>
          </w:p>
        </w:tc>
        <w:tc>
          <w:tcPr>
            <w:tcW w:type="dxa" w:w="2160"/>
          </w:tcPr>
          <w:p>
            <w:r/>
            <w:r>
              <w:t xml:space="preserve">Solo coincide por prefijo y exige reutilizar </w:t>
            </w:r>
            <w:r>
              <w:rPr>
                <w:b/>
              </w:rPr>
              <w:t>por completo</w:t>
            </w:r>
            <w:r>
              <w:t xml:space="preserve"> una unidad de prefijo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>Guía de Context Caching</w:t>
            </w:r>
          </w:p>
        </w:tc>
      </w:tr>
      <w:tr>
        <w:tc>
          <w:tcPr>
            <w:tcW w:type="dxa" w:w="2160"/>
          </w:tcPr>
          <w:p>
            <w:r/>
            <w:r>
              <w:t>62</w:t>
            </w:r>
          </w:p>
        </w:tc>
        <w:tc>
          <w:tcPr>
            <w:tcW w:type="dxa" w:w="2160"/>
          </w:tcPr>
          <w:p>
            <w:r/>
            <w:r>
              <w:t>Unidades de prefijo se persisten al final de la entrada y de la salida, por detección de prefijo común y a intervalos fijos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Los tres mecanismos están descritos</w:t>
            </w:r>
          </w:p>
        </w:tc>
      </w:tr>
      <w:tr>
        <w:tc>
          <w:tcPr>
            <w:tcW w:type="dxa" w:w="2160"/>
          </w:tcPr>
          <w:p>
            <w:r/>
            <w:r>
              <w:t>63</w:t>
            </w:r>
          </w:p>
        </w:tc>
        <w:tc>
          <w:tcPr>
            <w:tcW w:type="dxa" w:w="2160"/>
          </w:tcPr>
          <w:p>
            <w:r/>
            <w:r>
              <w:t>Bloques de almacenamiento de 64 tokens (documentación de 2024)</w:t>
            </w:r>
          </w:p>
        </w:tc>
        <w:tc>
          <w:tcPr>
            <w:tcW w:type="dxa" w:w="2160"/>
          </w:tcPr>
          <w:p>
            <w:r/>
            <w:r>
              <w:t>⚠️ Parcial</w:t>
            </w:r>
          </w:p>
        </w:tc>
        <w:tc>
          <w:tcPr>
            <w:tcW w:type="dxa" w:w="2160"/>
          </w:tcPr>
          <w:p>
            <w:r/>
            <w:r>
              <w:t xml:space="preserve">La guía vigente </w:t>
            </w:r>
            <w:r>
              <w:rPr>
                <w:b/>
              </w:rPr>
              <w:t>ya no menciona</w:t>
            </w:r>
            <w:r>
              <w:t xml:space="preserve"> ese tamaño. El documento lo cita como dato antiguo, lo cual es honesto, pero conviene saber que la fuente actual no lo respalda</w:t>
            </w:r>
          </w:p>
        </w:tc>
      </w:tr>
      <w:tr>
        <w:tc>
          <w:tcPr>
            <w:tcW w:type="dxa" w:w="2160"/>
          </w:tcPr>
          <w:p>
            <w:r/>
            <w:r>
              <w:t>64</w:t>
            </w:r>
          </w:p>
        </w:tc>
        <w:tc>
          <w:tcPr>
            <w:tcW w:type="dxa" w:w="2160"/>
          </w:tcPr>
          <w:p>
            <w:r/>
            <w:r>
              <w:t xml:space="preserve">Métricas </w:t>
            </w:r>
            <w:r>
              <w:rPr>
                <w:rFonts w:ascii="Consolas" w:hAnsi="Consolas"/>
                <w:sz w:val="20"/>
              </w:rPr>
              <w:t>prompt_cache_hit_tokens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prompt_cache_miss_tokens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Referencia de la API</w:t>
            </w:r>
          </w:p>
        </w:tc>
      </w:tr>
      <w:tr>
        <w:tc>
          <w:tcPr>
            <w:tcW w:type="dxa" w:w="2160"/>
          </w:tcPr>
          <w:p>
            <w:r/>
            <w:r>
              <w:t>65</w:t>
            </w:r>
          </w:p>
        </w:tc>
        <w:tc>
          <w:tcPr>
            <w:tcW w:type="dxa" w:w="2160"/>
          </w:tcPr>
          <w:p>
            <w:r/>
            <w:r>
              <w:t>Recomendaciones de orden (sistema estable, herramientas fijas, documentos, historial por anexión, pregunta al final)</w:t>
            </w:r>
          </w:p>
        </w:tc>
        <w:tc>
          <w:tcPr>
            <w:tcW w:type="dxa" w:w="2160"/>
          </w:tcPr>
          <w:p>
            <w:r/>
            <w:r>
              <w:t>⚠️ Parcial</w:t>
            </w:r>
          </w:p>
        </w:tc>
        <w:tc>
          <w:tcPr>
            <w:tcW w:type="dxa" w:w="2160"/>
          </w:tcPr>
          <w:p>
            <w:r/>
            <w:r>
              <w:t xml:space="preserve">El mecanismo está confirmado; la lista de seis reglas es una síntesis razonable del documento, </w:t>
            </w:r>
            <w:r>
              <w:rPr>
                <w:b/>
              </w:rPr>
              <w:t>no una lista publicada como tal</w:t>
            </w:r>
            <w:r>
              <w:t xml:space="preserve"> por DeepSeek</w:t>
            </w:r>
          </w:p>
        </w:tc>
      </w:tr>
      <w:tr>
        <w:tc>
          <w:tcPr>
            <w:tcW w:type="dxa" w:w="2160"/>
          </w:tcPr>
          <w:p>
            <w:r/>
            <w:r>
              <w:t>66</w:t>
            </w:r>
          </w:p>
        </w:tc>
        <w:tc>
          <w:tcPr>
            <w:tcW w:type="dxa" w:w="2160"/>
          </w:tcPr>
          <w:p>
            <w:r/>
            <w:r>
              <w:t>LongBench‑V2: V4.1‑Flash‑Base 45.2 vs V4‑Pro‑Base 51.5</w:t>
            </w:r>
          </w:p>
        </w:tc>
        <w:tc>
          <w:tcPr>
            <w:tcW w:type="dxa" w:w="2160"/>
          </w:tcPr>
          <w:p>
            <w:r/>
            <w:r>
              <w:t>✅ Confirmado al dígito</w:t>
            </w:r>
          </w:p>
        </w:tc>
        <w:tc>
          <w:tcPr>
            <w:tcW w:type="dxa" w:w="2160"/>
          </w:tcPr>
          <w:p>
            <w:r/>
            <w:r>
              <w:t>Tabla de modelos base</w:t>
            </w:r>
          </w:p>
        </w:tc>
      </w:tr>
      <w:tr>
        <w:tc>
          <w:tcPr>
            <w:tcW w:type="dxa" w:w="2160"/>
          </w:tcPr>
          <w:p>
            <w:r/>
            <w:r>
              <w:t>67</w:t>
            </w:r>
          </w:p>
        </w:tc>
        <w:tc>
          <w:tcPr>
            <w:tcW w:type="dxa" w:w="2160"/>
          </w:tcPr>
          <w:p>
            <w:r/>
            <w:r>
              <w:t>MGSM: 80.2 (V4.1) vs 85.7 (V4‑Flash‑Base)</w:t>
            </w:r>
          </w:p>
        </w:tc>
        <w:tc>
          <w:tcPr>
            <w:tcW w:type="dxa" w:w="2160"/>
          </w:tcPr>
          <w:p>
            <w:r/>
            <w:r>
              <w:t>✅ Confirmado al dígito</w:t>
            </w:r>
          </w:p>
        </w:tc>
        <w:tc>
          <w:tcPr>
            <w:tcW w:type="dxa" w:w="2160"/>
          </w:tcPr>
          <w:p>
            <w:r/>
            <w:r>
              <w:t>Tabla de modelos base</w:t>
            </w:r>
          </w:p>
        </w:tc>
      </w:tr>
      <w:tr>
        <w:tc>
          <w:tcPr>
            <w:tcW w:type="dxa" w:w="2160"/>
          </w:tcPr>
          <w:p>
            <w:r/>
            <w:r>
              <w:t>68</w:t>
            </w:r>
          </w:p>
        </w:tc>
        <w:tc>
          <w:tcPr>
            <w:tcW w:type="dxa" w:w="2160"/>
          </w:tcPr>
          <w:p>
            <w:r/>
            <w:r>
              <w:t>SimpleQA‑Verified: 42.3 (V4.1) vs 55.2 (V4‑Pro‑Base)</w:t>
            </w:r>
          </w:p>
        </w:tc>
        <w:tc>
          <w:tcPr>
            <w:tcW w:type="dxa" w:w="2160"/>
          </w:tcPr>
          <w:p>
            <w:r/>
            <w:r>
              <w:t>✅ Confirmado al dígito</w:t>
            </w:r>
          </w:p>
        </w:tc>
        <w:tc>
          <w:tcPr>
            <w:tcW w:type="dxa" w:w="2160"/>
          </w:tcPr>
          <w:p>
            <w:r/>
            <w:r>
              <w:t>Tabla de modelos base</w:t>
            </w:r>
          </w:p>
        </w:tc>
      </w:tr>
      <w:tr>
        <w:tc>
          <w:tcPr>
            <w:tcW w:type="dxa" w:w="2160"/>
          </w:tcPr>
          <w:p>
            <w:r/>
            <w:r>
              <w:t>69</w:t>
            </w:r>
          </w:p>
        </w:tc>
        <w:tc>
          <w:tcPr>
            <w:tcW w:type="dxa" w:w="2160"/>
          </w:tcPr>
          <w:p>
            <w:r/>
            <w:r>
              <w:t>Efecto "lost in the middle" (Liu et al., TACL 2023)</w:t>
            </w:r>
          </w:p>
        </w:tc>
        <w:tc>
          <w:tcPr>
            <w:tcW w:type="dxa" w:w="2160"/>
          </w:tcPr>
          <w:p>
            <w:r/>
            <w:r>
              <w:t>⚠️ No verificado en esta sesión</w:t>
            </w:r>
          </w:p>
        </w:tc>
        <w:tc>
          <w:tcPr>
            <w:tcW w:type="dxa" w:w="2160"/>
          </w:tcPr>
          <w:p>
            <w:r/>
            <w:r>
              <w:t>Es un paper real y muy citado; no volví a comprobar la cita. El documento lo usa con la cautela correcta ("estudios posteriores lo matizan")</w:t>
            </w:r>
          </w:p>
        </w:tc>
      </w:tr>
      <w:tr>
        <w:tc>
          <w:tcPr>
            <w:tcW w:type="dxa" w:w="2160"/>
          </w:tcPr>
          <w:p>
            <w:r/>
            <w:r>
              <w:t>70</w:t>
            </w:r>
          </w:p>
        </w:tc>
        <w:tc>
          <w:tcPr>
            <w:tcW w:type="dxa" w:w="2160"/>
          </w:tcPr>
          <w:p>
            <w:r/>
            <w:r>
              <w:t>El informe admite degradación en "untested boundary cases"</w:t>
            </w:r>
          </w:p>
        </w:tc>
        <w:tc>
          <w:tcPr>
            <w:tcW w:type="dxa" w:w="2160"/>
          </w:tcPr>
          <w:p>
            <w:r/>
            <w:r>
              <w:t>⚠️ No verificado literalmente</w:t>
            </w:r>
          </w:p>
        </w:tc>
        <w:tc>
          <w:tcPr>
            <w:tcW w:type="dxa" w:w="2160"/>
          </w:tcPr>
          <w:p>
            <w:r/>
            <w:r>
              <w:t>No localicé esa frase exacta; el informe sí reconoce límites. La idea es plausible pero la cita textual no está confirmada</w:t>
            </w:r>
          </w:p>
        </w:tc>
      </w:tr>
    </w:tbl>
    <w:p/>
    <w:p>
      <w:pPr>
        <w:pStyle w:val="Heading1"/>
      </w:pPr>
      <w:r>
        <w:t>F. Recomendaciones de prompting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Afirmación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Veredicto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Evidencia</w:t>
            </w:r>
          </w:p>
        </w:tc>
      </w:tr>
      <w:tr>
        <w:tc>
          <w:tcPr>
            <w:tcW w:type="dxa" w:w="2160"/>
          </w:tcPr>
          <w:p>
            <w:r/>
            <w:r>
              <w:t>71</w:t>
            </w:r>
          </w:p>
        </w:tc>
        <w:tc>
          <w:tcPr>
            <w:tcW w:type="dxa" w:w="2160"/>
          </w:tcPr>
          <w:p>
            <w:r/>
            <w:r>
              <w:t>Zero‑shot, describir el problema y fijar el formato</w:t>
            </w:r>
          </w:p>
        </w:tc>
        <w:tc>
          <w:tcPr>
            <w:tcW w:type="dxa" w:w="2160"/>
          </w:tcPr>
          <w:p>
            <w:r/>
            <w:r>
              <w:t>✅ Confirmado como recomendación oficial (heredada de R1)</w:t>
            </w:r>
          </w:p>
        </w:tc>
        <w:tc>
          <w:tcPr>
            <w:tcW w:type="dxa" w:w="2160"/>
          </w:tcPr>
          <w:p>
            <w:r/>
            <w:r>
              <w:t>El documento etiqueta bien el salto: "se publicó para R1; extenderla a V4.1 es una inferencia". Correcto y honesto</w:t>
            </w:r>
          </w:p>
        </w:tc>
      </w:tr>
      <w:tr>
        <w:tc>
          <w:tcPr>
            <w:tcW w:type="dxa" w:w="2160"/>
          </w:tcPr>
          <w:p>
            <w:r/>
            <w:r>
              <w:t>72</w:t>
            </w:r>
          </w:p>
        </w:tc>
        <w:tc>
          <w:tcPr>
            <w:tcW w:type="dxa" w:w="2160"/>
          </w:tcPr>
          <w:p>
            <w:r/>
            <w:r>
              <w:t>El few‑shot extenso degrada el rendimiento</w:t>
            </w:r>
          </w:p>
        </w:tc>
        <w:tc>
          <w:tcPr>
            <w:tcW w:type="dxa" w:w="2160"/>
          </w:tcPr>
          <w:p>
            <w:r/>
            <w:r>
              <w:t>⚠️ Parcial, bien etiquetado</w:t>
            </w:r>
          </w:p>
        </w:tc>
        <w:tc>
          <w:tcPr>
            <w:tcW w:type="dxa" w:w="2160"/>
          </w:tcPr>
          <w:p>
            <w:r/>
            <w:r>
              <w:t>Documentado para R1; no reevaluado públicamente para V4.1. El documento lo marca como "confianza media". Impecable en el fondo</w:t>
            </w:r>
          </w:p>
        </w:tc>
      </w:tr>
      <w:tr>
        <w:tc>
          <w:tcPr>
            <w:tcW w:type="dxa" w:w="2160"/>
          </w:tcPr>
          <w:p>
            <w:r/>
            <w:r>
              <w:t>73</w:t>
            </w:r>
          </w:p>
        </w:tc>
        <w:tc>
          <w:tcPr>
            <w:tcW w:type="dxa" w:w="2160"/>
          </w:tcPr>
          <w:p>
            <w:r/>
            <w:r>
              <w:t>"Piensa paso a paso" es redundante en thinking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El esfuerzo ya se inyecta como instrucción de sistema (</w:t>
            </w:r>
            <w:r>
              <w:rPr>
                <w:rFonts w:ascii="Consolas" w:hAnsi="Consolas"/>
                <w:sz w:val="20"/>
              </w:rPr>
              <w:t>Reasoning Effort: 75 (range 1-100…)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74</w:t>
            </w:r>
          </w:p>
        </w:tc>
        <w:tc>
          <w:tcPr>
            <w:tcW w:type="dxa" w:w="2160"/>
          </w:tcPr>
          <w:p>
            <w:r/>
            <w:r>
              <w:t>Prompts de sistema largos y experimentales no ayudan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El propio informe describe evaluaciones con el scaffold nativo, sin system prompt experimental</w:t>
            </w:r>
          </w:p>
        </w:tc>
      </w:tr>
      <w:tr>
        <w:tc>
          <w:tcPr>
            <w:tcW w:type="dxa" w:w="2160"/>
          </w:tcPr>
          <w:p>
            <w:r/>
            <w:r>
              <w:t>75</w:t>
            </w:r>
          </w:p>
        </w:tc>
        <w:tc>
          <w:tcPr>
            <w:tcW w:type="dxa" w:w="2160"/>
          </w:tcPr>
          <w:p>
            <w:r/>
            <w:r>
              <w:t>Ejemplo de formato JSON ≠ few‑shot de razonamiento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Es exactamente la distinción que exige la documentación de JSON Output</w:t>
            </w:r>
          </w:p>
        </w:tc>
      </w:tr>
      <w:tr>
        <w:tc>
          <w:tcPr>
            <w:tcW w:type="dxa" w:w="2160"/>
          </w:tcPr>
          <w:p>
            <w:r/>
            <w:r>
              <w:t>76</w:t>
            </w:r>
          </w:p>
        </w:tc>
        <w:tc>
          <w:tcPr>
            <w:tcW w:type="dxa" w:w="2160"/>
          </w:tcPr>
          <w:p>
            <w:r/>
            <w:r>
              <w:t>El modelo mezcla idiomas; fijar idioma de salida</w:t>
            </w:r>
          </w:p>
        </w:tc>
        <w:tc>
          <w:tcPr>
            <w:tcW w:type="dxa" w:w="2160"/>
          </w:tcPr>
          <w:p>
            <w:r/>
            <w:r>
              <w:t>✅ Confirmado como problema histórico</w:t>
            </w:r>
          </w:p>
        </w:tc>
        <w:tc>
          <w:tcPr>
            <w:tcW w:type="dxa" w:w="2160"/>
          </w:tcPr>
          <w:p>
            <w:r/>
            <w:r>
              <w:t>Changelog de V3.1‑Terminus: "Reduced occurrences of Chinese-English mixing and occasional abnormal characters"</w:t>
            </w:r>
          </w:p>
        </w:tc>
      </w:tr>
      <w:tr>
        <w:tc>
          <w:tcPr>
            <w:tcW w:type="dxa" w:w="2160"/>
          </w:tcPr>
          <w:p>
            <w:r/>
            <w:r>
              <w:t>77</w:t>
            </w:r>
          </w:p>
        </w:tc>
        <w:tc>
          <w:tcPr>
            <w:tcW w:type="dxa" w:w="2160"/>
          </w:tcPr>
          <w:p>
            <w:r/>
            <w:r>
              <w:t>El español rinde algo peor</w:t>
            </w:r>
          </w:p>
        </w:tc>
        <w:tc>
          <w:tcPr>
            <w:tcW w:type="dxa" w:w="2160"/>
          </w:tcPr>
          <w:p>
            <w:r/>
            <w:r>
              <w:t>⚠️ Inferencia bien etiquetada</w:t>
            </w:r>
          </w:p>
        </w:tc>
        <w:tc>
          <w:tcPr>
            <w:tcW w:type="dxa" w:w="2160"/>
          </w:tcPr>
          <w:p>
            <w:r/>
            <w:r>
              <w:t>El documento lo marca como inferencia a partir de MGSM. Correcto marcarlo así</w:t>
            </w:r>
          </w:p>
        </w:tc>
      </w:tr>
    </w:tbl>
    <w:p/>
    <w:p>
      <w:pPr>
        <w:pStyle w:val="Heading1"/>
      </w:pPr>
      <w:r>
        <w:t>G. DeepSeek Harness (dsh) y seguridad</w:t>
      </w:r>
    </w:p>
    <w:p>
      <w:r>
        <w:t xml:space="preserve">*Este bloque está verificado además contra el paquete instalado en este equipo, </w:t>
      </w:r>
      <w:r>
        <w:rPr>
          <w:rFonts w:ascii="Consolas" w:hAnsi="Consolas"/>
          <w:sz w:val="20"/>
        </w:rPr>
        <w:t>@deepseek-ai/dsh@0.2.0-rc.2</w:t>
      </w:r>
      <w:r>
        <w:t>, y contra el repositorio oficial.*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Afirmación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Veredicto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Evidencia</w:t>
            </w:r>
          </w:p>
        </w:tc>
      </w:tr>
      <w:tr>
        <w:tc>
          <w:tcPr>
            <w:tcW w:type="dxa" w:w="2160"/>
          </w:tcPr>
          <w:p>
            <w:r/>
            <w:r>
              <w:t>78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dsh</w:t>
            </w:r>
            <w:r>
              <w:t xml:space="preserve"> es producto oficial de DeepSeek, MIT, "todo es un plugin", sobre Cordis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 xml:space="preserve">README oficial: "an open-source agent harness developed by DeepSeek AI… built on an </w:t>
            </w:r>
            <w:r>
              <w:rPr>
                <w:b/>
              </w:rPr>
              <w:t>everything-is-a-plugin</w:t>
            </w:r>
            <w:r>
              <w:t xml:space="preserve"> architecture and powered by Cordis". Licencia MIT. El </w:t>
            </w:r>
            <w:r>
              <w:rPr>
                <w:rFonts w:ascii="Consolas" w:hAnsi="Consolas"/>
                <w:sz w:val="20"/>
              </w:rPr>
              <w:t>package.json</w:t>
            </w:r>
            <w:r>
              <w:t xml:space="preserve"> instalado apunta a </w:t>
            </w:r>
            <w:r>
              <w:rPr>
                <w:rFonts w:ascii="Consolas" w:hAnsi="Consolas"/>
                <w:sz w:val="20"/>
              </w:rPr>
              <w:t>deepseek-ai/deepseek-harness</w:t>
            </w:r>
            <w:r>
              <w:t xml:space="preserve"> con licencia MIT</w:t>
            </w:r>
          </w:p>
        </w:tc>
      </w:tr>
      <w:tr>
        <w:tc>
          <w:tcPr>
            <w:tcW w:type="dxa" w:w="2160"/>
          </w:tcPr>
          <w:p>
            <w:r/>
            <w:r>
              <w:t>79</w:t>
            </w:r>
          </w:p>
        </w:tc>
        <w:tc>
          <w:tcPr>
            <w:tcW w:type="dxa" w:w="2160"/>
          </w:tcPr>
          <w:p>
            <w:r/>
            <w:r>
              <w:t>v0.1 Developer Preview, 13‑08‑2026</w:t>
            </w:r>
          </w:p>
        </w:tc>
        <w:tc>
          <w:tcPr>
            <w:tcW w:type="dxa" w:w="2160"/>
          </w:tcPr>
          <w:p>
            <w:r/>
            <w:r>
              <w:t>✅ Confirmado (estado) / ⚠️ fecha no confirmada</w:t>
            </w:r>
          </w:p>
        </w:tc>
        <w:tc>
          <w:tcPr>
            <w:tcW w:type="dxa" w:w="2160"/>
          </w:tcPr>
          <w:p>
            <w:r/>
            <w:r>
              <w:t xml:space="preserve">"DeepSeek Harness is in _developer preview_" está en el README; </w:t>
            </w:r>
            <w:r>
              <w:rPr>
                <w:b/>
              </w:rPr>
              <w:t>no verifiqué la fecha exacta del 13‑08‑2026</w:t>
            </w:r>
          </w:p>
        </w:tc>
      </w:tr>
      <w:tr>
        <w:tc>
          <w:tcPr>
            <w:tcW w:type="dxa" w:w="2160"/>
          </w:tcPr>
          <w:p>
            <w:r/>
            <w:r>
              <w:t>80</w:t>
            </w:r>
          </w:p>
        </w:tc>
        <w:tc>
          <w:tcPr>
            <w:tcW w:type="dxa" w:w="2160"/>
          </w:tcPr>
          <w:p>
            <w:r/>
            <w:r>
              <w:t xml:space="preserve">Se arranca con </w:t>
            </w:r>
            <w:r>
              <w:rPr>
                <w:rFonts w:ascii="Consolas" w:hAnsi="Consolas"/>
                <w:sz w:val="20"/>
              </w:rPr>
              <w:t>npx @deepseek-ai/dsh web</w:t>
            </w:r>
            <w:r>
              <w:t xml:space="preserve"> y sirve en </w:t>
            </w:r>
            <w:r>
              <w:rPr>
                <w:rFonts w:ascii="Consolas" w:hAnsi="Consolas"/>
                <w:sz w:val="20"/>
              </w:rPr>
              <w:t>http://127.0.0.1:3080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 xml:space="preserve">README: "The command starts the Web UI at </w:t>
            </w:r>
            <w:r>
              <w:rPr>
                <w:rFonts w:ascii="Consolas" w:hAnsi="Consolas"/>
                <w:sz w:val="20"/>
              </w:rPr>
              <w:t>http://127.0.0.1:3080</w:t>
            </w:r>
            <w:r>
              <w:t xml:space="preserve"> by default". En el código instalado, el puerto por defecto también es 3080</w:t>
            </w:r>
          </w:p>
        </w:tc>
      </w:tr>
      <w:tr>
        <w:tc>
          <w:tcPr>
            <w:tcW w:type="dxa" w:w="2160"/>
          </w:tcPr>
          <w:p>
            <w:r/>
            <w:r>
              <w:t>81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SAFETY.md</w:t>
            </w:r>
            <w:r>
              <w:t>: experimental, sin auditoría de seguridad, no production-ready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>"It has not undergone a security audit and must not be treated as secure or production-ready"</w:t>
            </w:r>
          </w:p>
        </w:tc>
      </w:tr>
      <w:tr>
        <w:tc>
          <w:tcPr>
            <w:tcW w:type="dxa" w:w="2160"/>
          </w:tcPr>
          <w:p>
            <w:r/>
            <w:r>
              <w:t>82</w:t>
            </w:r>
          </w:p>
        </w:tc>
        <w:tc>
          <w:tcPr>
            <w:tcW w:type="dxa" w:w="2160"/>
          </w:tcPr>
          <w:p>
            <w:r/>
            <w:r>
              <w:t>Presets Standard / PTC / Minimal / Creator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dsh-agent-preset</w:t>
            </w:r>
            <w:r>
              <w:t xml:space="preserve"> define el registro y el preset por defecto </w:t>
            </w:r>
            <w:r>
              <w:rPr>
                <w:rFonts w:ascii="Consolas" w:hAnsi="Consolas"/>
                <w:sz w:val="20"/>
              </w:rPr>
              <w:t>standard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dsh-sdk-minimal</w:t>
            </w:r>
            <w:r>
              <w:t xml:space="preserve"> y </w:t>
            </w:r>
            <w:r>
              <w:rPr>
                <w:rFonts w:ascii="Consolas" w:hAnsi="Consolas"/>
                <w:sz w:val="20"/>
              </w:rPr>
              <w:t>dsh-ptc-runtime</w:t>
            </w:r>
            <w:r>
              <w:t xml:space="preserve"> existen como paquetes independientes</w:t>
            </w:r>
          </w:p>
        </w:tc>
      </w:tr>
      <w:tr>
        <w:tc>
          <w:tcPr>
            <w:tcW w:type="dxa" w:w="2160"/>
          </w:tcPr>
          <w:p>
            <w:r/>
            <w:r>
              <w:t>83</w:t>
            </w:r>
          </w:p>
        </w:tc>
        <w:tc>
          <w:tcPr>
            <w:tcW w:type="dxa" w:w="2160"/>
          </w:tcPr>
          <w:p>
            <w:r/>
            <w:r>
              <w:t>Minimal: prompt de sistema de una línea y shell persistente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 xml:space="preserve">"The system prompt is </w:t>
            </w:r>
            <w:r>
              <w:rPr>
                <w:rFonts w:ascii="Consolas" w:hAnsi="Consolas"/>
                <w:sz w:val="20"/>
              </w:rPr>
              <w:t>DSH_SYSTEM_PROMPT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You are a helpful software engineer assistant.</w:t>
            </w:r>
            <w:r>
              <w:t xml:space="preserve">. With no MCP server configured, the only advertised tool is owner-scoped persistent </w:t>
            </w:r>
            <w:r>
              <w:rPr>
                <w:rFonts w:ascii="Consolas" w:hAnsi="Consolas"/>
                <w:sz w:val="20"/>
              </w:rPr>
              <w:t>bash</w:t>
            </w:r>
            <w:r>
              <w:t>"</w:t>
            </w:r>
          </w:p>
        </w:tc>
      </w:tr>
      <w:tr>
        <w:tc>
          <w:tcPr>
            <w:tcW w:type="dxa" w:w="2160"/>
          </w:tcPr>
          <w:p>
            <w:r/>
            <w:r>
              <w:t>84</w:t>
            </w:r>
          </w:p>
        </w:tc>
        <w:tc>
          <w:tcPr>
            <w:tcW w:type="dxa" w:w="2160"/>
          </w:tcPr>
          <w:p>
            <w:r/>
            <w:r>
              <w:t xml:space="preserve">Dudas sobre si Minimal incluye </w:t>
            </w:r>
            <w:r>
              <w:rPr>
                <w:rFonts w:ascii="Consolas" w:hAnsi="Consolas"/>
                <w:sz w:val="20"/>
              </w:rPr>
              <w:t>str_replace_editor</w:t>
            </w:r>
            <w:r>
              <w:t xml:space="preserve"> o solo un bash</w:t>
            </w:r>
          </w:p>
        </w:tc>
        <w:tc>
          <w:tcPr>
            <w:tcW w:type="dxa" w:w="2160"/>
          </w:tcPr>
          <w:p>
            <w:r/>
            <w:r>
              <w:t xml:space="preserve">⚠️ Resuelto: </w:t>
            </w:r>
            <w:r>
              <w:rPr>
                <w:b/>
              </w:rPr>
              <w:t>incluye los dos</w:t>
            </w:r>
            <w:r>
              <w:t>, y el documento acertaba al sospechar</w:t>
            </w:r>
          </w:p>
        </w:tc>
        <w:tc>
          <w:tcPr>
            <w:tcW w:type="dxa" w:w="2160"/>
          </w:tcPr>
          <w:p>
            <w:r/>
            <w:r>
              <w:t xml:space="preserve">Hay </w:t>
            </w:r>
            <w:r>
              <w:rPr>
                <w:b/>
              </w:rPr>
              <w:t>dos composiciones distintas que se llaman "minimal"</w:t>
            </w:r>
            <w:r>
              <w:t xml:space="preserve">: el preset de agente de la CLI declara "persistent bash and </w:t>
            </w:r>
            <w:r>
              <w:rPr>
                <w:rFonts w:ascii="Consolas" w:hAnsi="Consolas"/>
                <w:sz w:val="20"/>
              </w:rPr>
              <w:t>str_replace_editor</w:t>
            </w:r>
            <w:r>
              <w:t xml:space="preserve">" (dos herramientas), mientras el paquete </w:t>
            </w:r>
            <w:r>
              <w:rPr>
                <w:rFonts w:ascii="Consolas" w:hAnsi="Consolas"/>
                <w:sz w:val="20"/>
              </w:rPr>
              <w:t>dsh-sdk-minimal</w:t>
            </w:r>
            <w:r>
              <w:t xml:space="preserve"> anuncia una sola herramienta de shell. Verificado en el </w:t>
            </w:r>
            <w:r>
              <w:rPr>
                <w:rFonts w:ascii="Consolas" w:hAnsi="Consolas"/>
                <w:sz w:val="20"/>
              </w:rPr>
              <w:t>preset.yml</w:t>
            </w:r>
            <w:r>
              <w:t xml:space="preserve"> empaquetado del preset Minimal y en el README de </w:t>
            </w:r>
            <w:r>
              <w:rPr>
                <w:rFonts w:ascii="Consolas" w:hAnsi="Consolas"/>
                <w:sz w:val="20"/>
              </w:rPr>
              <w:t>dsh-sdk-minimal</w:t>
            </w:r>
            <w:r>
              <w:t>. La intuición del documento ("parece depender de la versión") era correcta en el fondo: depende de la composición</w:t>
            </w:r>
          </w:p>
        </w:tc>
      </w:tr>
      <w:tr>
        <w:tc>
          <w:tcPr>
            <w:tcW w:type="dxa" w:w="2160"/>
          </w:tcPr>
          <w:p>
            <w:r/>
            <w:r>
              <w:t>84b</w:t>
            </w:r>
          </w:p>
        </w:tc>
        <w:tc>
          <w:tcPr>
            <w:tcW w:type="dxa" w:w="2160"/>
          </w:tcPr>
          <w:p>
            <w:r/>
            <w:r>
              <w:t>El preset PTC se llamaba antes "Code"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 xml:space="preserve">En el paquete npm </w:t>
            </w:r>
            <w:r>
              <w:rPr>
                <w:rFonts w:ascii="Consolas" w:hAnsi="Consolas"/>
                <w:sz w:val="20"/>
              </w:rPr>
              <w:t>0.1.0-rc.6</w:t>
            </w:r>
            <w:r>
              <w:t xml:space="preserve"> el preset se llama literalmente </w:t>
            </w:r>
            <w:r>
              <w:rPr>
                <w:rFonts w:ascii="Consolas" w:hAnsi="Consolas"/>
                <w:sz w:val="20"/>
              </w:rPr>
              <w:t>code</w:t>
            </w:r>
            <w:r>
              <w:t xml:space="preserve">; después pasa a </w:t>
            </w:r>
            <w:r>
              <w:rPr>
                <w:rFonts w:ascii="Consolas" w:hAnsi="Consolas"/>
                <w:sz w:val="20"/>
              </w:rPr>
              <w:t>ptc</w:t>
            </w:r>
            <w:r>
              <w:t xml:space="preserve">. PTC expone </w:t>
            </w:r>
            <w:r>
              <w:rPr>
                <w:rFonts w:ascii="Consolas" w:hAnsi="Consolas"/>
                <w:sz w:val="20"/>
              </w:rPr>
              <w:t>run_code</w:t>
            </w:r>
            <w:r>
              <w:t xml:space="preserve"> más un SDK generado</w:t>
            </w:r>
          </w:p>
        </w:tc>
      </w:tr>
      <w:tr>
        <w:tc>
          <w:tcPr>
            <w:tcW w:type="dxa" w:w="2160"/>
          </w:tcPr>
          <w:p>
            <w:r/>
            <w:r>
              <w:t>85</w:t>
            </w:r>
          </w:p>
        </w:tc>
        <w:tc>
          <w:tcPr>
            <w:tcW w:type="dxa" w:w="2160"/>
          </w:tcPr>
          <w:p>
            <w:r/>
            <w:r>
              <w:t>Tabla de rendimiento por scaffold (mini‑SWE, DSH Minimal/Standard/PTC, Claude Code, Pi, Codex, OpenCode)</w:t>
            </w:r>
          </w:p>
        </w:tc>
        <w:tc>
          <w:tcPr>
            <w:tcW w:type="dxa" w:w="2160"/>
          </w:tcPr>
          <w:p>
            <w:r/>
            <w:r>
              <w:t>✅ Confirmado al dígito</w:t>
            </w:r>
          </w:p>
        </w:tc>
        <w:tc>
          <w:tcPr>
            <w:tcW w:type="dxa" w:w="2160"/>
          </w:tcPr>
          <w:p>
            <w:r/>
            <w:r>
              <w:t xml:space="preserve">Las </w:t>
            </w:r>
            <w:r>
              <w:rPr>
                <w:b/>
              </w:rPr>
              <w:t>16 cifras</w:t>
            </w:r>
            <w:r>
              <w:t xml:space="preserve"> coinciden con la tabla oficial. Condiciones confirmadas: max effort, N=8 (DeepSWE) / N=3 (TB2.1), </w:t>
            </w:r>
            <w:r>
              <w:rPr>
                <w:rFonts w:ascii="Consolas" w:hAnsi="Consolas"/>
                <w:sz w:val="20"/>
              </w:rPr>
              <w:t>max_steps=500</w:t>
            </w:r>
            <w:r>
              <w:t>, contenedores Linux, temperature 1.0, top_p 0.95</w:t>
            </w:r>
          </w:p>
        </w:tc>
      </w:tr>
      <w:tr>
        <w:tc>
          <w:tcPr>
            <w:tcW w:type="dxa" w:w="2160"/>
          </w:tcPr>
          <w:p>
            <w:r/>
            <w:r>
              <w:t>86</w:t>
            </w:r>
          </w:p>
        </w:tc>
        <w:tc>
          <w:tcPr>
            <w:tcW w:type="dxa" w:w="2160"/>
          </w:tcPr>
          <w:p>
            <w:r/>
            <w:r>
              <w:t>Conclusión: los scaffolds con pocas herramientas rinden más</w:t>
            </w:r>
          </w:p>
        </w:tc>
        <w:tc>
          <w:tcPr>
            <w:tcW w:type="dxa" w:w="2160"/>
          </w:tcPr>
          <w:p>
            <w:r/>
            <w:r>
              <w:t>✅ Confirmado por los datos</w:t>
            </w:r>
          </w:p>
        </w:tc>
        <w:tc>
          <w:tcPr>
            <w:tcW w:type="dxa" w:w="2160"/>
          </w:tcPr>
          <w:p>
            <w:r/>
            <w:r>
              <w:t>mini‑SWE y DSH Minimal encabezan ambas columnas</w:t>
            </w:r>
          </w:p>
        </w:tc>
      </w:tr>
      <w:tr>
        <w:tc>
          <w:tcPr>
            <w:tcW w:type="dxa" w:w="2160"/>
          </w:tcPr>
          <w:p>
            <w:r/>
            <w:r>
              <w:t>87</w:t>
            </w:r>
          </w:p>
        </w:tc>
        <w:tc>
          <w:tcPr>
            <w:tcW w:type="dxa" w:w="2160"/>
          </w:tcPr>
          <w:p>
            <w:r/>
            <w:r>
              <w:t>Tres modos de sandbox + "fails closed"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 xml:space="preserve">Código instalado: "If the requested mode cannot be enforced, the call fails with </w:t>
            </w:r>
            <w:r>
              <w:rPr>
                <w:rFonts w:ascii="Consolas" w:hAnsi="Consolas"/>
                <w:sz w:val="20"/>
              </w:rPr>
              <w:t>SANDBOX_UNAVAILABLE</w:t>
            </w:r>
            <w:r>
              <w:t xml:space="preserve"> instead of running unconfined"</w:t>
            </w:r>
          </w:p>
        </w:tc>
      </w:tr>
      <w:tr>
        <w:tc>
          <w:tcPr>
            <w:tcW w:type="dxa" w:w="2160"/>
          </w:tcPr>
          <w:p>
            <w:r/>
            <w:r>
              <w:t>88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workspace-write</w:t>
            </w:r>
            <w:r>
              <w:t xml:space="preserve"> es el modo por defecto de las sesiones nuevas</w:t>
            </w:r>
          </w:p>
        </w:tc>
        <w:tc>
          <w:tcPr>
            <w:tcW w:type="dxa" w:w="2160"/>
          </w:tcPr>
          <w:p>
            <w:r/>
            <w:r>
              <w:t>✅ Confirmado para la CLI completa / ⚠️ matiz</w:t>
            </w:r>
          </w:p>
        </w:tc>
        <w:tc>
          <w:tcPr>
            <w:tcW w:type="dxa" w:w="2160"/>
          </w:tcPr>
          <w:p>
            <w:r/>
            <w:r>
              <w:t xml:space="preserve">El preset de permisos por defecto es </w:t>
            </w:r>
            <w:r>
              <w:rPr>
                <w:rFonts w:ascii="Consolas" w:hAnsi="Consolas"/>
                <w:sz w:val="20"/>
              </w:rPr>
              <w:t>workspace-write</w:t>
            </w:r>
            <w:r>
              <w:t xml:space="preserve"> con aprobación </w:t>
            </w:r>
            <w:r>
              <w:rPr>
                <w:rFonts w:ascii="Consolas" w:hAnsi="Consolas"/>
                <w:sz w:val="20"/>
              </w:rPr>
              <w:t>ask</w:t>
            </w:r>
            <w:r>
              <w:t xml:space="preserve"> (verificado en el patch del paquete base). </w:t>
            </w:r>
            <w:r>
              <w:rPr>
                <w:b/>
              </w:rPr>
              <w:t>Pero el valor por defecto del subsistema de sandbox en sí es `read-only`</w:t>
            </w:r>
            <w:r>
              <w:t xml:space="preserve">, descrito como "fail-safe default". Dos capas, dos valores: una sesión normal arranca en </w:t>
            </w:r>
            <w:r>
              <w:rPr>
                <w:rFonts w:ascii="Consolas" w:hAnsi="Consolas"/>
                <w:sz w:val="20"/>
              </w:rPr>
              <w:t>workspace-write</w:t>
            </w:r>
            <w:r>
              <w:t xml:space="preserve">, y un despliegue sin preset de permisos arranca en </w:t>
            </w:r>
            <w:r>
              <w:rPr>
                <w:rFonts w:ascii="Consolas" w:hAnsi="Consolas"/>
                <w:sz w:val="20"/>
              </w:rPr>
              <w:t>read-only</w:t>
            </w:r>
          </w:p>
        </w:tc>
      </w:tr>
      <w:tr>
        <w:tc>
          <w:tcPr>
            <w:tcW w:type="dxa" w:w="2160"/>
          </w:tcPr>
          <w:p>
            <w:r/>
            <w:r>
              <w:t>89</w:t>
            </w:r>
          </w:p>
        </w:tc>
        <w:tc>
          <w:tcPr>
            <w:tcW w:type="dxa" w:w="2160"/>
          </w:tcPr>
          <w:p>
            <w:r/>
            <w:r>
              <w:t xml:space="preserve">Escalada puntual con justificación, sin "permitir siempre"; aprobación </w:t>
            </w:r>
            <w:r>
              <w:rPr>
                <w:rFonts w:ascii="Consolas" w:hAnsi="Consolas"/>
                <w:sz w:val="20"/>
              </w:rPr>
              <w:t>ask</w:t>
            </w:r>
            <w:r>
              <w:t>/</w:t>
            </w:r>
            <w:r>
              <w:rPr>
                <w:rFonts w:ascii="Consolas" w:hAnsi="Consolas"/>
                <w:sz w:val="20"/>
              </w:rPr>
              <w:t>never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 xml:space="preserve">"the model can request one strictly wider mode for human approval"; el preset </w:t>
            </w:r>
            <w:r>
              <w:rPr>
                <w:rFonts w:ascii="Consolas" w:hAnsi="Consolas"/>
                <w:sz w:val="20"/>
              </w:rPr>
              <w:t>danger-full-access</w:t>
            </w:r>
            <w:r>
              <w:t xml:space="preserve"> va con </w:t>
            </w:r>
            <w:r>
              <w:rPr>
                <w:rFonts w:ascii="Consolas" w:hAnsi="Consolas"/>
                <w:sz w:val="20"/>
              </w:rPr>
              <w:t>never</w:t>
            </w:r>
          </w:p>
        </w:tc>
      </w:tr>
      <w:tr>
        <w:tc>
          <w:tcPr>
            <w:tcW w:type="dxa" w:w="2160"/>
          </w:tcPr>
          <w:p>
            <w:r/>
            <w:r>
              <w:t>90</w:t>
            </w:r>
          </w:p>
        </w:tc>
        <w:tc>
          <w:tcPr>
            <w:tcW w:type="dxa" w:w="2160"/>
          </w:tcPr>
          <w:p>
            <w:r/>
            <w:r>
              <w:t>La política de sandbox no cubre red, procesos, syscalls, dispositivos ni credenciales</w:t>
            </w:r>
          </w:p>
        </w:tc>
        <w:tc>
          <w:tcPr>
            <w:tcW w:type="dxa" w:w="2160"/>
          </w:tcPr>
          <w:p>
            <w:r/>
            <w:r>
              <w:t>✅ Confirmado, literal</w:t>
            </w:r>
          </w:p>
        </w:tc>
        <w:tc>
          <w:tcPr>
            <w:tcW w:type="dxa" w:w="2160"/>
          </w:tcPr>
          <w:p>
            <w:r/>
            <w:r>
              <w:t>"the seam expresses no network, process, syscall, device, or credential restrictions"</w:t>
            </w:r>
          </w:p>
        </w:tc>
      </w:tr>
      <w:tr>
        <w:tc>
          <w:tcPr>
            <w:tcW w:type="dxa" w:w="2160"/>
          </w:tcPr>
          <w:p>
            <w:r/>
            <w:r>
              <w:t>91</w:t>
            </w:r>
          </w:p>
        </w:tc>
        <w:tc>
          <w:tcPr>
            <w:tcW w:type="dxa" w:w="2160"/>
          </w:tcPr>
          <w:p>
            <w:r/>
            <w:r>
              <w:t>Lecturas y red no confinadas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Red: "Network and process visibility are outside this vocabulary". Lecturas: "while reads stay unconfined" (README del backend de sandbox, corroborado por la nota de CSA y por el diseño del proveedor)</w:t>
            </w:r>
          </w:p>
        </w:tc>
      </w:tr>
      <w:tr>
        <w:tc>
          <w:tcPr>
            <w:tcW w:type="dxa" w:w="2160"/>
          </w:tcPr>
          <w:p>
            <w:r/>
            <w:r>
              <w:t>92</w:t>
            </w:r>
          </w:p>
        </w:tc>
        <w:tc>
          <w:tcPr>
            <w:tcW w:type="dxa" w:w="2160"/>
          </w:tcPr>
          <w:p>
            <w:r/>
            <w:r>
              <w:t>MCP desactivados por defecto</w:t>
            </w:r>
          </w:p>
        </w:tc>
        <w:tc>
          <w:tcPr>
            <w:tcW w:type="dxa" w:w="2160"/>
          </w:tcPr>
          <w:p>
            <w:r/>
            <w:r>
              <w:t>⚠️ No verificable en el material consultado</w:t>
            </w:r>
          </w:p>
        </w:tc>
        <w:tc>
          <w:tcPr>
            <w:tcW w:type="dxa" w:w="2160"/>
          </w:tcPr>
          <w:p>
            <w:r/>
            <w:r>
              <w:t>En este equipo el plugin de MCP está presente, pero eso no prueba el default de fábrica. El documento lo atribuye al repo; no lo pude confirmar</w:t>
            </w:r>
          </w:p>
        </w:tc>
      </w:tr>
      <w:tr>
        <w:tc>
          <w:tcPr>
            <w:tcW w:type="dxa" w:w="2160"/>
          </w:tcPr>
          <w:p>
            <w:r/>
            <w:r>
              <w:t>93</w:t>
            </w:r>
          </w:p>
        </w:tc>
        <w:tc>
          <w:tcPr>
            <w:tcW w:type="dxa" w:w="2160"/>
          </w:tcPr>
          <w:p>
            <w:r/>
            <w:r>
              <w:t>Compactación: umbral 80% del contexto, conserva 16% final, automática</w:t>
            </w:r>
          </w:p>
        </w:tc>
        <w:tc>
          <w:tcPr>
            <w:tcW w:type="dxa" w:w="2160"/>
          </w:tcPr>
          <w:p>
            <w:r/>
            <w:r>
              <w:t>✅ Confirmado al dígito</w:t>
            </w:r>
          </w:p>
        </w:tc>
        <w:tc>
          <w:tcPr>
            <w:tcW w:type="dxa" w:w="2160"/>
          </w:tcPr>
          <w:p>
            <w:r/>
            <w:r>
              <w:t xml:space="preserve">Código instalado: </w:t>
            </w:r>
            <w:r>
              <w:rPr>
                <w:rFonts w:ascii="Consolas" w:hAnsi="Consolas"/>
                <w:sz w:val="20"/>
              </w:rPr>
              <w:t>thresholdRatio: 0.8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retainRatio: 0.16</w:t>
            </w:r>
            <w:r>
              <w:t>, con un *headroom* adicional de 65 536 tokens que el documento no menciona</w:t>
            </w:r>
          </w:p>
        </w:tc>
      </w:tr>
      <w:tr>
        <w:tc>
          <w:tcPr>
            <w:tcW w:type="dxa" w:w="2160"/>
          </w:tcPr>
          <w:p>
            <w:r/>
            <w:r>
              <w:t>94</w:t>
            </w:r>
          </w:p>
        </w:tc>
        <w:tc>
          <w:tcPr>
            <w:tcW w:type="dxa" w:w="2160"/>
          </w:tcPr>
          <w:p>
            <w:r/>
            <w:r>
              <w:t>Session log *append-only* como fuente del contexto</w:t>
            </w:r>
          </w:p>
        </w:tc>
        <w:tc>
          <w:tcPr>
            <w:tcW w:type="dxa" w:w="2160"/>
          </w:tcPr>
          <w:p>
            <w:r/>
            <w:r>
              <w:t>✅ Confirmado en lo esencial</w:t>
            </w:r>
          </w:p>
        </w:tc>
        <w:tc>
          <w:tcPr>
            <w:tcW w:type="dxa" w:w="2160"/>
          </w:tcPr>
          <w:p>
            <w:r/>
            <w:r>
              <w:t>El registro de sesión se describe como fuente de la que se deriva el contexto y la compactación opera por transacciones de rango ancladas en el log</w:t>
            </w:r>
          </w:p>
        </w:tc>
      </w:tr>
      <w:tr>
        <w:tc>
          <w:tcPr>
            <w:tcW w:type="dxa" w:w="2160"/>
          </w:tcPr>
          <w:p>
            <w:r/>
            <w:r>
              <w:t>95</w:t>
            </w:r>
          </w:p>
        </w:tc>
        <w:tc>
          <w:tcPr>
            <w:tcW w:type="dxa" w:w="2160"/>
          </w:tcPr>
          <w:p>
            <w:r/>
            <w:r>
              <w:t xml:space="preserve">El sistema de prompts del modelo declara </w:t>
            </w:r>
            <w:r>
              <w:rPr>
                <w:rFonts w:ascii="Consolas" w:hAnsi="Consolas"/>
                <w:sz w:val="20"/>
              </w:rPr>
              <w:t>system_prompt_update</w:t>
            </w:r>
            <w:r>
              <w:t xml:space="preserve">, y con </w:t>
            </w:r>
            <w:r>
              <w:rPr>
                <w:rFonts w:ascii="Consolas" w:hAnsi="Consolas"/>
                <w:sz w:val="20"/>
              </w:rPr>
              <w:t>in-history</w:t>
            </w:r>
            <w:r>
              <w:t xml:space="preserve"> solo cuenta el sistema inicial</w:t>
            </w:r>
          </w:p>
        </w:tc>
        <w:tc>
          <w:tcPr>
            <w:tcW w:type="dxa" w:w="2160"/>
          </w:tcPr>
          <w:p>
            <w:r/>
            <w:r>
              <w:t>✅ Confirmado (y afinado)</w:t>
            </w:r>
          </w:p>
        </w:tc>
        <w:tc>
          <w:tcPr>
            <w:tcW w:type="dxa" w:w="2160"/>
          </w:tcPr>
          <w:p>
            <w:r/>
            <w:r>
              <w:t xml:space="preserve">El adaptador de </w:t>
            </w:r>
            <w:r>
              <w:rPr>
                <w:rFonts w:ascii="Consolas" w:hAnsi="Consolas"/>
                <w:sz w:val="20"/>
              </w:rPr>
              <w:t>dsh</w:t>
            </w:r>
            <w:r>
              <w:t xml:space="preserve"> declara literalmente </w:t>
            </w:r>
            <w:r>
              <w:rPr>
                <w:rFonts w:ascii="Consolas" w:hAnsi="Consolas"/>
                <w:sz w:val="20"/>
              </w:rPr>
              <w:t>systemPromptUpdate: in-history</w:t>
            </w:r>
            <w:r>
              <w:t xml:space="preserve"> para el modelo </w:t>
            </w:r>
            <w:r>
              <w:rPr>
                <w:rFonts w:ascii="Consolas" w:hAnsi="Consolas"/>
                <w:sz w:val="20"/>
              </w:rPr>
              <w:t>deepseek-flash</w:t>
            </w:r>
            <w:r>
              <w:t>. La lectura del documento es correcta</w:t>
            </w:r>
          </w:p>
        </w:tc>
      </w:tr>
      <w:tr>
        <w:tc>
          <w:tcPr>
            <w:tcW w:type="dxa" w:w="2160"/>
          </w:tcPr>
          <w:p>
            <w:r/>
            <w:r>
              <w:t>96</w:t>
            </w:r>
          </w:p>
        </w:tc>
        <w:tc>
          <w:tcPr>
            <w:tcW w:type="dxa" w:w="2160"/>
          </w:tcPr>
          <w:p>
            <w:r/>
            <w:r>
              <w:t xml:space="preserve">CVE‑2026‑82533: auto-aprobación de </w:t>
            </w:r>
            <w:r>
              <w:rPr>
                <w:rFonts w:ascii="Consolas" w:hAnsi="Consolas"/>
                <w:sz w:val="20"/>
              </w:rPr>
              <w:t>danger-full-access</w:t>
            </w:r>
            <w:r>
              <w:t xml:space="preserve"> vía cabecera </w:t>
            </w:r>
            <w:r>
              <w:rPr>
                <w:rFonts w:ascii="Consolas" w:hAnsi="Consolas"/>
                <w:sz w:val="20"/>
              </w:rPr>
              <w:t>Host</w:t>
            </w:r>
            <w:r>
              <w:t xml:space="preserve"> del puerto 3080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 xml:space="preserve">Nota de la Cloud Security Alliance: el defecto está en </w:t>
            </w:r>
            <w:r>
              <w:rPr>
                <w:rFonts w:ascii="Consolas" w:hAnsi="Consolas"/>
                <w:sz w:val="20"/>
              </w:rPr>
              <w:t>isTrustedApiRequest</w:t>
            </w:r>
            <w:r>
              <w:t xml:space="preserve">, que confiaba en la cabecera </w:t>
            </w:r>
            <w:r>
              <w:rPr>
                <w:rFonts w:ascii="Consolas" w:hAnsi="Consolas"/>
                <w:sz w:val="20"/>
              </w:rPr>
              <w:t>Host</w:t>
            </w:r>
            <w:r>
              <w:t>. El puerto afectado era el 3080</w:t>
            </w:r>
          </w:p>
        </w:tc>
      </w:tr>
      <w:tr>
        <w:tc>
          <w:tcPr>
            <w:tcW w:type="dxa" w:w="2160"/>
          </w:tcPr>
          <w:p>
            <w:r/>
            <w:r>
              <w:t>97</w:t>
            </w:r>
          </w:p>
        </w:tc>
        <w:tc>
          <w:tcPr>
            <w:tcW w:type="dxa" w:w="2160"/>
          </w:tcPr>
          <w:p>
            <w:r/>
            <w:r>
              <w:t>CVSS 9.4</w:t>
            </w:r>
          </w:p>
        </w:tc>
        <w:tc>
          <w:tcPr>
            <w:tcW w:type="dxa" w:w="2160"/>
          </w:tcPr>
          <w:p>
            <w:r/>
            <w:r>
              <w:t>✅ Confirmado, y ahora explicado</w:t>
            </w:r>
          </w:p>
        </w:tc>
        <w:tc>
          <w:tcPr>
            <w:tcW w:type="dxa" w:w="2160"/>
          </w:tcPr>
          <w:p>
            <w:r/>
            <w:r>
              <w:t xml:space="preserve">NVD, registro oficial del CVE: </w:t>
            </w:r>
            <w:r>
              <w:rPr>
                <w:b/>
              </w:rPr>
              <w:t>baseScore 9.4 en CVSS v4.0</w:t>
            </w:r>
            <w:r>
              <w:t xml:space="preserve">. El "9.6" que publicaron algunos medios y agregadores es la puntuación </w:t>
            </w:r>
            <w:r>
              <w:rPr>
                <w:b/>
              </w:rPr>
              <w:t>CVSS v3.1</w:t>
            </w:r>
            <w:r>
              <w:t xml:space="preserve"> del mismo CVE: no es un error de terceros, son dos versiones del estándar. El documento cita la de NVD, que es la correcta</w:t>
            </w:r>
          </w:p>
        </w:tc>
      </w:tr>
      <w:tr>
        <w:tc>
          <w:tcPr>
            <w:tcW w:type="dxa" w:w="2160"/>
          </w:tcPr>
          <w:p>
            <w:r/>
            <w:r>
              <w:t>98</w:t>
            </w:r>
          </w:p>
        </w:tc>
        <w:tc>
          <w:tcPr>
            <w:tcW w:type="dxa" w:w="2160"/>
          </w:tcPr>
          <w:p>
            <w:r/>
            <w:r>
              <w:t>OX Security (Nir Zadok y Moshe Siman Tov Bustan), corregido en 0.1.2‑alpha.1 el 27‑08‑2026, verificado por OX el 30‑08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Misma fuente</w:t>
            </w:r>
          </w:p>
        </w:tc>
      </w:tr>
      <w:tr>
        <w:tc>
          <w:tcPr>
            <w:tcW w:type="dxa" w:w="2160"/>
          </w:tcPr>
          <w:p>
            <w:r/>
            <w:r>
              <w:t>99</w:t>
            </w:r>
          </w:p>
        </w:tc>
        <w:tc>
          <w:tcPr>
            <w:tcW w:type="dxa" w:w="2160"/>
          </w:tcPr>
          <w:p>
            <w:r/>
            <w:r>
              <w:t>Nota de la Cloud Security Alliance del 10‑09‑2026</w:t>
            </w:r>
          </w:p>
        </w:tc>
        <w:tc>
          <w:tcPr>
            <w:tcW w:type="dxa" w:w="2160"/>
          </w:tcPr>
          <w:p>
            <w:r/>
            <w:r>
              <w:t>✅ Confirmado</w:t>
            </w:r>
          </w:p>
        </w:tc>
        <w:tc>
          <w:tcPr>
            <w:tcW w:type="dxa" w:w="2160"/>
          </w:tcPr>
          <w:p>
            <w:r/>
            <w:r>
              <w:t>Publicada exactamente con esa fecha</w:t>
            </w:r>
          </w:p>
        </w:tc>
      </w:tr>
      <w:tr>
        <w:tc>
          <w:tcPr>
            <w:tcW w:type="dxa" w:w="2160"/>
          </w:tcPr>
          <w:p>
            <w:r/>
            <w:r>
              <w:t>100</w:t>
            </w:r>
          </w:p>
        </w:tc>
        <w:tc>
          <w:tcPr>
            <w:tcW w:type="dxa" w:w="2160"/>
          </w:tcPr>
          <w:p>
            <w:r/>
            <w:r>
              <w:t>"Usa esa versión o una posterior"</w:t>
            </w:r>
          </w:p>
        </w:tc>
        <w:tc>
          <w:tcPr>
            <w:tcW w:type="dxa" w:w="2160"/>
          </w:tcPr>
          <w:p>
            <w:r/>
            <w:r>
              <w:t xml:space="preserve">✅ Correcto y </w:t>
            </w:r>
            <w:r>
              <w:rPr>
                <w:b/>
              </w:rPr>
              <w:t>ya superado en este equipo</w:t>
            </w:r>
          </w:p>
        </w:tc>
        <w:tc>
          <w:tcPr>
            <w:tcW w:type="dxa" w:w="2160"/>
          </w:tcPr>
          <w:p>
            <w:r/>
            <w:r>
              <w:t xml:space="preserve">El paquete instalado aquí es </w:t>
            </w:r>
            <w:r>
              <w:rPr>
                <w:rFonts w:ascii="Consolas" w:hAnsi="Consolas"/>
                <w:sz w:val="20"/>
              </w:rPr>
              <w:t>0.2.0-rc.2</w:t>
            </w:r>
            <w:r>
              <w:t>, muy posterior. La recomendación de la CSA es subir a 0.1.2‑alpha.2 o posterior</w:t>
            </w:r>
          </w:p>
        </w:tc>
      </w:tr>
    </w:tbl>
    <w:p/>
    <w:p/>
    <w:p>
      <w:pPr>
        <w:pStyle w:val="Heading1"/>
      </w:pPr>
      <w:r>
        <w:t>H. Lo que el documento NO pudo verificar y sigue sin poder verificarse</w:t>
      </w:r>
    </w:p>
    <w:p>
      <w:r>
        <w:t xml:space="preserve">El documento es honesto al declarar sus límites. Estos siguen abiertos </w:t>
      </w:r>
      <w:r>
        <w:rPr>
          <w:b/>
        </w:rPr>
        <w:t>hoy</w:t>
      </w:r>
      <w:r>
        <w:t>:</w:t>
      </w:r>
    </w:p>
    <w:p>
      <w:pPr>
        <w:pStyle w:val="ListNumber"/>
      </w:pPr>
      <w:r>
        <w:t>**Corte de conocimiento del modelo.** No publicado en ninguna fuente oficial.</w:t>
      </w:r>
    </w:p>
    <w:p>
      <w:pPr>
        <w:pStyle w:val="ListNumber"/>
      </w:pPr>
      <w:r>
        <w:t>**Tasa de alucinación.** No publicada.</w:t>
      </w:r>
    </w:p>
    <w:p>
      <w:pPr>
        <w:pStyle w:val="ListNumber"/>
      </w:pPr>
      <w:r>
        <w:t>**Evaluación de seguridad independiente de V4.1.** La única evaluación gubernamental conocida cubre R1, R1‑0528 y V3.1 (septiembre de 2025). No hay equivalente para V4.1.</w:t>
      </w:r>
    </w:p>
    <w:p>
      <w:pPr>
        <w:pStyle w:val="ListNumber"/>
      </w:pPr>
      <w:r>
        <w:t>**Esfuerzos enteros 1–100 en la API alojada.** El modelo acepta el entero; la API documenta solo `none/low/high/max` y sus alias. Sin una llamada real con clave, no se puede cerrar.</w:t>
      </w:r>
    </w:p>
    <w:p>
      <w:pPr>
        <w:pStyle w:val="ListNumber"/>
      </w:pPr>
      <w:r>
        <w:t>**Detección de secuestro de agentes por scaffold.** No hay cifras públicas de AgentDojo para V4.1. La recomendación de sandbox no depende de esto: se sostiene por el historial de la familia y por el propio CVE de `dsh`.</w:t>
      </w:r>
    </w:p>
    <w:p/>
    <w:p>
      <w:pPr>
        <w:pStyle w:val="Heading1"/>
      </w:pPr>
      <w:r>
        <w:t>I. Conclusión</w:t>
      </w:r>
    </w:p>
    <w:p>
      <w:r>
        <w:t xml:space="preserve">El documento </w:t>
      </w:r>
      <w:r>
        <w:rPr>
          <w:b/>
        </w:rPr>
        <w:t>no es un invento ni una exageración</w:t>
      </w:r>
      <w:r>
        <w:t xml:space="preserve">: los datos duros (nombres, fechas, precios, benchmarks, CVSS, mecánica de la caché y de </w:t>
      </w:r>
      <w:r>
        <w:rPr>
          <w:rFonts w:ascii="Consolas" w:hAnsi="Consolas"/>
          <w:sz w:val="20"/>
        </w:rPr>
        <w:t>reasoning_content</w:t>
      </w:r>
      <w:r>
        <w:t>) aguantan el escrutinio contra fuente primaria, y su marco conceptual —"lo que más cambia el resultado no es la frase mágica, sino los parámetros y el harness"— queda respaldado por la propia tabla de rendimiento por scaffold del informe oficial.</w:t>
      </w:r>
    </w:p>
    <w:p>
      <w:r>
        <w:t xml:space="preserve">Sus defectos son de segunda fila: un dato técnico desactualizado (el mapeo de esfuerzo local), una imprecisión sobre </w:t>
      </w:r>
      <w:r>
        <w:rPr>
          <w:rFonts w:ascii="Consolas" w:hAnsi="Consolas"/>
          <w:sz w:val="20"/>
        </w:rPr>
        <w:t>top_p</w:t>
      </w:r>
      <w:r>
        <w:t xml:space="preserve">, un par de cifras sin respaldo y varios matices que simplifica. </w:t>
      </w:r>
      <w:r>
        <w:rPr>
          <w:b/>
        </w:rPr>
        <w:t>Ninguno de ellos invalida las prácticas que recomienda.</w:t>
      </w:r>
      <w:r>
        <w:t xml:space="preserve"> Si alguien sigue sus cuatro reglas de harness y su orden de prompt, hará lo correcto.</w:t>
      </w:r>
    </w:p>
    <w:p>
      <w:r>
        <w:rPr>
          <w:b/>
        </w:rPr>
        <w:t>Lo que yo corregiría antes de usar el documento como referencia de trabajo:</w:t>
      </w:r>
    </w:p>
    <w:p>
      <w:pPr>
        <w:pStyle w:val="ListNumber"/>
      </w:pPr>
      <w:r>
        <w:t>Borrar la tabla de "discrepancia en pesos abiertos" o cambiarla por: *"el encoder de referencia y la API coinciden: low=50, high=75, max=100. El modelo abierto además acepta enteros 1–100."*</w:t>
      </w:r>
    </w:p>
    <w:p>
      <w:pPr>
        <w:pStyle w:val="ListNumber"/>
      </w:pPr>
      <w:r>
        <w:t>Añadir que **`top_p` por defecto es 1.0** y que 0.95 es recomendación, no default.</w:t>
      </w:r>
    </w:p>
    <w:p>
      <w:pPr>
        <w:pStyle w:val="ListNumber"/>
      </w:pPr>
      <w:r>
        <w:t>Aclarar que **fines de semana y festivos chinos completos son valle**.</w:t>
      </w:r>
    </w:p>
    <w:p>
      <w:pPr>
        <w:pStyle w:val="ListNumber"/>
      </w:pPr>
      <w:r>
        <w:t>Especificar que la prohibición de `tool_choice` forzado aplica al **formato Chat Completions**, no al de Anthropic.</w:t>
      </w:r>
    </w:p>
    <w:p>
      <w:pPr>
        <w:pStyle w:val="ListNumber"/>
      </w:pPr>
      <w:r>
        <w:t>Distinguir **caché global (890 B/token, ¼)** de **caché persistente (1/8)**.</w:t>
      </w:r>
    </w:p>
    <w:p>
      <w:pPr>
        <w:pStyle w:val="ListNumber"/>
      </w:pPr>
      <w:r>
        <w:t>Quitar el dato "1.6–1.8× trayectorias" o marcarlo como no verificado.</w:t>
      </w:r>
    </w:p>
    <w:p/>
    <w:p>
      <w:pPr>
        <w:pStyle w:val="Heading1"/>
      </w:pPr>
      <w:r>
        <w:t>J. Fuentes</w:t>
      </w:r>
    </w:p>
    <w:p>
      <w:r>
        <w:rPr>
          <w:b/>
        </w:rPr>
        <w:t>Primarias (oficiales):</w:t>
      </w:r>
    </w:p>
    <w:p>
      <w:pPr>
        <w:pStyle w:val="ListBullet"/>
      </w:pPr>
      <w:r>
        <w:t>[Modelos y precios](https://api-docs.deepseek.com/quick_start/pricing) · [Registro de cambios](https://api-docs.deepseek.com/updates/) · [Nota de lanzamiento V4.1‑Flash](https://api-docs.deepseek.com/news/news260910/) · [Modo pensar](https://api-docs.deepseek.com/guides/thinking_mode) · [Llamadas a herramientas](https://api-docs.deepseek.com/guides/tool_calls) · [Caché de contexto](https://api-docs.deepseek.com/guides/kv_cache) · [API de Anthropic](https://api-docs.deepseek.com/guides/anthropic_api) · [Responses API](https://api-docs.deepseek.com/guides/responses_api) · [Referencia de Chat Completions](https://api-docs.deepseek.com/api/create-chat-completion) · [Claude Code](https://api-docs.deepseek.com/quick_start/agent_integrations/claude_code) · [Uso de tokens](https://api-docs.deepseek.com/quick_start/token_usage)</w:t>
      </w:r>
    </w:p>
    <w:p>
      <w:pPr>
        <w:pStyle w:val="ListBullet"/>
      </w:pPr>
      <w:r>
        <w:t>[Nota de prensa oficial](https://www.deepseek.com/en/news/deepseek-v4-1-flash/)</w:t>
      </w:r>
    </w:p>
    <w:p>
      <w:pPr>
        <w:pStyle w:val="ListBullet"/>
      </w:pPr>
      <w:r>
        <w:t>[Model card de DeepSeek‑V4.1‑Flash](https://huggingface.co/deepseek-ai/DeepSeek-V4.1-Flash) · [Informe técnico (PDF)](https://huggingface.co/deepseek-ai/DeepSeek-V4.1-Flash/blob/main/DeepSeek_V41_Tech_Report.pdf) · [`encoding/README.md`](https://huggingface.co/deepseek-ai/DeepSeek-V4.1-Flash/blob/main/encoding/README.md)</w:t>
      </w:r>
    </w:p>
    <w:p>
      <w:pPr>
        <w:pStyle w:val="ListBullet"/>
      </w:pPr>
      <w:r>
        <w:t>[Repositorio `deepseek-ai/deepseek-harness`](https://github.com/deepseek-ai/deepseek-harness): [README](https://raw.githubusercontent.com/deepseek-ai/deepseek-harness/master/README.md), [SAFETY.md](https://raw.githubusercontent.com/deepseek-ai/deepseek-harness/master/SAFETY.md)</w:t>
      </w:r>
    </w:p>
    <w:p>
      <w:pPr>
        <w:pStyle w:val="ListBullet"/>
      </w:pPr>
      <w:r>
        <w:t>[Guía de inicio de DeepSeek Harness](https://deepseek-harness.github.io/deepseek-harness/en/guide/quickstart)</w:t>
      </w:r>
    </w:p>
    <w:p>
      <w:r>
        <w:rPr>
          <w:b/>
        </w:rPr>
        <w:t>Seguridad:</w:t>
      </w:r>
    </w:p>
    <w:p>
      <w:pPr>
        <w:pStyle w:val="ListBullet"/>
      </w:pPr>
      <w:r>
        <w:t>[Cloud Security Alliance — DeepSeek Harness Sandbox Escape and Agent Containment (10‑09‑2026)](https://labs.cloudsecurityalliance.org/research/csa-research-note-deepseek-harness-sandbox-escape-20260910-c/)</w:t>
      </w:r>
    </w:p>
    <w:p>
      <w:pPr>
        <w:pStyle w:val="ListBullet"/>
      </w:pPr>
      <w:r>
        <w:t>[NVD — registro oficial de CVE‑2026‑82533](https://services.nvd.nist.gov/rest/json/cves/2.0?cveId=CVE-2026-82533) (CVSS v4.0: 9.4; CVSS v3.1: 9.6)</w:t>
      </w:r>
    </w:p>
    <w:p>
      <w:pPr>
        <w:pStyle w:val="ListBullet"/>
      </w:pPr>
      <w:r>
        <w:t>[NIST/CAISI — evaluación de los modelos DeepSeek (30‑09‑2025)](https://www.nist.gov/news-events/news/2025/09/caisi-evaluation-deepseek-ai-models-finds-shortcomings-and-risks) y [nota de CAISI sobre V4 Pro (mayo de 2026)](https://www.nist.gov/news-events/news/2026/05/caisi-evaluation-deepseek-v4-pro)</w:t>
      </w:r>
    </w:p>
    <w:p>
      <w:pPr>
        <w:pStyle w:val="ListBullet"/>
      </w:pPr>
      <w:r>
        <w:t>Cuando la fuente primaria resultó inaccesible (VulDB devuelve 403, la API de GitHub limita las peticiones), se indica en el texto en lugar de rellenar el hueco con prensa secundaria.</w:t>
      </w:r>
    </w:p>
    <w:p>
      <w:r>
        <w:rPr>
          <w:b/>
        </w:rPr>
        <w:t>Verificación local (primera mano):</w:t>
      </w:r>
    </w:p>
    <w:p>
      <w:pPr>
        <w:pStyle w:val="ListBullet"/>
      </w:pPr>
      <w:r>
        <w:t>Paquete `@deepseek-ai/dsh@0.2.0-rc.2` instalado en este equipo: `package.json`, README de `dsh-sandbox`, `dsh-sandbox-policy`, `dsh-permission-presets`, `dsh-compaction-basic`, `dsh-sdk-minimal`, `dsh-tool-str-replace-editor`, `dsh-web-app` y el patch de composición de `dsh-base`.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