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4">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section is </w:t>
      </w:r>
      <w:r w:rsidDel="00000000" w:rsidR="00000000" w:rsidRPr="00000000">
        <w:rPr>
          <w:rFonts w:ascii="Google Sans" w:cs="Google Sans" w:eastAsia="Google Sans" w:hAnsi="Google Sans"/>
          <w:i w:val="1"/>
          <w:sz w:val="24"/>
          <w:szCs w:val="24"/>
          <w:rtl w:val="0"/>
        </w:rPr>
        <w:t xml:space="preserve">optional</w:t>
      </w:r>
      <w:r w:rsidDel="00000000" w:rsidR="00000000" w:rsidRPr="00000000">
        <w:rPr>
          <w:rFonts w:ascii="Google Sans" w:cs="Google Sans" w:eastAsia="Google Sans" w:hAnsi="Google Sans"/>
          <w:sz w:val="24"/>
          <w:szCs w:val="24"/>
          <w:rtl w:val="0"/>
        </w:rPr>
        <w:t xml:space="preserve"> and can be used to provide a summary of recommendations to the IT manager regarding which controls and/or compliance best practices Botium Toys needs to implement, based on the risk posed if not implemented in a timely manner.</w:t>
      </w:r>
    </w:p>
    <w:p w:rsidR="00000000" w:rsidDel="00000000" w:rsidP="00000000" w:rsidRDefault="00000000" w:rsidRPr="00000000" w14:paraId="00000077">
      <w:pPr>
        <w:spacing w:after="200" w:line="360" w:lineRule="auto"/>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Encryption of user’s private and sensitive data needs to be done. Intrusion detection system needs to be installed in case of any threat. Data needs to be backed up securely and must be readily available to be restored in case of an incident. </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