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5E20"/>
          <w:sz w:val="44"/>
        </w:rPr>
        <w:t>🌿 AgriVision Agent: Master Precision Agronomy Architecture</w:t>
      </w:r>
    </w:p>
    <w:p>
      <w:pPr>
        <w:spacing w:before="0" w:after="240"/>
      </w:pPr>
      <w:r>
        <w:rPr>
          <w:i/>
          <w:color w:val="2E7D32"/>
          <w:sz w:val="22"/>
        </w:rPr>
        <w:t>End-to-End Problem Solver: Deep Learning Vision, Digital IRRI LCC Nitrogen Engine, 6-Pillar Agritech Strategy &amp; Code Instructions</w:t>
      </w:r>
    </w:p>
    <w:p>
      <w:pPr>
        <w:spacing w:before="0" w:after="240"/>
        <w:pBdr>
          <w:bottom w:val="single" w:sz="12" w:space="1" w:color="2E7D3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1B5E20"/>
                <w:sz w:val="22"/>
              </w:rPr>
              <w:t>📌 Project Mission &amp; Academic High-Concept</w:t>
              <w:br/>
            </w:r>
            <w:r>
              <w:rPr>
                <w:sz w:val="19"/>
              </w:rPr>
              <w:t>AgriVision Agent is designed not merely as an academic leaf disease classifier, but as an Autonomous Precision Agronomy Decision Support System solving interconnected real-world crises in modern agriculture.</w:t>
              <w:br/>
              <w:br/>
              <w:t>• Core Vision Engine: Transfer Learning via MobileNetV2 for 15 conditions across Tomato, Potato, and Pepper Bell.</w:t>
              <w:br/>
              <w:t>• Two-Tier Hybrid Architecture: Deep Learning for pathogen identification combined with OpenCV color analytics for damage severity.</w:t>
              <w:br/>
              <w:t>• Digital IRRI Leaf Color Chart (LCC): Direct camera-based Nitrogen &amp; Urea fertilizer optimizer preventing the #1 cause of disease outbreaks.</w:t>
              <w:br/>
              <w:t>• 6-Pillar Strategic Expansion: Weather spray windows, precision knapsack math, preventive microclimate forecasting, vernacular voice UI, and Mandi market intelligence.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B5E20"/>
        </w:rPr>
        <w:t>1. Real-World Agricultural Crisis &amp; The 6-Pillar Strategy</w:t>
      </w:r>
    </w:p>
    <w:p>
      <w:r>
        <w:t>In modern agriculture, crop loss rarely occurs simply because a farmer could not name a pathogen. Real farming crises stem from a chain of interconnected failures in chemical dosage, timing, nutrition, and market dynamics:</w:t>
      </w:r>
    </w:p>
    <w:p>
      <w:r>
        <w:t>1. Blind Chemical Over-Application: Farmers frequently apply 3x the required pesticide dosage, causing groundwater toxicity, chemical crop burn, pesticide resistance, and dangerous chemical residues in consumer food.</w:t>
        <w:br/>
        <w:t>2. Spray Wash-Off &amp; Financial Loss: Farmers spend ₹2,000+ per acre on expensive fungicides, only for unexpected rain 2 hours later to wash the entire chemical into local rivers.</w:t>
        <w:br/>
        <w:t>3. Excessive Urea Mismanagement: In the false belief that 'more green equals better crop', farmers dump excessive Nitrogen. This creates watery, hyper-succulent foliage that directly triggers fungal blights and attracts sucking pests (Aphids, Whiteflies).</w:t>
        <w:br/>
        <w:t>4. Illiteracy &amp; Language Barriers: Technical pesticide labels use complex metric equations (e.g. '1.5 kg a.i./ha in 500 L') that smallholder farmers cannot translate into standard 15-liter backpack sprayers.</w:t>
      </w:r>
    </w:p>
    <w:p>
      <w:pPr>
        <w:pStyle w:val="Heading2"/>
      </w:pPr>
      <w:r>
        <w:rPr>
          <w:color w:val="2E7D32"/>
        </w:rPr>
        <w:t>The 6-Pillar Real-World Agritech Expansion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5E2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Pillar</w:t>
            </w:r>
          </w:p>
        </w:tc>
        <w:tc>
          <w:tcPr>
            <w:tcW w:type="dxa" w:w="3360"/>
            <w:shd w:fill="1B5E2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Real-World Agricultural Problem</w:t>
            </w:r>
          </w:p>
        </w:tc>
        <w:tc>
          <w:tcPr>
            <w:tcW w:type="dxa" w:w="3360"/>
            <w:shd w:fill="1B5E2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AgriVision Autonomous Solution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Pillar 1:</w:t>
              <w:br/>
              <w:t>Predictive Pathology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Reactive spraying after 30% of field is already ruined by blight.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Pre-Infection Weather Risk Engine: Evaluates humidity (&gt;85%) and temperature (20-25°C) to alert farmers 48 hours BEFORE fungal germination.</w:t>
            </w:r>
          </w:p>
        </w:tc>
      </w:tr>
      <w:tr>
        <w:tc>
          <w:tcPr>
            <w:tcW w:type="dxa" w:w="33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Pillar 2:</w:t>
              <w:br/>
              <w:t>Climate-Smart Spray Window</w:t>
            </w:r>
          </w:p>
        </w:tc>
        <w:tc>
          <w:tcPr>
            <w:tcW w:type="dxa" w:w="33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Spraying during heavy winds causes drift; spraying before rain causes wash-off.</w:t>
            </w:r>
          </w:p>
        </w:tc>
        <w:tc>
          <w:tcPr>
            <w:tcW w:type="dxa" w:w="33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Live Wind &amp; Rain Guard: Blocks spraying if rain is expected within 3 hours or wind speed &gt; 15 km/h. Recommends safe morning/evening windows.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Pillar 3:</w:t>
              <w:br/>
              <w:t>Digital IRRI LCC &amp; Fertilizer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Blind Urea application creates succulent leaves that attract blights and pests.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Digital Leaf Color Chart (Panels 1-5): Calibrated camera matching calculates exact Urea kg/Acre, halting nitrogen when optimal.</w:t>
            </w:r>
          </w:p>
        </w:tc>
      </w:tr>
      <w:tr>
        <w:tc>
          <w:tcPr>
            <w:tcW w:type="dxa" w:w="33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Pillar 4:</w:t>
              <w:br/>
              <w:t>Knapsack Math &amp; Food Safety</w:t>
            </w:r>
          </w:p>
        </w:tc>
        <w:tc>
          <w:tcPr>
            <w:tcW w:type="dxa" w:w="33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Farmers cannot convert ppm or kg/ha into manual spray backpack pumps.</w:t>
            </w:r>
          </w:p>
        </w:tc>
        <w:tc>
          <w:tcPr>
            <w:tcW w:type="dxa" w:w="33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Knapsack Pump Equation: Translates dosages into '2 capfuls (30g) per 15L pump, 2 pumps per acre'. Enforces Pre-Harvest Interval (PHI) days.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Pillar 5:</w:t>
              <w:br/>
              <w:t>Voice-First Vernacular AI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70%+ smallholders cannot read English scientific research documents.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Multimodal Indian Voice Engine: Speaks and listens in Hindi, Marathi, Telugu, Punjabi, Kannada, and Bengali via bilingual LLM agents.</w:t>
            </w:r>
          </w:p>
        </w:tc>
      </w:tr>
      <w:tr>
        <w:tc>
          <w:tcPr>
            <w:tcW w:type="dxa" w:w="33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Pillar 6:</w:t>
              <w:br/>
              <w:t>Mandi Market Intelligence</w:t>
            </w:r>
          </w:p>
        </w:tc>
        <w:tc>
          <w:tcPr>
            <w:tcW w:type="dxa" w:w="33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Farmers save crops but sell at harvest glut prices at the lowest APMC Mandi.</w:t>
            </w:r>
          </w:p>
        </w:tc>
        <w:tc>
          <w:tcPr>
            <w:tcW w:type="dxa" w:w="33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APMC Mandi Price Tracker: Compares live commodity prices across local and district markets to optimize harvest and selling timing.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color w:val="1B5E20"/>
        </w:rPr>
        <w:t>2. Digital IRRI Leaf Color Chart (LCC) Technical Specification</w:t>
      </w:r>
    </w:p>
    <w:p>
      <w:r>
        <w:t>The Leaf Color Chart (LCC) developed by the International Rice Research Institute (IRRI) and the Indian Council of Agricultural Research (ICAR) is the global agronomic standard for real-time Nitrogen (N) management. AgriVision digitizes this physical ruler into a computer vision pipeline:</w:t>
      </w:r>
    </w:p>
    <w:p>
      <w:r>
        <w:t>1. Chlorophyll Isolation: OpenCV converts leaf image to CIE LAB and HSV color space, masking out background soil and diseased brown spots to isolate healthy vegetative canopy.</w:t>
        <w:br/>
        <w:t>2. Euclidean Chromatic Matching: The median leaf color is compared against the calibrated IRRI 5-Panel reference standards using Delta E distance in LAB space:</w:t>
        <w:br/>
        <w:t xml:space="preserve">   Delta_E = sqrt((L1 - L2)^2 + (a1 - a2)^2 + (b1 - b2)^2)</w:t>
        <w:br/>
        <w:t>3. Real-Time Fertilizer Advisory: The matched panel triggers exact Urea recommendations per acre.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LCC Panel</w:t>
            </w:r>
          </w:p>
        </w:tc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IRRI Color Shade</w:t>
            </w:r>
          </w:p>
        </w:tc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Calibrated RGB / LAB</w:t>
            </w:r>
          </w:p>
        </w:tc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Nitrogen Status</w:t>
            </w:r>
          </w:p>
        </w:tc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Recommended Urea Dosage</w:t>
            </w:r>
          </w:p>
        </w:tc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Agronomic &amp; Pest Risk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Panel 1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Pale Yellow-Green</w:t>
              <w:br/>
              <w:t>(Hex #BACA72)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RGB: (186, 202, 114)</w:t>
              <w:br/>
              <w:t>LAB: (79, -21, 44)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Severe Nitrogen Deficit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25 - 30 kg Urea / Acre</w:t>
              <w:br/>
              <w:t>(or 2% foliar spray)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Stunted tillering, yellowing foliage, poor photosynthetic rate.</w:t>
            </w:r>
          </w:p>
        </w:tc>
      </w:tr>
      <w:tr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Panel 2</w:t>
            </w:r>
          </w:p>
        </w:tc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Yellowish-Green</w:t>
              <w:br/>
              <w:t>(Hex #98BA55)</w:t>
            </w:r>
          </w:p>
        </w:tc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RGB: (152, 186, 85)</w:t>
              <w:br/>
              <w:t>LAB: (71, -26, 48)</w:t>
            </w:r>
          </w:p>
        </w:tc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Moderate Deficit</w:t>
            </w:r>
          </w:p>
        </w:tc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20 kg Urea / Acre at next scheduled watering</w:t>
            </w:r>
          </w:p>
        </w:tc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Chlorophyll below critical threshold; delayed vegetative growth.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Panel 3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Light / Balanced Green</w:t>
              <w:br/>
              <w:t>(Hex #73A03E)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RGB: (115, 160, 62)</w:t>
              <w:br/>
              <w:t>LAB: (62, -30, 47)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Threshold Baseline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10 - 15 kg Urea / Acre only if tillering lags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Critical agronomic maintenance level for vegetables and cereals.</w:t>
            </w:r>
          </w:p>
        </w:tc>
      </w:tr>
      <w:tr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Panel 4</w:t>
            </w:r>
          </w:p>
        </w:tc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Deep Vibrant Green</w:t>
              <w:br/>
              <w:t>(Hex #4D802C)</w:t>
            </w:r>
          </w:p>
        </w:tc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RGB: (77, 128, 44)</w:t>
              <w:br/>
              <w:t>LAB: (50, -32, 41)</w:t>
            </w:r>
          </w:p>
        </w:tc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Optimal Nutrition</w:t>
            </w:r>
          </w:p>
        </w:tc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0 kg Urea (NO UREA NEEDED)</w:t>
              <w:br/>
              <w:t>Save fertilizer cost!</w:t>
            </w:r>
          </w:p>
        </w:tc>
        <w:tc>
          <w:tcPr>
            <w:tcW w:type="dxa" w:w="1680"/>
            <w:shd w:fill="F9FB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Peak chlorophyll photosynthetic efficiency. Maximum plant health.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Panel 5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Dark Forest Green</w:t>
              <w:br/>
              <w:t>(Hex #2D5F1E)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RGB: (45, 95, 30)</w:t>
              <w:br/>
              <w:t>LAB: (37, -31, 33)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Excessive Nitrogen</w:t>
              <w:br/>
              <w:t>(Toxic Over-Feeding)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HALT ALL NITROGEN</w:t>
              <w:br/>
              <w:t>Withhold fertilizer!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Hyper-succulent leaves attract Aphids, Whiteflies, and fungal Blight.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color w:val="1B5E20"/>
        </w:rPr>
        <w:t>3. The Two-Tier Hybrid Architecture: CNN + Digital LCC</w:t>
      </w:r>
    </w:p>
    <w:p>
      <w:r>
        <w:t>A critical question is: Why not use LCC for everything, or why not use Deep Learning for everything? The answer lies in their complementary mathematical strengths:</w:t>
      </w:r>
    </w:p>
    <w:p>
      <w:r>
        <w:t>• Tier 1 (Deep Learning - MobileNetV2): Answers 'WHAT DISEASE IS IT?'. CNNs extract microscopic spatial geometries (concentric rings in Early Blight, angular vein-delimited boundaries in Bacterial Spot, pustule clusters in Rust) that color alone cannot distinguish.</w:t>
        <w:br/>
        <w:t>• Tier 2 (OpenCV Color &amp; LCC Analytics): Answers 'HOW MUCH DAMAGE EXISTS AND WHAT FERTILIZER IS NEEDED?'. Exact pixel segmentation counts necrotic percentage (e.g. 29.2% leaf destruction) and matches chlorophyll greenness to IRRI Panel 1-5 for Urea dosage.</w:t>
        <w:br/>
        <w:br/>
        <w:t>Together, this forms an industry-standard dual pipeline that guarantees both pathogen protection and sustainable soil nutrition.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color w:val="1B5E20"/>
        </w:rPr>
        <w:t>4. The 3 Supported Crops &amp; All 15 Pathological Classes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Crop &amp; Condition</w:t>
            </w:r>
          </w:p>
        </w:tc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Pathogen</w:t>
            </w:r>
          </w:p>
        </w:tc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Key Visual Symptoms</w:t>
            </w:r>
          </w:p>
        </w:tc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Recommended Chemical Treatment</w:t>
            </w:r>
          </w:p>
        </w:tc>
        <w:tc>
          <w:tcPr>
            <w:tcW w:type="dxa" w:w="168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Dosage &amp; PHI</w:t>
            </w:r>
          </w:p>
        </w:tc>
      </w:tr>
      <w:tr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0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Pepper Bell 🫑</w:t>
              <w:br/>
              <w:t>Bacterial Spot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Bacterial</w:t>
              <w:br/>
              <w:t>(Xanthomonas)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Small dark water-soaked spots on leaves turning necrotic with yellow halos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Copper Oxychloride 50% WP + Streptomycin Sulphate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2.5 g/L</w:t>
              <w:br/>
              <w:t>PHI: 3 Days</w:t>
            </w:r>
          </w:p>
        </w:tc>
      </w:tr>
      <w:tr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Pepper Bell 🫑</w:t>
              <w:br/>
              <w:t>Healthy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Vibrant green foliage, uniform leaf margins, absence of chlorosis or spotting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None (Nutritional maintenance: 19-19-19 NPK foliar)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5.0 g/L</w:t>
              <w:br/>
              <w:t>PHI: 0 Days</w:t>
            </w:r>
          </w:p>
        </w:tc>
      </w:tr>
      <w:tr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Potato 🥔</w:t>
              <w:br/>
              <w:t>Early Blight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Fungal</w:t>
              <w:br/>
              <w:t>(Alternaria solani)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Concentric dark brown rings ('target board' pattern) on mature lower leaves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Mancozeb 75% WP or Azoxystrobin 23% SC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2.5 g/L</w:t>
              <w:br/>
              <w:t>PHI: 7 Days</w:t>
            </w:r>
          </w:p>
        </w:tc>
      </w:tr>
      <w:tr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Potato 🥔</w:t>
              <w:br/>
              <w:t>Healthy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Healthy compound potato foliage without lesions, wilting, or yellowing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Preventive bio-fungicide: Trichoderma viride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5.0 g/L</w:t>
              <w:br/>
              <w:t>PHI: 0 Days</w:t>
            </w:r>
          </w:p>
        </w:tc>
      </w:tr>
      <w:tr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Potato 🥔</w:t>
              <w:br/>
              <w:t>Late Blight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Oomycete</w:t>
              <w:br/>
              <w:t>(Phytophthora infestans)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Water-soaked dark lesions with white mold fuzz on leaf undersides in humid air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Cymoxanil 8% + Mancozeb 64% WP (Curzate) or Metalaxyl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3.0 g/L</w:t>
              <w:br/>
              <w:t>PHI: 7 Days</w:t>
            </w:r>
          </w:p>
        </w:tc>
      </w:tr>
      <w:tr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Tomato 🍅</w:t>
              <w:br/>
              <w:t>Bacterial Spot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Bacterial</w:t>
              <w:br/>
              <w:t>(Xanthomonas spp.)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Small circular brownish-black scabs with chlorotic yellow surrounding margins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Copper Hydroxide 77% WP or Kasugamycin 3% SL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2.0 g/L</w:t>
              <w:br/>
              <w:t>PHI: 3 Days</w:t>
            </w:r>
          </w:p>
        </w:tc>
      </w:tr>
      <w:tr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Tomato 🍅</w:t>
              <w:br/>
              <w:t>Early Blight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Fungal</w:t>
              <w:br/>
              <w:t>(Alternaria solani)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Brown-black concentric rings expanding across older leaves leading to defoliation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Chlorothalonil 75% WP or Difenoconazole 25% EC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2.0 g/L</w:t>
              <w:br/>
              <w:t>PHI: 7 Days</w:t>
            </w:r>
          </w:p>
        </w:tc>
      </w:tr>
      <w:tr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7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Tomato 🍅</w:t>
              <w:br/>
              <w:t>Healthy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Clean foliage with healthy stomata, robust vegetative growth, no lesions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Preventive seaweed extract foliar spray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2.0 ml/L</w:t>
              <w:br/>
              <w:t>PHI: 0 Days</w:t>
            </w:r>
          </w:p>
        </w:tc>
      </w:tr>
      <w:tr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8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Tomato 🍅</w:t>
              <w:br/>
              <w:t>Late Blight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Oomycete</w:t>
              <w:br/>
              <w:t>(Phytophthora infestans)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Rapidly enlarging oily green-black water-soaked lesions that cause leaf collapse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Dimethomorph 50% WP or Metalaxyl-M + Mancozeb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2.5 g/L</w:t>
              <w:br/>
              <w:t>PHI: 5 Days</w:t>
            </w:r>
          </w:p>
        </w:tc>
      </w:tr>
      <w:tr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9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Tomato 🍅</w:t>
              <w:br/>
              <w:t>Leaf Mold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Fungal</w:t>
              <w:br/>
              <w:t>(Passalora fulva)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Pale yellow chlorotic patches on upper leaf surface with olive-brown velvet mold under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Copper Oxychloride 50% WP or Thiophanate Methyl 70% WP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2.5 g/L</w:t>
              <w:br/>
              <w:t>PHI: 7 Days</w:t>
            </w:r>
          </w:p>
        </w:tc>
      </w:tr>
      <w:tr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Tomato 🍅</w:t>
              <w:br/>
              <w:t>Septoria Leaf Spot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Fungal</w:t>
              <w:br/>
              <w:t>(Septoria lycopersici)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Numerous circular small spots with dark brown margins and gray/white centers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Mancozeb 75% WP or Propineb 70% WP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2.5 g/L</w:t>
              <w:br/>
              <w:t>PHI: 7 Days</w:t>
            </w:r>
          </w:p>
        </w:tc>
      </w:tr>
      <w:tr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11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Tomato 🍅</w:t>
              <w:br/>
              <w:t>Spider Mites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Pest / Acarina</w:t>
              <w:br/>
              <w:t>(Tetranychus urticae)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Fine yellow stippling on leaf upper side, fine silk webbing, leaf bronzing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Abamectin 1.9% EC or Spiromesifen 22.9% SC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1.0 ml/L</w:t>
              <w:br/>
              <w:t>PHI: 3 Days</w:t>
            </w:r>
          </w:p>
        </w:tc>
      </w:tr>
      <w:tr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Tomato 🍅</w:t>
              <w:br/>
              <w:t>Target Spot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Fungal</w:t>
              <w:br/>
              <w:t>(Corynespora cassiicola)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Brown lesions with prominent concentric rings resembling early blight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Azoxystrobin 18.2% + Difenoconazole 11.4% SC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1.0 ml/L</w:t>
              <w:br/>
              <w:t>PHI: 5 Days</w:t>
            </w:r>
          </w:p>
        </w:tc>
      </w:tr>
      <w:tr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13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Tomato 🍅</w:t>
              <w:br/>
              <w:t>Mosaic Virus (ToMV)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Viral</w:t>
              <w:br/>
              <w:t>(Tobamovirus)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Mottling, light/dark green mosaic patterns, leaf puckering and distorted foliage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No cure: Destroy infected plants, control insect vectors (Thrips/Aphids)</w:t>
            </w:r>
          </w:p>
        </w:tc>
        <w:tc>
          <w:tcPr>
            <w:tcW w:type="dxa" w:w="168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Vector spray</w:t>
              <w:br/>
              <w:t>PHI: N/A</w:t>
            </w:r>
          </w:p>
        </w:tc>
      </w:tr>
      <w:tr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14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Tomato 🍅</w:t>
              <w:br/>
              <w:t>Yellow Leaf Curl (TYLCV)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Viral</w:t>
              <w:br/>
              <w:t>(Begomovirus)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Severe leaf curling upwards, stunted bushy plant growth, interveinal chlorosis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Vector management: Spray Diafenthiuron 50% WP against Whitefly (Bemisia)</w:t>
            </w:r>
          </w:p>
        </w:tc>
        <w:tc>
          <w:tcPr>
            <w:tcW w:type="dxa" w:w="16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1.2 g/L</w:t>
              <w:br/>
              <w:t>PHI: 7 Days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color w:val="1B5E20"/>
        </w:rPr>
        <w:t>5. Complete Catalog of All Numerical Parameters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Pipeline Stage</w:t>
            </w:r>
          </w:p>
        </w:tc>
        <w:tc>
          <w:tcPr>
            <w:tcW w:type="dxa" w:w="252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Parameter Name</w:t>
            </w:r>
          </w:p>
        </w:tc>
        <w:tc>
          <w:tcPr>
            <w:tcW w:type="dxa" w:w="252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Exact Value</w:t>
            </w:r>
          </w:p>
        </w:tc>
        <w:tc>
          <w:tcPr>
            <w:tcW w:type="dxa" w:w="2520"/>
            <w:shd w:fill="1B5E20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Agronomic / Algorithmic Significance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Image Input &amp; Scaling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Input Dimensions (H x W x C)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224 x 224 x 3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Required input shape for MobileNetV2 architecture. Resized via Lanczos high-order filter.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Image Input &amp; Scaling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Pixel Value Range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[-1.0, +1.0]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MobileNet normalization: (Pixel / 127.5) - 1.0. Scales raw [0, 255] pixels to zero-centered range.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Image Input &amp; Scaling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Minimum Valid Dimension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32 x 32 px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Images smaller than 32x32 are rejected immediately to prevent zero-resolution garbage input.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Image Input &amp; Scaling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Color Representation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Standard RGB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Ensures consistent chromatic ordering across OpenCV (BGR default) and Pillow (RGB).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CV &amp; Guardrail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CLAHE Clip Limit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Threshold for contrast limiting in adaptive histogram equalization; prevents over-amplification of noise.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CV &amp; Guardrail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CLAHE Tile Grid Size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8 x 8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Divides leaf image into 64 local contextual tiles to enhance localized lesion boundaries.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CV &amp; Guardrail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CLAHE Target Channel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L (Luminance)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Applied only to L channel in CIE LAB space, leaving color tint (A/B) strictly unaltered.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CV &amp; Guardrail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Laplacian Variance Threshold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8.0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Detects edge texture. If Var(Laplacian) &lt; 8.0, rejects image as a blank wall, floor, or paper.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CV &amp; Guardrail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Human Skin Cr Chrominance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130 to 178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YCbCr Red-difference chrominance boundary for detecting human skin tones.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CV &amp; Guardrail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Human Skin Cb Chrominance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75 to 130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YCbCr Blue-difference chrominance boundary for human skin detection.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CV &amp; Guardrail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Human Skin Dominance Ratio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&gt; 12.0%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If skin coverage &gt; 12% and exceeds 50% of plant foliage, rejects as human subject.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CV &amp; Guardrail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Plant Foliage Hue Range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24 to 98 (HSV)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Encompasses healthy chlorophyll green, lime green, and early chlorotic yellow foliage.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CV &amp; Guardrail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Minimum Plant Foliage Ratio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10.0%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Images with &lt; 10% botanical foliage are rejected as non-plant objects (cars, rooms, animals).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CV &amp; Guardrail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Green Leaf Index (GLI)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(2G - R - B) / (2G + R + B)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Normalized green vegetative index. If GLI &lt; -0.05 and foliage is low, input is rejected.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Deep Learning Model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Base Architecture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MobileNetV2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Lightweight inverted residual architecture optimized for low-latency edge inference.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Deep Learning Model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Base Weights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ImageNet-1k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Pre-trained feature representations across 1.4M real-world images.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Deep Learning Model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Fine-Tuning Layers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Top 15 to 20 layers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Unfreezes the top 15-20 layers of MobileNetV2 during training for domain adaptation.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Deep Learning Model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Dense Head Unit 1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256 Neurons (ReLU)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Intermediate dense projection layer with L2 weight regularization (1e-4).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Deep Learning Model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Dropout Rate 1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0.35 (35%)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Prevents co-adaptation of features and guards against overfitting.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Deep Learning Model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Dense Head Unit 2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128 Neurons (ReLU)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Second dense projection layer for refining disease-specific visual representations.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Deep Learning Model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Dropout Rate 2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0.20 (20%)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Second regularization stage before probability projection.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Deep Learning Model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Output Layer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15 Neurons (Softmax)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Outputs probability distribution over the 15 supported crop disease classes.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Deep Learning Model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Learning Rate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1e-4 (0.0001)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Adam optimizer step size during transfer learning fine-tuning.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Deep Learning Model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Batch Size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32 (Training) / 1 (Inference)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Batch dimensions for GPU gradient estimation and single-image user requests.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Diagnostic Gate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High Confidence Tier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&gt;= 80.0%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Certain diagnosis: Full chemical, organic, and Knapsack spray prescriptions generated.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Diagnostic Gate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Moderate Confidence Tier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60.0% to 79.9%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Cross-verification recommended: Confirmatory symptoms listed for farmer verification.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Diagnostic Gate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Low / Rejection Tier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&lt; 60.0%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Clarification required: Flags ambiguity, suggests closer photo in natural sunlight.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Agronomic Dosage Engine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Water Application Volume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200 Liters / Acre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Standard agronomic high-volume foliar spray volume for field crops.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Agronomic Dosage Engine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Knapsack Tank Volume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15.0 Liters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Standard manual knapsack spray backpack used by smallholder farmers.</w:t>
            </w:r>
          </w:p>
        </w:tc>
      </w:tr>
      <w:tr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Agronomic Dosage Engine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Tank Count Equation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Ceil(Water / 15)</w:t>
            </w:r>
          </w:p>
        </w:tc>
        <w:tc>
          <w:tcPr>
            <w:tcW w:type="dxa" w:w="252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Rounds up to full tanks to prevent under-application of pesticide.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Agronomic Dosage Engine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PHI (Pre-Harvest Interval)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0 to 14 Days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Legally mandated waiting period between chemical application and harvesting food.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color w:val="1B5E20"/>
        </w:rPr>
        <w:t>6. The Softmax &amp; Out-of-Distribution (OOD) Phenomenon</w:t>
      </w:r>
    </w:p>
    <w:p>
      <w:r>
        <w:t>When an image of Wheat with Rust is uploaded, the system reported Pepper Bell — Bacterial Spot with 95.7% confidence. This occurs due to:</w:t>
        <w:br/>
        <w:br/>
        <w:t>1. Closed-World Softmax Assumption: The output layer forces probabilities across the 15 classes to sum to 100%. With no 'Wheat' neuron defined, the network cannot say 'This is Wheat'.</w:t>
        <w:br/>
        <w:t>2. Nearest Visual Neighbor: Wheat Rust produces orange-brown necrotic pustules on green plant tissue. In texture space, this is closest to Pepper Bacterial Spot scabs. Softmax exponentiation amplifies this into 95%+ confidence.</w:t>
        <w:br/>
        <w:t>3. Downstream Consequence: The system prescribes copper bactericides for peppers instead of triazole fungicides needed for wheat rust. This demonstrates why botanical crop pre-selection or multi-species retraining is vital.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color w:val="1B5E20"/>
        </w:rPr>
        <w:t>7. Step-by-Step Production Code Instructions</w:t>
      </w:r>
    </w:p>
    <w:p>
      <w:pPr>
        <w:pStyle w:val="Heading2"/>
      </w:pPr>
      <w:r>
        <w:rPr>
          <w:color w:val="2E7D32"/>
        </w:rPr>
        <w:t>A. Running Single-Image Python Diagnosis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12121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0F0F0"/>
                <w:sz w:val="17"/>
              </w:rPr>
              <w:t>from pathlib import Path</w:t>
              <w:br/>
              <w:t>from app.ml.inference import predict_crop_disease</w:t>
              <w:br/>
              <w:br/>
              <w:t># 1. Provide image path</w:t>
              <w:br/>
              <w:t>image_file = Path('data/samples/sample_tomato_early_blight.jpg')</w:t>
              <w:br/>
              <w:br/>
              <w:t># 2. Execute full pipeline (Guardrail -&gt; CLAHE -&gt; MobileNetV2 -&gt; Grad-CAM)</w:t>
              <w:br/>
              <w:t>result = predict_crop_disease(image_file, compute_gradcam=True)</w:t>
              <w:br/>
              <w:br/>
              <w:t>if not result['is_leaf']:</w:t>
              <w:br/>
              <w:t xml:space="preserve">    print(f'[REJECTED]: {result["advisory_message"]}')</w:t>
              <w:br/>
              <w:t>else:</w:t>
              <w:br/>
              <w:t xml:space="preserve">    print(f'Crop:       {result["crop"]}')</w:t>
              <w:br/>
              <w:t xml:space="preserve">    print(f'Disease:    {result["disease"]}')</w:t>
              <w:br/>
              <w:t xml:space="preserve">    print(f'Confidence: {result["confidence_percentage"]}% ({result["confidence_level"]})')</w:t>
              <w:br/>
              <w:t xml:space="preserve">    print('Top Predictions:')</w:t>
              <w:br/>
              <w:t xml:space="preserve">    for p in result['top_predictions']:</w:t>
              <w:br/>
              <w:t xml:space="preserve">        print(f' - #{p["rank"]} {p["crop"]} ({p["disease"]}) : {p["confidence_pct"]}')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2E7D32"/>
        </w:rPr>
        <w:t>B. Digital LCC Calculation Algorithm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12121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0F0F0"/>
                <w:sz w:val="17"/>
              </w:rPr>
              <w:t>import cv2</w:t>
              <w:br/>
              <w:t>import numpy as np</w:t>
              <w:br/>
              <w:t>from PIL import Image</w:t>
              <w:br/>
              <w:br/>
              <w:t>IRRI_LCC_LAB = {</w:t>
              <w:br/>
              <w:t xml:space="preserve">    1: (79.0, -21.0, 44.0),  # Panel 1: Pale Yellow-Green (Deficient)</w:t>
              <w:br/>
              <w:t xml:space="preserve">    2: (71.0, -26.0, 48.0),  # Panel 2: Yellowish-Green (Deficient)</w:t>
              <w:br/>
              <w:t xml:space="preserve">    3: (62.0, -30.0, 47.0),  # Panel 3: Light Green (Threshold)</w:t>
              <w:br/>
              <w:t xml:space="preserve">    4: (50.0, -32.0, 41.0),  # Panel 4: Vibrant Green (Optimal)</w:t>
              <w:br/>
              <w:t xml:space="preserve">    5: (37.0, -31.0, 33.0)   # Panel 5: Dark Forest Green (Excess)</w:t>
              <w:br/>
              <w:t>}</w:t>
              <w:br/>
              <w:br/>
              <w:t>def compute_digital_lcc(image: Image.Image) -&gt; dict:</w:t>
              <w:br/>
              <w:t xml:space="preserve">    img_np = np.array(image.convert('RGB'))</w:t>
              <w:br/>
              <w:t xml:space="preserve">    hsv = cv2.cvtColor(img_np, cv2.COLOR_RGB2HSV)</w:t>
              <w:br/>
              <w:t xml:space="preserve">    green_mask = (hsv[:,:,0] &gt;= 24) &amp; (hsv[:,:,0] &lt;= 98) &amp; (hsv[:,:,1] &gt;= 20)</w:t>
              <w:br/>
              <w:t xml:space="preserve">    if not np.any(green_mask):</w:t>
              <w:br/>
              <w:t xml:space="preserve">        return {'panel': 0, 'status': 'Unknown'}</w:t>
              <w:br/>
              <w:t xml:space="preserve">    lab = cv2.cvtColor(img_np, cv2.COLOR_RGB2LAB).astype(float)</w:t>
              <w:br/>
              <w:t xml:space="preserve">    mean_lab = [np.mean(lab[:,:,c][green_mask]) for c in range(3)]</w:t>
              <w:br/>
              <w:t xml:space="preserve">    best_panel = min(IRRI_LCC_LAB.keys(),</w:t>
              <w:br/>
              <w:t xml:space="preserve">                     key=lambda p: np.linalg.norm(np.array(mean_lab) - np.array(IRRI_LCC_LAB[p])))</w:t>
              <w:br/>
              <w:t xml:space="preserve">    return {'panel': best_panel, 'mean_lab': mean_lab}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