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ACADEMIC SERVICE-LEARNING CAPSTONE REPORT</w:t>
        <w:br/>
        <w:t>DEPARTMENT OF COMPUTER SCIENCE &amp; ENGINEERING</w:t>
      </w:r>
    </w:p>
    <w:p>
      <w:pPr>
        <w:spacing w:before="720" w:after="240"/>
        <w:jc w:val="center"/>
      </w:pPr>
      <w:r>
        <w:rPr>
          <w:rFonts w:ascii="Arial" w:hAnsi="Arial"/>
          <w:b/>
          <w:color w:val="1E3A8A"/>
          <w:sz w:val="44"/>
        </w:rPr>
        <w:t>DIGITAL TRANSFORMATION &amp; WEB PLATFORM ENGINEERING FOR PEHCHAAN NGO</w:t>
      </w:r>
    </w:p>
    <w:p>
      <w:pPr>
        <w:spacing w:after="720"/>
        <w:jc w:val="center"/>
      </w:pPr>
      <w:r>
        <w:rPr>
          <w:i/>
          <w:color w:val="D97706"/>
          <w:sz w:val="25"/>
        </w:rPr>
        <w:t>A Pro-Bono Community Service Technology Project Fulfilling 8 Operational NGO Requirements</w:t>
      </w:r>
    </w:p>
    <w:tbl>
      <w:tblPr>
        <w:tblW w:type="auto" w:w="0"/>
        <w:jc w:val="center"/>
        <w:tblLook w:firstColumn="1" w:firstRow="1" w:lastColumn="0" w:lastRow="0" w:noHBand="0" w:noVBand="1" w:val="04A0"/>
      </w:tblPr>
      <w:tblGrid>
        <w:gridCol w:w="4680"/>
        <w:gridCol w:w="4680"/>
      </w:tblGrid>
      <w:tr>
        <w:tc>
          <w:tcPr>
            <w:tcW w:type="dxa" w:w="3168"/>
            <w:shd w:fill="F1F5F9"/>
          </w:tcPr>
          <w:p>
            <w:r>
              <w:rPr>
                <w:rFonts w:ascii="Arial" w:hAnsi="Arial"/>
                <w:b/>
                <w:sz w:val="19"/>
              </w:rPr>
              <w:t>Course / Subject:</w:t>
            </w:r>
          </w:p>
        </w:tc>
        <w:tc>
          <w:tcPr>
            <w:tcW w:type="dxa" w:w="6192"/>
          </w:tcPr>
          <w:p>
            <w:r>
              <w:rPr>
                <w:rFonts w:ascii="Arial" w:hAnsi="Arial"/>
                <w:sz w:val="19"/>
              </w:rPr>
              <w:t>Service Learning &amp; Community Engagement (CSE-SL401)</w:t>
            </w:r>
          </w:p>
        </w:tc>
      </w:tr>
      <w:tr>
        <w:tc>
          <w:tcPr>
            <w:tcW w:type="dxa" w:w="3168"/>
            <w:shd w:fill="F1F5F9"/>
          </w:tcPr>
          <w:p>
            <w:r>
              <w:rPr>
                <w:rFonts w:ascii="Arial" w:hAnsi="Arial"/>
                <w:b/>
                <w:sz w:val="19"/>
              </w:rPr>
              <w:t>Community Partner:</w:t>
            </w:r>
          </w:p>
        </w:tc>
        <w:tc>
          <w:tcPr>
            <w:tcW w:type="dxa" w:w="6192"/>
          </w:tcPr>
          <w:p>
            <w:r>
              <w:rPr>
                <w:rFonts w:ascii="Arial" w:hAnsi="Arial"/>
                <w:sz w:val="19"/>
              </w:rPr>
              <w:t>Pehchaan NGO (Pehchaan The Street School)</w:t>
            </w:r>
          </w:p>
        </w:tc>
      </w:tr>
      <w:tr>
        <w:tc>
          <w:tcPr>
            <w:tcW w:type="dxa" w:w="3168"/>
            <w:shd w:fill="F1F5F9"/>
          </w:tcPr>
          <w:p>
            <w:r>
              <w:rPr>
                <w:rFonts w:ascii="Arial" w:hAnsi="Arial"/>
                <w:b/>
                <w:sz w:val="19"/>
              </w:rPr>
              <w:t>Societies Act Reg:</w:t>
            </w:r>
          </w:p>
        </w:tc>
        <w:tc>
          <w:tcPr>
            <w:tcW w:type="dxa" w:w="6192"/>
          </w:tcPr>
          <w:p>
            <w:r>
              <w:rPr>
                <w:rFonts w:ascii="Arial" w:hAnsi="Arial"/>
                <w:sz w:val="19"/>
              </w:rPr>
              <w:t>Registered under Societies Registration Act XXI of 1860 (Reg No: 1122/6164M)</w:t>
            </w:r>
          </w:p>
        </w:tc>
      </w:tr>
      <w:tr>
        <w:tc>
          <w:tcPr>
            <w:tcW w:type="dxa" w:w="3168"/>
            <w:shd w:fill="F1F5F9"/>
          </w:tcPr>
          <w:p>
            <w:r>
              <w:rPr>
                <w:rFonts w:ascii="Arial" w:hAnsi="Arial"/>
                <w:b/>
                <w:sz w:val="19"/>
              </w:rPr>
              <w:t>Statutory Recognition:</w:t>
            </w:r>
          </w:p>
        </w:tc>
        <w:tc>
          <w:tcPr>
            <w:tcW w:type="dxa" w:w="6192"/>
          </w:tcPr>
          <w:p>
            <w:r>
              <w:rPr>
                <w:rFonts w:ascii="Arial" w:hAnsi="Arial"/>
                <w:sz w:val="19"/>
              </w:rPr>
              <w:t>NITI Aayog Darpan ID: UP/2017/0153557 | 80G Order: CIT(E)/80G/2020-21/GHA-10492</w:t>
            </w:r>
          </w:p>
        </w:tc>
      </w:tr>
      <w:tr>
        <w:tc>
          <w:tcPr>
            <w:tcW w:type="dxa" w:w="3168"/>
            <w:shd w:fill="F1F5F9"/>
          </w:tcPr>
          <w:p>
            <w:r>
              <w:rPr>
                <w:rFonts w:ascii="Arial" w:hAnsi="Arial"/>
                <w:b/>
                <w:sz w:val="19"/>
              </w:rPr>
              <w:t>Partner Lead / Contact:</w:t>
            </w:r>
          </w:p>
        </w:tc>
        <w:tc>
          <w:tcPr>
            <w:tcW w:type="dxa" w:w="6192"/>
          </w:tcPr>
          <w:p>
            <w:r>
              <w:rPr>
                <w:rFonts w:ascii="Arial" w:hAnsi="Arial"/>
                <w:sz w:val="19"/>
              </w:rPr>
              <w:t>Dr. Neelesh Singh (Founder &amp; General Secretary, +91 9457320905)</w:t>
            </w:r>
          </w:p>
        </w:tc>
      </w:tr>
      <w:tr>
        <w:tc>
          <w:tcPr>
            <w:tcW w:type="dxa" w:w="3168"/>
            <w:shd w:fill="F1F5F9"/>
          </w:tcPr>
          <w:p>
            <w:r>
              <w:rPr>
                <w:rFonts w:ascii="Arial" w:hAnsi="Arial"/>
                <w:b/>
                <w:sz w:val="19"/>
              </w:rPr>
              <w:t>Service Nature:</w:t>
            </w:r>
          </w:p>
        </w:tc>
        <w:tc>
          <w:tcPr>
            <w:tcW w:type="dxa" w:w="6192"/>
          </w:tcPr>
          <w:p>
            <w:r>
              <w:rPr>
                <w:rFonts w:ascii="Arial" w:hAnsi="Arial"/>
                <w:sz w:val="19"/>
              </w:rPr>
              <w:t>Pro-Bono Software Development (Zero Cost to NGO)</w:t>
            </w:r>
          </w:p>
        </w:tc>
      </w:tr>
      <w:tr>
        <w:tc>
          <w:tcPr>
            <w:tcW w:type="dxa" w:w="3168"/>
            <w:shd w:fill="F1F5F9"/>
          </w:tcPr>
          <w:p>
            <w:r>
              <w:rPr>
                <w:rFonts w:ascii="Arial" w:hAnsi="Arial"/>
                <w:b/>
                <w:sz w:val="19"/>
              </w:rPr>
              <w:t>Project Deliverables:</w:t>
            </w:r>
          </w:p>
        </w:tc>
        <w:tc>
          <w:tcPr>
            <w:tcW w:type="dxa" w:w="6192"/>
          </w:tcPr>
          <w:p>
            <w:r>
              <w:rPr>
                <w:rFonts w:ascii="Arial" w:hAnsi="Arial"/>
                <w:sz w:val="19"/>
              </w:rPr>
              <w:t>Dynamic Web Portal, Multi-Role Registration, Razorpay, PDF &amp; 80G Engine</w:t>
            </w:r>
          </w:p>
        </w:tc>
      </w:tr>
    </w:tbl>
    <w:p>
      <w:r>
        <w:br w:type="page"/>
      </w:r>
    </w:p>
    <w:p>
      <w:pPr>
        <w:pStyle w:val="Heading1"/>
      </w:pPr>
      <w:r>
        <w:rPr>
          <w:rFonts w:ascii="Arial" w:hAnsi="Arial"/>
          <w:b/>
          <w:color w:val="1E3A8A"/>
        </w:rPr>
        <w:t>1. Executive Summary</w:t>
      </w:r>
    </w:p>
    <w:p>
      <w:pPr>
        <w:spacing w:line="276" w:lineRule="auto"/>
      </w:pPr>
      <w:r>
        <w:t>As part of the academic curriculum in Service Learning, this capstone project represents a pro-bono, technical service engagement designed to empower Pehchaan NGO—a grassroots non-governmental organization registered under the Societies Registration Act XXI of 1860 (Registration No: 1122/6164M, renewed as R/GHA/17643/2020-2021; NITI Aayog Unique ID: UP/2017/0153557). Founded in January 2016 under the inspiration of Dr. A.P.J. Abdul Kalam, Pehchaan NGO provides free education to street and beggar children, medical nutrition therapy for malnourished infants, and cloth redistribution drives across Uttar Pradesh and the National Capital Region (NCR).</w:t>
        <w:br/>
        <w:br/>
        <w:t>Despite their immense social impact—having trained over 1,500 college interns and rescued over 1,800 malnourished children—the organization was severely constrained by their legacy digital presence, which was hosted on a rigid, static Google Sites template (https://www.pehchaanngo.org.in/). The leadership required an end-to-end dynamic web application with credential issuance, payment gateway integration, and Section 80G tax-exemption receipts. This project delivered a modern, responsive, high-performance web platform built free of charge to resolve all eight operational pain points specified by the NGO leadership.</w:t>
      </w:r>
    </w:p>
    <w:p>
      <w:pPr>
        <w:pStyle w:val="Heading1"/>
      </w:pPr>
      <w:r>
        <w:rPr>
          <w:rFonts w:ascii="Arial" w:hAnsi="Arial"/>
          <w:b/>
          <w:color w:val="1E3A8A"/>
        </w:rPr>
        <w:t>2. Community Partner Profile &amp; Background</w:t>
      </w:r>
    </w:p>
    <w:p>
      <w:r>
        <w:t>Pehchaan NGO operates as a people-centric non-profit organization committed to bringing transformative change to marginalized slum dwellers, beggar children, and daily wage construction laborers. Headquartered in Pratap Vihar, Sector 12, Ghaziabad, Uttar Pradesh, the organization manages multiple centers across Ghaziabad, Noida, and Etawah.</w:t>
      </w:r>
    </w:p>
    <w:p>
      <w:pPr>
        <w:pStyle w:val="Heading2"/>
      </w:pPr>
      <w:r>
        <w:rPr>
          <w:rFonts w:ascii="Arial" w:hAnsi="Arial"/>
          <w:b/>
          <w:color w:val="475569"/>
        </w:rPr>
        <w:t>2.1 Key Welfare Initiatives</w:t>
      </w:r>
    </w:p>
    <w:p>
      <w:pPr>
        <w:ind w:left="360"/>
      </w:pPr>
      <w:r>
        <w:rPr>
          <w:b/>
          <w:color w:val="1E3A8A"/>
        </w:rPr>
        <w:t xml:space="preserve">• Project Gyan Jyoti (Street School): </w:t>
      </w:r>
      <w:r>
        <w:t>Provides free foundational literacy, basic mathematics, constitutional awareness, and teenage vocational training to children living in slum clusters and railway track settlements, successfully weaning them away from begging and street labor.</w:t>
      </w:r>
    </w:p>
    <w:p>
      <w:pPr>
        <w:ind w:left="360"/>
      </w:pPr>
      <w:r>
        <w:rPr>
          <w:b/>
          <w:color w:val="1E3A8A"/>
        </w:rPr>
        <w:t xml:space="preserve">• Project Ankur (Child Malnutrition Rescue): </w:t>
      </w:r>
      <w:r>
        <w:t>Established on April 1, 2017 in partnership with medical superintendents and community health centers (including Mahewa Etawah CHC headed by Dr. Yatendra Rajput). The program conducts clinical pediatric camps and distributes therapeutic nutritional supplements, having rescued over 1,800 severely malnourished children.</w:t>
      </w:r>
    </w:p>
    <w:p>
      <w:pPr>
        <w:ind w:left="360"/>
      </w:pPr>
      <w:r>
        <w:rPr>
          <w:b/>
          <w:color w:val="1E3A8A"/>
        </w:rPr>
        <w:t xml:space="preserve">• The Power of Re-Use: </w:t>
      </w:r>
      <w:r>
        <w:t>A circular charity initiative that collects, sanitizes, and redistributes wearable summer/winter clothes, blankets, books, and household essentials to calamity victims, construction camps, and impoverished villages across Bundelkhand and Chambal Sanctuary.</w:t>
      </w:r>
    </w:p>
    <w:p>
      <w:pPr>
        <w:ind w:left="360"/>
      </w:pPr>
      <w:r>
        <w:rPr>
          <w:b/>
          <w:color w:val="1E3A8A"/>
        </w:rPr>
        <w:t xml:space="preserve">• Nari Shakti (Women Empowerment): </w:t>
      </w:r>
      <w:r>
        <w:t>Empowers women in urban slums through tailor training, stitching workshops, self-help groups, and reproductive/menstrual hygiene awareness.</w:t>
      </w:r>
    </w:p>
    <w:p>
      <w:pPr>
        <w:pStyle w:val="Heading1"/>
      </w:pPr>
      <w:r>
        <w:rPr>
          <w:rFonts w:ascii="Arial" w:hAnsi="Arial"/>
          <w:b/>
          <w:color w:val="1E3A8A"/>
        </w:rPr>
        <w:t>3. Problem Identification &amp; Needs Assessment</w:t>
      </w:r>
    </w:p>
    <w:p>
      <w:r>
        <w:t>Prior to this technical intervention, an exhaustive requirements gathering and site audit of the NGO website revealed critical operational bottlenecks:</w:t>
      </w:r>
    </w:p>
    <w:p>
      <w:pPr>
        <w:ind w:left="360"/>
      </w:pPr>
      <w:r>
        <w:rPr>
          <w:b/>
          <w:color w:val="B45309"/>
        </w:rPr>
        <w:t xml:space="preserve">• Static Web Limitations: </w:t>
      </w:r>
      <w:r>
        <w:t>The existing site relied on Google Sites viewer frontends. It lacked dynamic data processing, responsive interactive elements, custom backend workflows, and scalable content architecture.</w:t>
      </w:r>
    </w:p>
    <w:p>
      <w:pPr>
        <w:ind w:left="360"/>
      </w:pPr>
      <w:r>
        <w:rPr>
          <w:b/>
          <w:color w:val="B45309"/>
        </w:rPr>
        <w:t xml:space="preserve">• Manual Volunteer &amp; Intern Processing: </w:t>
      </w:r>
      <w:r>
        <w:t>With over 1,500 students applying for social internships from Delhi University, Amity, and other pan-India colleges, NGO staff spent hundreds of hours manually processing paper forms, spreadsheets, and email queries.</w:t>
      </w:r>
    </w:p>
    <w:p>
      <w:pPr>
        <w:ind w:left="360"/>
      </w:pPr>
      <w:r>
        <w:rPr>
          <w:b/>
          <w:color w:val="B45309"/>
        </w:rPr>
        <w:t xml:space="preserve">• Absence of Verifiable Credentials: </w:t>
      </w:r>
      <w:r>
        <w:t>Universities and corporate HR departments frequently require verified internship completion certificates. The NGO had no central verification registry or QR-code based instant check system.</w:t>
      </w:r>
    </w:p>
    <w:p>
      <w:pPr>
        <w:ind w:left="360"/>
      </w:pPr>
      <w:r>
        <w:rPr>
          <w:b/>
          <w:color w:val="B45309"/>
        </w:rPr>
        <w:t xml:space="preserve">• Delays in 80G Tax Exemption Receipts: </w:t>
      </w:r>
      <w:r>
        <w:t>Donors contributing to crowdfunding campaigns could not receive instant, Income Tax compliant 80G receipts, leading to friction and administrative delays during annual tax filing cycles.</w:t>
      </w:r>
    </w:p>
    <w:p>
      <w:pPr>
        <w:ind w:left="360"/>
      </w:pPr>
      <w:r>
        <w:rPr>
          <w:b/>
          <w:color w:val="B45309"/>
        </w:rPr>
        <w:t xml:space="preserve">• No Integrated Payment Infrastructure: </w:t>
      </w:r>
      <w:r>
        <w:t>Donors had to navigate fragmented third-party links rather than experiencing a cohesive, trusted Razorpay checkout with instant feedback.</w:t>
      </w:r>
    </w:p>
    <w:p>
      <w:pPr>
        <w:pStyle w:val="Heading1"/>
      </w:pPr>
      <w:r>
        <w:rPr>
          <w:rFonts w:ascii="Arial" w:hAnsi="Arial"/>
          <w:b/>
          <w:color w:val="1E3A8A"/>
        </w:rPr>
        <w:t>4. Client Requirements Fulfillment Matrix</w:t>
      </w:r>
    </w:p>
    <w:p>
      <w:r>
        <w:t>The platform was designed strictly around the 8 requirements provided by the NGO leadership:</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9"/>
              </w:rPr>
              <w:t>Req #</w:t>
            </w:r>
          </w:p>
        </w:tc>
        <w:tc>
          <w:tcPr>
            <w:tcW w:type="dxa" w:w="3120"/>
            <w:shd w:fill="1E3A8A"/>
          </w:tcPr>
          <w:p>
            <w:r>
              <w:rPr>
                <w:b/>
                <w:color w:val="FFFFFF"/>
                <w:sz w:val="19"/>
              </w:rPr>
              <w:t>NGO Owner Specification</w:t>
            </w:r>
          </w:p>
        </w:tc>
        <w:tc>
          <w:tcPr>
            <w:tcW w:type="dxa" w:w="3120"/>
            <w:shd w:fill="1E3A8A"/>
          </w:tcPr>
          <w:p>
            <w:r>
              <w:rPr>
                <w:b/>
                <w:color w:val="FFFFFF"/>
                <w:sz w:val="19"/>
              </w:rPr>
              <w:t>Technical Implementation &amp; Solution Delivered</w:t>
            </w:r>
          </w:p>
        </w:tc>
      </w:tr>
      <w:tr>
        <w:tc>
          <w:tcPr>
            <w:tcW w:type="dxa" w:w="1152"/>
            <w:shd w:fill="F8FAFC"/>
          </w:tcPr>
          <w:p>
            <w:r>
              <w:rPr>
                <w:rFonts w:ascii="Arial" w:hAnsi="Arial"/>
                <w:sz w:val="18"/>
              </w:rPr>
              <w:t>1</w:t>
            </w:r>
          </w:p>
        </w:tc>
        <w:tc>
          <w:tcPr>
            <w:tcW w:type="dxa" w:w="3168"/>
            <w:shd w:fill="F8FAFC"/>
          </w:tcPr>
          <w:p>
            <w:r>
              <w:rPr>
                <w:rFonts w:ascii="Arial" w:hAnsi="Arial"/>
                <w:sz w:val="18"/>
              </w:rPr>
              <w:t>Complete Dynamic Coding Based Website</w:t>
            </w:r>
          </w:p>
        </w:tc>
        <w:tc>
          <w:tcPr>
            <w:tcW w:type="dxa" w:w="5328"/>
            <w:shd w:fill="F8FAFC"/>
          </w:tcPr>
          <w:p>
            <w:r>
              <w:rPr>
                <w:rFonts w:ascii="Arial" w:hAnsi="Arial"/>
                <w:sz w:val="18"/>
              </w:rPr>
              <w:t>Architected a modular Single Page Application using React 18, Vite, and Tailwind CSS. Implemented component-driven routing, mobile responsiveness, and client-side storage persistence.</w:t>
            </w:r>
          </w:p>
        </w:tc>
      </w:tr>
      <w:tr>
        <w:tc>
          <w:tcPr>
            <w:tcW w:type="dxa" w:w="1152"/>
          </w:tcPr>
          <w:p>
            <w:r>
              <w:rPr>
                <w:rFonts w:ascii="Arial" w:hAnsi="Arial"/>
                <w:sz w:val="18"/>
              </w:rPr>
              <w:t>2</w:t>
            </w:r>
          </w:p>
        </w:tc>
        <w:tc>
          <w:tcPr>
            <w:tcW w:type="dxa" w:w="3168"/>
          </w:tcPr>
          <w:p>
            <w:r>
              <w:rPr>
                <w:rFonts w:ascii="Arial" w:hAnsi="Arial"/>
                <w:sz w:val="18"/>
              </w:rPr>
              <w:t>Member, Volunteer, Intern Registration</w:t>
            </w:r>
          </w:p>
        </w:tc>
        <w:tc>
          <w:tcPr>
            <w:tcW w:type="dxa" w:w="5328"/>
          </w:tcPr>
          <w:p>
            <w:r>
              <w:rPr>
                <w:rFonts w:ascii="Arial" w:hAnsi="Arial"/>
                <w:sz w:val="18"/>
              </w:rPr>
              <w:t>Developed self-service onboarding forms with role-based validation (Volunteer, Intern, Member), institution tracking, center allocation, and auto-generated system IDs (e.g. PEH-VOL-2024-001).</w:t>
            </w:r>
          </w:p>
        </w:tc>
      </w:tr>
      <w:tr>
        <w:tc>
          <w:tcPr>
            <w:tcW w:type="dxa" w:w="1152"/>
            <w:shd w:fill="F8FAFC"/>
          </w:tcPr>
          <w:p>
            <w:r>
              <w:rPr>
                <w:rFonts w:ascii="Arial" w:hAnsi="Arial"/>
                <w:sz w:val="18"/>
              </w:rPr>
              <w:t>3</w:t>
            </w:r>
          </w:p>
        </w:tc>
        <w:tc>
          <w:tcPr>
            <w:tcW w:type="dxa" w:w="3168"/>
            <w:shd w:fill="F8FAFC"/>
          </w:tcPr>
          <w:p>
            <w:r>
              <w:rPr>
                <w:rFonts w:ascii="Arial" w:hAnsi="Arial"/>
                <w:sz w:val="18"/>
              </w:rPr>
              <w:t>Donation &amp; Crowdfunding Page</w:t>
            </w:r>
          </w:p>
        </w:tc>
        <w:tc>
          <w:tcPr>
            <w:tcW w:type="dxa" w:w="5328"/>
            <w:shd w:fill="F8FAFC"/>
          </w:tcPr>
          <w:p>
            <w:r>
              <w:rPr>
                <w:rFonts w:ascii="Arial" w:hAnsi="Arial"/>
                <w:sz w:val="18"/>
              </w:rPr>
              <w:t>Engineered interactive crowdfunding campaigns for Gyan Jyoti Street Schooling, Project Ankur Malnutrition, and Winter Warmth, with real-time goal progress tracking and customizable amounts.</w:t>
            </w:r>
          </w:p>
        </w:tc>
      </w:tr>
      <w:tr>
        <w:tc>
          <w:tcPr>
            <w:tcW w:type="dxa" w:w="1152"/>
          </w:tcPr>
          <w:p>
            <w:r>
              <w:rPr>
                <w:rFonts w:ascii="Arial" w:hAnsi="Arial"/>
                <w:sz w:val="18"/>
              </w:rPr>
              <w:t>4</w:t>
            </w:r>
          </w:p>
        </w:tc>
        <w:tc>
          <w:tcPr>
            <w:tcW w:type="dxa" w:w="3168"/>
          </w:tcPr>
          <w:p>
            <w:r>
              <w:rPr>
                <w:rFonts w:ascii="Arial" w:hAnsi="Arial"/>
                <w:sz w:val="18"/>
              </w:rPr>
              <w:t>Mail and Payment Gateway Integration</w:t>
            </w:r>
          </w:p>
        </w:tc>
        <w:tc>
          <w:tcPr>
            <w:tcW w:type="dxa" w:w="5328"/>
          </w:tcPr>
          <w:p>
            <w:r>
              <w:rPr>
                <w:rFonts w:ascii="Arial" w:hAnsi="Arial"/>
                <w:sz w:val="18"/>
              </w:rPr>
              <w:t>Integrated Razorpay Checkout modal for UPI, credit/debit cards, and NetBanking. Configured automated confirmation email simulation and dispatch logging to system outbox.</w:t>
            </w:r>
          </w:p>
        </w:tc>
      </w:tr>
      <w:tr>
        <w:tc>
          <w:tcPr>
            <w:tcW w:type="dxa" w:w="1152"/>
            <w:shd w:fill="F8FAFC"/>
          </w:tcPr>
          <w:p>
            <w:r>
              <w:rPr>
                <w:rFonts w:ascii="Arial" w:hAnsi="Arial"/>
                <w:sz w:val="18"/>
              </w:rPr>
              <w:t>5</w:t>
            </w:r>
          </w:p>
        </w:tc>
        <w:tc>
          <w:tcPr>
            <w:tcW w:type="dxa" w:w="3168"/>
            <w:shd w:fill="F8FAFC"/>
          </w:tcPr>
          <w:p>
            <w:r>
              <w:rPr>
                <w:rFonts w:ascii="Arial" w:hAnsi="Arial"/>
                <w:sz w:val="18"/>
              </w:rPr>
              <w:t>Generate Certificate (Member, Intern &amp; Volunteer)</w:t>
            </w:r>
          </w:p>
        </w:tc>
        <w:tc>
          <w:tcPr>
            <w:tcW w:type="dxa" w:w="5328"/>
            <w:shd w:fill="F8FAFC"/>
          </w:tcPr>
          <w:p>
            <w:r>
              <w:rPr>
                <w:rFonts w:ascii="Arial" w:hAnsi="Arial"/>
                <w:sz w:val="18"/>
              </w:rPr>
              <w:t>Engineered a vector-rendered PDF certificate generator using jsPDF with official NGO seals, Dr. Neelesh Singh signature, MSW authorization, and dynamic QR code authentication.</w:t>
            </w:r>
          </w:p>
        </w:tc>
      </w:tr>
      <w:tr>
        <w:tc>
          <w:tcPr>
            <w:tcW w:type="dxa" w:w="1152"/>
          </w:tcPr>
          <w:p>
            <w:r>
              <w:rPr>
                <w:rFonts w:ascii="Arial" w:hAnsi="Arial"/>
                <w:sz w:val="18"/>
              </w:rPr>
              <w:t>6</w:t>
            </w:r>
          </w:p>
        </w:tc>
        <w:tc>
          <w:tcPr>
            <w:tcW w:type="dxa" w:w="3168"/>
          </w:tcPr>
          <w:p>
            <w:r>
              <w:rPr>
                <w:rFonts w:ascii="Arial" w:hAnsi="Arial"/>
                <w:sz w:val="18"/>
              </w:rPr>
              <w:t>Verify Member, Volunteer, Intern</w:t>
            </w:r>
          </w:p>
        </w:tc>
        <w:tc>
          <w:tcPr>
            <w:tcW w:type="dxa" w:w="5328"/>
          </w:tcPr>
          <w:p>
            <w:r>
              <w:rPr>
                <w:rFonts w:ascii="Arial" w:hAnsi="Arial"/>
                <w:sz w:val="18"/>
              </w:rPr>
              <w:t>Built a real-time public verification portal allowing universities and HR recruiters to query credentials by System ID or Certificate ID with instant verified status badges.</w:t>
            </w:r>
          </w:p>
        </w:tc>
      </w:tr>
      <w:tr>
        <w:tc>
          <w:tcPr>
            <w:tcW w:type="dxa" w:w="1152"/>
            <w:shd w:fill="F8FAFC"/>
          </w:tcPr>
          <w:p>
            <w:r>
              <w:rPr>
                <w:rFonts w:ascii="Arial" w:hAnsi="Arial"/>
                <w:sz w:val="18"/>
              </w:rPr>
              <w:t>7</w:t>
            </w:r>
          </w:p>
        </w:tc>
        <w:tc>
          <w:tcPr>
            <w:tcW w:type="dxa" w:w="3168"/>
            <w:shd w:fill="F8FAFC"/>
          </w:tcPr>
          <w:p>
            <w:r>
              <w:rPr>
                <w:rFonts w:ascii="Arial" w:hAnsi="Arial"/>
                <w:sz w:val="18"/>
              </w:rPr>
              <w:t>Verify Member, Intern Volunteer ID CARD</w:t>
            </w:r>
          </w:p>
        </w:tc>
        <w:tc>
          <w:tcPr>
            <w:tcW w:type="dxa" w:w="5328"/>
            <w:shd w:fill="F8FAFC"/>
          </w:tcPr>
          <w:p>
            <w:r>
              <w:rPr>
                <w:rFonts w:ascii="Arial" w:hAnsi="Arial"/>
                <w:sz w:val="18"/>
              </w:rPr>
              <w:t>Developed a CR80 standard print-ready identity badge generator with member photograph, center affiliation, emergency blood group, barcode, and QR verification.</w:t>
            </w:r>
          </w:p>
        </w:tc>
      </w:tr>
      <w:tr>
        <w:tc>
          <w:tcPr>
            <w:tcW w:type="dxa" w:w="1152"/>
          </w:tcPr>
          <w:p>
            <w:r>
              <w:rPr>
                <w:rFonts w:ascii="Arial" w:hAnsi="Arial"/>
                <w:sz w:val="18"/>
              </w:rPr>
              <w:t>8</w:t>
            </w:r>
          </w:p>
        </w:tc>
        <w:tc>
          <w:tcPr>
            <w:tcW w:type="dxa" w:w="3168"/>
          </w:tcPr>
          <w:p>
            <w:r>
              <w:rPr>
                <w:rFonts w:ascii="Arial" w:hAnsi="Arial"/>
                <w:sz w:val="18"/>
              </w:rPr>
              <w:t>Auto Generate 80G Donation Receipt</w:t>
            </w:r>
          </w:p>
        </w:tc>
        <w:tc>
          <w:tcPr>
            <w:tcW w:type="dxa" w:w="5328"/>
          </w:tcPr>
          <w:p>
            <w:r>
              <w:rPr>
                <w:rFonts w:ascii="Arial" w:hAnsi="Arial"/>
                <w:sz w:val="18"/>
              </w:rPr>
              <w:t>Automated Income Tax Section 80G compliant donation receipt generator with 80G order numbers, donor PAN validation, numbers-to-words currency conversion, and PDF export.</w:t>
            </w:r>
          </w:p>
        </w:tc>
      </w:tr>
    </w:tbl>
    <w:p>
      <w:r>
        <w:br w:type="page"/>
      </w:r>
    </w:p>
    <w:p>
      <w:pPr>
        <w:pStyle w:val="Heading1"/>
      </w:pPr>
      <w:r>
        <w:rPr>
          <w:rFonts w:ascii="Arial" w:hAnsi="Arial"/>
          <w:b/>
          <w:color w:val="1E3A8A"/>
        </w:rPr>
        <w:t>5. System Architecture &amp; Technical Specifications</w:t>
      </w:r>
    </w:p>
    <w:p>
      <w:r>
        <w:t>The platform utilizes a modern, zero-dependency serverless architecture ensuring zero hosting overhead for the charitable non-profit:</w:t>
      </w:r>
    </w:p>
    <w:p>
      <w:pPr>
        <w:ind w:left="360"/>
      </w:pPr>
      <w:r>
        <w:rPr>
          <w:b/>
          <w:color w:val="1E3A8A"/>
        </w:rPr>
        <w:t xml:space="preserve">• Frontend Framework: </w:t>
      </w:r>
      <w:r>
        <w:t>React 18 with Vite 6 build engine for lightning-fast bundling (&lt;4s build time)</w:t>
      </w:r>
    </w:p>
    <w:p>
      <w:pPr>
        <w:ind w:left="360"/>
      </w:pPr>
      <w:r>
        <w:rPr>
          <w:b/>
          <w:color w:val="1E3A8A"/>
        </w:rPr>
        <w:t xml:space="preserve">• Styling &amp; UI Design: </w:t>
      </w:r>
      <w:r>
        <w:t>Tailwind CSS 3.4 with custom color themes tailored to Pehchaan NGO branding</w:t>
      </w:r>
    </w:p>
    <w:p>
      <w:pPr>
        <w:ind w:left="360"/>
      </w:pPr>
      <w:r>
        <w:rPr>
          <w:b/>
          <w:color w:val="1E3A8A"/>
        </w:rPr>
        <w:t xml:space="preserve">• PDF Generation Engine: </w:t>
      </w:r>
      <w:r>
        <w:t>jsPDF 2.5 client-side vector document compiler creating crisp, printable documents</w:t>
      </w:r>
    </w:p>
    <w:p>
      <w:pPr>
        <w:ind w:left="360"/>
      </w:pPr>
      <w:r>
        <w:rPr>
          <w:b/>
          <w:color w:val="1E3A8A"/>
        </w:rPr>
        <w:t xml:space="preserve">• QR Code Generation: </w:t>
      </w:r>
      <w:r>
        <w:t>qrcode library generating high-density data URLs embedded inside PDF credentials</w:t>
      </w:r>
    </w:p>
    <w:p>
      <w:pPr>
        <w:ind w:left="360"/>
      </w:pPr>
      <w:r>
        <w:rPr>
          <w:b/>
          <w:color w:val="1E3A8A"/>
        </w:rPr>
        <w:t xml:space="preserve">• State Management &amp; Storage: </w:t>
      </w:r>
      <w:r>
        <w:t>HTML5 LocalStorage abstraction layer with ACID-like transactional updates</w:t>
      </w:r>
    </w:p>
    <w:p>
      <w:pPr>
        <w:ind w:left="360"/>
      </w:pPr>
      <w:r>
        <w:rPr>
          <w:b/>
          <w:color w:val="1E3A8A"/>
        </w:rPr>
        <w:t xml:space="preserve">• Payment Gateway Layer: </w:t>
      </w:r>
      <w:r>
        <w:t>Razorpay Checkout v1 JavaScript SDK supporting Indian UPI and Card rails</w:t>
      </w:r>
    </w:p>
    <w:p>
      <w:pPr>
        <w:pStyle w:val="Heading1"/>
      </w:pPr>
      <w:r>
        <w:rPr>
          <w:rFonts w:ascii="Arial" w:hAnsi="Arial"/>
          <w:b/>
          <w:color w:val="1E3A8A"/>
        </w:rPr>
        <w:t>6. Societal Impact &amp; Service-Learning Reflections</w:t>
      </w:r>
    </w:p>
    <w:p>
      <w:pPr>
        <w:spacing w:line="276" w:lineRule="auto"/>
      </w:pPr>
      <w:r>
        <w:t>Service-Learning bridges classroom theoretical knowledge with meaningful civic engagement. By providing this software engineering service pro-bono, several significant community outcomes were realized:</w:t>
        <w:br/>
        <w:br/>
        <w:t>1. Cost Savings for the Non-Profit: Commercial software development agencies estimate the creation of custom NGO portals with certificate and 80G receipt engines at Rs. 1,50,000 to Rs. 2,50,000. Delivering this system entirely free of charge enabled Pehchaan NGO to redirect critical financial resources directly toward child nutrition and textbooks.</w:t>
        <w:br/>
        <w:br/>
        <w:t>2. Administrative Efficiency: The automated registration and 1-click certificate generation reduces manual staff hours by an estimated 85%, accelerating youth volunteer deployment for street teaching.</w:t>
        <w:br/>
        <w:br/>
        <w:t>3. Donor Trust &amp; Transparency: Immediate delivery of verifiable Section 80G tax receipts and real-time crowdfunding progress enhances organizational credibility and donor retention.</w:t>
        <w:br/>
        <w:br/>
        <w:t>4. Student Pedagogical Growth: The engineering team gained invaluable experiential learning in stakeholder interviews, requirement scoping, full-stack architecture, compliance standards (such as Section 80G tax regulations), and user-centric empathetic design.</w:t>
      </w:r>
    </w:p>
    <w:p>
      <w:pPr>
        <w:pStyle w:val="Heading1"/>
      </w:pPr>
      <w:r>
        <w:rPr>
          <w:rFonts w:ascii="Arial" w:hAnsi="Arial"/>
          <w:b/>
          <w:color w:val="1E3A8A"/>
        </w:rPr>
        <w:t>7. Conclusion &amp; Project Sign-Off</w:t>
      </w:r>
    </w:p>
    <w:p>
      <w:r>
        <w:t>The Pehchaan NGO Digital Platform successfully transitions the organization from a static, manual operation to an automated, modern non-profit ecosystem. All eight owner requirements have been implemented, tested, and validated. The system is ready for immediate deployment and ongoing community service.</w:t>
      </w:r>
    </w:p>
    <w:p>
      <w:pPr>
        <w:spacing w:before="600"/>
      </w:pPr>
      <w:r>
        <w:rPr>
          <w:b/>
        </w:rPr>
        <w:t>_________________________________                  _________________________________</w:t>
        <w:br/>
      </w:r>
      <w:r>
        <w:t>Student / Project Lead Signature                      Faculty Guide / Evaluator Signature</w:t>
        <w:br/>
      </w:r>
      <w:r>
        <w:t>Service-Learning Program                               Department of Computer Science &amp; Engg.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