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>
        <w:t>Prepared by: Vaibhav Singh</w:t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15 September 2026</w:t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Not specified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Global AI Adoption in Education: A Comprehensive Global Analysis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52938" cy="20785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single"/>
          <w:shd w:fill="auto" w:val="clear"/>
          <w:vertAlign w:val="baseline"/>
          <w:rtl w:val="0"/>
        </w:rPr>
        <w:t xml:space="preserve">https://miro.com/templates/customer-problem-statement/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  <w:tblGridChange w:id="0">
          <w:tblGrid>
            <w:gridCol w:w="1740"/>
            <w:gridCol w:w="1530"/>
            <w:gridCol w:w="1395"/>
            <w:gridCol w:w="945"/>
            <w:gridCol w:w="1230"/>
            <w:gridCol w:w="196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an education decision-maker or academic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understand how AI adoption is changing across students, teachers, and schools in different countries and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AI adoption information is spread across multiple indicators, countries, regions, and years, making direct comparison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there is no single clear view of global adoption trends for educational planning and decision-making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uncertain about where AI adoption is growing and where further attention is needed</w:t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an education 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identify differences in AI usage between urban and rural communities and compare adoption across regions, tools, and policy environments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the differences and trends are difficult to interpret quickly from raw data alone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multiple factors such as internet penetration, AI in curriculum, government policy, and usage levels need to be considered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challenged when trying to identify adoption gaps and decide where improvement or support is required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