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80"/>
      </w:pPr>
      <w:r>
        <w:t xml:space="preserve"/>
      </w:r>
    </w:p>
    <w:p>
      <w:pPr>
        <w:spacing w:before="0" w:after="120"/>
        <w:jc w:val="center"/>
      </w:pPr>
      <w:r>
        <w:rPr>
          <w:rFonts w:ascii="Arial" w:cs="Arial" w:eastAsia="Arial" w:hAnsi="Arial"/>
          <w:b/>
          <w:bCs/>
          <w:color w:val="1B3A6B"/>
          <w:sz w:val="52"/>
          <w:szCs w:val="52"/>
        </w:rPr>
        <w:t xml:space="preserve">RESEARCH IMPLEMENTATION PLAN</w:t>
      </w:r>
    </w:p>
    <w:p>
      <w:pPr>
        <w:pBdr>
          <w:bottom w:val="single" w:color="2E75B6" w:sz="12" w:space="4"/>
        </w:pBdr>
        <w:spacing w:before="0" w:after="0"/>
        <w:jc w:val="center"/>
      </w:pPr>
      <w:r>
        <w:rPr>
          <w:rFonts w:ascii="Arial" w:cs="Arial" w:eastAsia="Arial" w:hAnsi="Arial"/>
          <w:b/>
          <w:bCs/>
          <w:color w:val="1A7A6E"/>
          <w:sz w:val="36"/>
          <w:szCs w:val="36"/>
        </w:rPr>
        <w:t xml:space="preserve">Privacy-Preserving and Explainable Federated AI</w:t>
      </w:r>
    </w:p>
    <w:p>
      <w:pPr>
        <w:spacing w:before="80" w:after="240"/>
        <w:jc w:val="center"/>
      </w:pPr>
      <w:r>
        <w:rPr>
          <w:rFonts w:ascii="Arial" w:cs="Arial" w:eastAsia="Arial" w:hAnsi="Arial"/>
          <w:b/>
          <w:bCs/>
          <w:color w:val="1A7A6E"/>
          <w:sz w:val="36"/>
          <w:szCs w:val="36"/>
        </w:rPr>
        <w:t xml:space="preserve">for Alzheimer's &amp; Dementia Detection</w:t>
      </w:r>
    </w:p>
    <w:p>
      <w:pPr>
        <w:spacing w:before="0" w:after="80"/>
        <w:jc w:val="center"/>
      </w:pPr>
      <w:r>
        <w:rPr>
          <w:rFonts w:ascii="Arial" w:cs="Arial" w:eastAsia="Arial" w:hAnsi="Arial"/>
          <w:color w:val="666666"/>
          <w:sz w:val="22"/>
          <w:szCs w:val="22"/>
        </w:rPr>
        <w:t xml:space="preserve">Capstone Project — PES University  |  Project ID: PW_26_AAM_01</w:t>
      </w:r>
    </w:p>
    <w:p>
      <w:pPr>
        <w:spacing w:before="0" w:after="80"/>
        <w:jc w:val="center"/>
      </w:pPr>
      <w:r>
        <w:rPr>
          <w:rFonts w:ascii="Arial" w:cs="Arial" w:eastAsia="Arial" w:hAnsi="Arial"/>
          <w:color w:val="666666"/>
          <w:sz w:val="22"/>
          <w:szCs w:val="22"/>
        </w:rPr>
        <w:t xml:space="preserve">Team: Adit Srivastava · Aditya Raj · Vaibhav Gupta · Hardik Gupta</w:t>
      </w:r>
    </w:p>
    <w:p>
      <w:pPr>
        <w:spacing w:before="0" w:after="480"/>
        <w:jc w:val="center"/>
      </w:pPr>
      <w:r>
        <w:rPr>
          <w:rFonts w:ascii="Arial" w:cs="Arial" w:eastAsia="Arial" w:hAnsi="Arial"/>
          <w:color w:val="666666"/>
          <w:sz w:val="22"/>
          <w:szCs w:val="22"/>
        </w:rPr>
        <w:t xml:space="preserve">Guide: Prof. Agha Alfi Mirza</w:t>
      </w:r>
    </w:p>
    <w:p>
      <w:r>
        <w:br w:type="page"/>
      </w:r>
    </w:p>
    <w:p>
      <w:pPr>
        <w:pStyle w:val="Heading1"/>
        <w:pBdr>
          <w:bottom w:val="single" w:color="1B3A6B" w:sz="8" w:space="4"/>
        </w:pBdr>
        <w:spacing w:before="360" w:after="160"/>
      </w:pPr>
      <w:r>
        <w:rPr>
          <w:rFonts w:ascii="Arial" w:cs="Arial" w:eastAsia="Arial" w:hAnsi="Arial"/>
          <w:b/>
          <w:bCs/>
          <w:color w:val="1B3A6B"/>
          <w:sz w:val="36"/>
          <w:szCs w:val="36"/>
        </w:rPr>
        <w:t xml:space="preserve">1. Overview &amp; Objective</w:t>
      </w:r>
    </w:p>
    <w:p>
      <w:pPr>
        <w:spacing w:before="60" w:after="60"/>
        <w:jc w:val="both"/>
      </w:pPr>
      <w:r>
        <w:rPr>
          <w:rFonts w:ascii="Arial" w:cs="Arial" w:eastAsia="Arial" w:hAnsi="Arial"/>
          <w:color w:val="222222"/>
          <w:sz w:val="22"/>
          <w:szCs w:val="22"/>
        </w:rPr>
        <w:t xml:space="preserve">This document is the complete step-by-step research execution roadmap for implementing the PPXFL (Privacy-Preserving and Explainable Federated Learning) framework for Alzheimer's Disease detection. It is structured as nine sequential phases, each with explicit tasks, tools, expected outputs, and known challenges. The roadmap is designed for a 4–6 month college capstone timeline.</w:t>
      </w:r>
    </w:p>
    <w:p>
      <w:pPr>
        <w:spacing w:before="80" w:after="80"/>
      </w:pPr>
      <w:r>
        <w:t xml:space="preserve"/>
      </w:r>
    </w:p>
    <w:p>
      <w:pPr>
        <w:pStyle w:val="Heading2"/>
        <w:spacing w:before="300" w:after="120"/>
      </w:pPr>
      <w:r>
        <w:rPr>
          <w:rFonts w:ascii="Arial" w:cs="Arial" w:eastAsia="Arial" w:hAnsi="Arial"/>
          <w:b/>
          <w:bCs/>
          <w:color w:val="1A7A6E"/>
          <w:sz w:val="28"/>
          <w:szCs w:val="28"/>
        </w:rPr>
        <w:t xml:space="preserve">Project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Dataset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ADNI (Alzheimer's Disease Neuroimaging Initiative) — T1-weighted MRI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Deep Learning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VGG19, ResNet50 (PyTorch / TensorFlow)</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Federated Learning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FedAvg aggregation via Flower (flwr) or PySyft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Privacy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Differential Privacy (Opacus) + Secure Aggregation (SecAgg)</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Explainability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Grad-CAM (captum / pytorch-grad-cam) + SHAP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Evaluation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Accuracy, Precision, Recall, F1, AUROC, MIA robustness</w:t>
            </w:r>
          </w:p>
        </w:tc>
      </w:tr>
    </w:tbl>
    <w:p>
      <w:pPr>
        <w:spacing w:before="160" w:after="160"/>
      </w:pPr>
      <w:r>
        <w:t xml:space="preserve"/>
      </w:r>
    </w:p>
    <w:p>
      <w:pPr>
        <w:pStyle w:val="Heading1"/>
        <w:pBdr>
          <w:bottom w:val="single" w:color="1B3A6B" w:sz="8" w:space="4"/>
        </w:pBdr>
        <w:spacing w:before="360" w:after="160"/>
      </w:pPr>
      <w:r>
        <w:rPr>
          <w:rFonts w:ascii="Arial" w:cs="Arial" w:eastAsia="Arial" w:hAnsi="Arial"/>
          <w:b/>
          <w:bCs/>
          <w:color w:val="1B3A6B"/>
          <w:sz w:val="36"/>
          <w:szCs w:val="36"/>
        </w:rPr>
        <w:t xml:space="preserve">2. End-to-End System Pipeline</w:t>
      </w:r>
    </w:p>
    <w:p>
      <w:pPr>
        <w:spacing w:before="60" w:after="60"/>
        <w:jc w:val="both"/>
      </w:pPr>
      <w:r>
        <w:rPr>
          <w:rFonts w:ascii="Arial" w:cs="Arial" w:eastAsia="Arial" w:hAnsi="Arial"/>
          <w:color w:val="222222"/>
          <w:sz w:val="22"/>
          <w:szCs w:val="22"/>
        </w:rPr>
        <w:t xml:space="preserve">The following table describes every stage of the data and model flow, from raw ADNI scans to final evaluation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rPr>
          <w:tblHeader/>
        </w:trPr>
        <w:tc>
          <w:tcPr>
            <w:tcW w:type="dxa" w:w="72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4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624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ADNI Dataset</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Acquire T1-weighted MRI scans from the ADNI portal. Organise into CN / MCI / AD class folders.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MRI Preprocessing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Skull-strip → Bias-field correction (N4ITK) → Spatial normalisation (MNI152) → Intensity normalisation → Resize to 224×224 → Augmentation (flips, rotations ±15°, Gaussian noise).</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Client Partitioning</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Split dataset across K=4 simulated hospital clients using Dirichlet(α=0.5) distribution to create realistic non-IID splits.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Local CNN Training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Each client trains a local VGG19 or ResNet50 model on its private partition for E=5 local epochs per federated round.</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Gradient Clipping</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Per-sample gradients are clipped to L2 norm C=1.0 before any update is shared (prerequisite for DP).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DP Noise Addition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Gaussian noise N(0, σ²C²I) is added to clipped gradients via Opacus, achieving (ε, δ)-DP with ε ∈ {1.5, 2.0}, δ = 1e-5.</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7</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SecAgg</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Pairwise random masks are applied via Diffie-Hellman key exchange so the server only observes Σ θ_k, never individual updates.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FedAvg Aggregation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Server computes weighted average: θ_global = Σ (n_k / n) · θ_k. Global model redistributed to clients for next round.</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9</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Grad-CAM</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Post-training: class-discriminative heatmaps generated via gradient-weighted activation maps on the global VGG19/ResNet50.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SHAP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Global feature attribution computed using KernelSHAP or GradientExplainer on a representative held-out validation set.</w:t>
            </w:r>
          </w:p>
        </w:tc>
      </w:tr>
      <w:tr>
        <w:tc>
          <w:tcPr>
            <w:tcW w:type="dxa" w:w="7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11</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Evaluation</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Accuracy, Precision, Recall, F1, AUROC + Membership Inference Attack (MIA) success rate. Compare Centralised vs FL vs DP-FL.</w:t>
            </w:r>
          </w:p>
        </w:tc>
      </w:tr>
    </w:tbl>
    <w:p>
      <w:pPr>
        <w:spacing w:before="160" w:after="160"/>
      </w:pPr>
      <w:r>
        <w:t xml:space="preserve"/>
      </w:r>
    </w:p>
    <w:p>
      <w:r>
        <w:br w:type="page"/>
      </w:r>
    </w:p>
    <w:p>
      <w:pPr>
        <w:pStyle w:val="Heading1"/>
        <w:pBdr>
          <w:bottom w:val="single" w:color="1B3A6B" w:sz="8" w:space="4"/>
        </w:pBdr>
        <w:spacing w:before="360" w:after="160"/>
      </w:pPr>
      <w:r>
        <w:rPr>
          <w:rFonts w:ascii="Arial" w:cs="Arial" w:eastAsia="Arial" w:hAnsi="Arial"/>
          <w:b/>
          <w:bCs/>
          <w:color w:val="1B3A6B"/>
          <w:sz w:val="36"/>
          <w:szCs w:val="36"/>
        </w:rPr>
        <w:t xml:space="preserve">3. Phase-by-Phase Implementation Plan</w:t>
      </w:r>
    </w:p>
    <w:p>
      <w:pPr>
        <w:spacing w:before="8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1</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Literature Validation &amp; Environment Setup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Confirm understanding of all key FL, DP, and XAI papers</w:t>
            </w:r>
          </w:p>
          <w:p>
            <w:pPr>
              <w:pStyle w:val="ListParagraph"/>
              <w:numPr>
                <w:ilvl w:val="0"/>
                <w:numId w:val="2"/>
              </w:numPr>
              <w:spacing w:before="30" w:after="30"/>
            </w:pPr>
            <w:r>
              <w:rPr>
                <w:rFonts w:ascii="Arial" w:cs="Arial" w:eastAsia="Arial" w:hAnsi="Arial"/>
                <w:color w:val="222222"/>
                <w:sz w:val="20"/>
                <w:szCs w:val="20"/>
              </w:rPr>
              <w:t xml:space="preserve">Set up reproducible development environment</w:t>
            </w:r>
          </w:p>
          <w:p>
            <w:pPr>
              <w:pStyle w:val="ListParagraph"/>
              <w:numPr>
                <w:ilvl w:val="0"/>
                <w:numId w:val="2"/>
              </w:numPr>
              <w:spacing w:before="30" w:after="30"/>
            </w:pPr>
            <w:r>
              <w:rPr>
                <w:rFonts w:ascii="Arial" w:cs="Arial" w:eastAsia="Arial" w:hAnsi="Arial"/>
                <w:color w:val="222222"/>
                <w:sz w:val="20"/>
                <w:szCs w:val="20"/>
              </w:rPr>
              <w:t xml:space="preserve">Validate ADNI access and data agreement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Re-read the 5 core papers (Mitrovska 2024, Mastoi 2025, Pan 2025, Kaissis 2024, Evolutionary 2025)</w:t>
            </w:r>
          </w:p>
          <w:p>
            <w:pPr>
              <w:pStyle w:val="ListParagraph"/>
              <w:numPr>
                <w:ilvl w:val="0"/>
                <w:numId w:val="2"/>
              </w:numPr>
              <w:spacing w:before="30" w:after="30"/>
            </w:pPr>
            <w:r>
              <w:rPr>
                <w:rFonts w:ascii="Arial" w:cs="Arial" w:eastAsia="Arial" w:hAnsi="Arial"/>
                <w:color w:val="222222"/>
                <w:sz w:val="20"/>
                <w:szCs w:val="20"/>
              </w:rPr>
              <w:t xml:space="preserve">Extract key hyperparameters, datasets, and baselines from each paper</w:t>
            </w:r>
          </w:p>
          <w:p>
            <w:pPr>
              <w:pStyle w:val="ListParagraph"/>
              <w:numPr>
                <w:ilvl w:val="0"/>
                <w:numId w:val="2"/>
              </w:numPr>
              <w:spacing w:before="30" w:after="30"/>
            </w:pPr>
            <w:r>
              <w:rPr>
                <w:rFonts w:ascii="Arial" w:cs="Arial" w:eastAsia="Arial" w:hAnsi="Arial"/>
                <w:color w:val="222222"/>
                <w:sz w:val="20"/>
                <w:szCs w:val="20"/>
              </w:rPr>
              <w:t xml:space="preserve">Install Python 3.10+, PyTorch 2.x, TensorFlow (optional), CUDA</w:t>
            </w:r>
          </w:p>
          <w:p>
            <w:pPr>
              <w:pStyle w:val="ListParagraph"/>
              <w:numPr>
                <w:ilvl w:val="0"/>
                <w:numId w:val="2"/>
              </w:numPr>
              <w:spacing w:before="30" w:after="30"/>
            </w:pPr>
            <w:r>
              <w:rPr>
                <w:rFonts w:ascii="Arial" w:cs="Arial" w:eastAsia="Arial" w:hAnsi="Arial"/>
                <w:color w:val="222222"/>
                <w:sz w:val="20"/>
                <w:szCs w:val="20"/>
              </w:rPr>
              <w:t xml:space="preserve">Install: flwr, opacus, captum, shap, nibabel, nilearn, SimpleITK, scikit-learn, matplotlib</w:t>
            </w:r>
          </w:p>
          <w:p>
            <w:pPr>
              <w:pStyle w:val="ListParagraph"/>
              <w:numPr>
                <w:ilvl w:val="0"/>
                <w:numId w:val="2"/>
              </w:numPr>
              <w:spacing w:before="30" w:after="30"/>
            </w:pPr>
            <w:r>
              <w:rPr>
                <w:rFonts w:ascii="Arial" w:cs="Arial" w:eastAsia="Arial" w:hAnsi="Arial"/>
                <w:color w:val="222222"/>
                <w:sz w:val="20"/>
                <w:szCs w:val="20"/>
              </w:rPr>
              <w:t xml:space="preserve">Register for and download ADNI dataset via adni.loni.usc.edu</w:t>
            </w:r>
          </w:p>
          <w:p>
            <w:pPr>
              <w:pStyle w:val="ListParagraph"/>
              <w:numPr>
                <w:ilvl w:val="0"/>
                <w:numId w:val="2"/>
              </w:numPr>
              <w:spacing w:before="30" w:after="30"/>
            </w:pPr>
            <w:r>
              <w:rPr>
                <w:rFonts w:ascii="Arial" w:cs="Arial" w:eastAsia="Arial" w:hAnsi="Arial"/>
                <w:color w:val="222222"/>
                <w:sz w:val="20"/>
                <w:szCs w:val="20"/>
              </w:rPr>
              <w:t xml:space="preserve">Create project directory structure and Git repository</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Python 3.10+, PyTorch 2.0, CUDA 11.8+</w:t>
            </w:r>
          </w:p>
          <w:p>
            <w:pPr>
              <w:pStyle w:val="ListParagraph"/>
              <w:numPr>
                <w:ilvl w:val="0"/>
                <w:numId w:val="2"/>
              </w:numPr>
              <w:spacing w:before="30" w:after="30"/>
            </w:pPr>
            <w:r>
              <w:rPr>
                <w:rFonts w:ascii="Arial" w:cs="Arial" w:eastAsia="Arial" w:hAnsi="Arial"/>
                <w:color w:val="222222"/>
                <w:sz w:val="20"/>
                <w:szCs w:val="20"/>
              </w:rPr>
              <w:t xml:space="preserve">pip: flwr, opacus, captum, shap, nibabel, nilearn, SimpleITK</w:t>
            </w:r>
          </w:p>
          <w:p>
            <w:pPr>
              <w:pStyle w:val="ListParagraph"/>
              <w:numPr>
                <w:ilvl w:val="0"/>
                <w:numId w:val="2"/>
              </w:numPr>
              <w:spacing w:before="30" w:after="30"/>
            </w:pPr>
            <w:r>
              <w:rPr>
                <w:rFonts w:ascii="Arial" w:cs="Arial" w:eastAsia="Arial" w:hAnsi="Arial"/>
                <w:color w:val="222222"/>
                <w:sz w:val="20"/>
                <w:szCs w:val="20"/>
              </w:rPr>
              <w:t xml:space="preserve">Git / GitHub for version control</w:t>
            </w:r>
          </w:p>
          <w:p>
            <w:pPr>
              <w:pStyle w:val="ListParagraph"/>
              <w:numPr>
                <w:ilvl w:val="0"/>
                <w:numId w:val="2"/>
              </w:numPr>
              <w:spacing w:before="30" w:after="30"/>
            </w:pPr>
            <w:r>
              <w:rPr>
                <w:rFonts w:ascii="Arial" w:cs="Arial" w:eastAsia="Arial" w:hAnsi="Arial"/>
                <w:color w:val="222222"/>
                <w:sz w:val="20"/>
                <w:szCs w:val="20"/>
              </w:rPr>
              <w:t xml:space="preserve">ADNI data portal (adni.loni.usc.edu)</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Literature summary table (model, dataset, accuracy, privacy method)</w:t>
            </w:r>
          </w:p>
          <w:p>
            <w:pPr>
              <w:pStyle w:val="ListParagraph"/>
              <w:numPr>
                <w:ilvl w:val="0"/>
                <w:numId w:val="2"/>
              </w:numPr>
              <w:spacing w:before="30" w:after="30"/>
            </w:pPr>
            <w:r>
              <w:rPr>
                <w:rFonts w:ascii="Arial" w:cs="Arial" w:eastAsia="Arial" w:hAnsi="Arial"/>
                <w:color w:val="222222"/>
                <w:sz w:val="20"/>
                <w:szCs w:val="20"/>
              </w:rPr>
              <w:t xml:space="preserve">Working conda/venv environment with all packages installed</w:t>
            </w:r>
          </w:p>
          <w:p>
            <w:pPr>
              <w:pStyle w:val="ListParagraph"/>
              <w:numPr>
                <w:ilvl w:val="0"/>
                <w:numId w:val="2"/>
              </w:numPr>
              <w:spacing w:before="30" w:after="30"/>
            </w:pPr>
            <w:r>
              <w:rPr>
                <w:rFonts w:ascii="Arial" w:cs="Arial" w:eastAsia="Arial" w:hAnsi="Arial"/>
                <w:color w:val="222222"/>
                <w:sz w:val="20"/>
                <w:szCs w:val="20"/>
              </w:rPr>
              <w:t xml:space="preserve">ADNI data downloaded and organised into class folders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ADNI data access requires formal application (allow 1–2 weeks)</w:t>
            </w:r>
          </w:p>
          <w:p>
            <w:pPr>
              <w:pStyle w:val="ListParagraph"/>
              <w:numPr>
                <w:ilvl w:val="0"/>
                <w:numId w:val="2"/>
              </w:numPr>
              <w:spacing w:before="30" w:after="30"/>
            </w:pPr>
            <w:r>
              <w:rPr>
                <w:rFonts w:ascii="Arial" w:cs="Arial" w:eastAsia="Arial" w:hAnsi="Arial"/>
                <w:color w:val="222222"/>
                <w:sz w:val="20"/>
                <w:szCs w:val="20"/>
              </w:rPr>
              <w:t xml:space="preserve">CUDA version conflicts between PyTorch and Opacus</w:t>
            </w:r>
          </w:p>
          <w:p>
            <w:pPr>
              <w:pStyle w:val="ListParagraph"/>
              <w:numPr>
                <w:ilvl w:val="0"/>
                <w:numId w:val="2"/>
              </w:numPr>
              <w:spacing w:before="30" w:after="30"/>
            </w:pPr>
            <w:r>
              <w:rPr>
                <w:rFonts w:ascii="Arial" w:cs="Arial" w:eastAsia="Arial" w:hAnsi="Arial"/>
                <w:color w:val="222222"/>
                <w:sz w:val="20"/>
                <w:szCs w:val="20"/>
              </w:rPr>
              <w:t xml:space="preserve">Large MRI file sizes (~500 MB per subject)</w:t>
            </w:r>
          </w:p>
        </w:tc>
      </w:tr>
    </w:tbl>
    <w:p>
      <w:pPr>
        <w:spacing w:before="20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2</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Dataset Preparation &amp; MRI Preprocessing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Produce clean, normalised 224×224 MRI images ready for CNN input</w:t>
            </w:r>
          </w:p>
          <w:p>
            <w:pPr>
              <w:pStyle w:val="ListParagraph"/>
              <w:numPr>
                <w:ilvl w:val="0"/>
                <w:numId w:val="2"/>
              </w:numPr>
              <w:spacing w:before="30" w:after="30"/>
            </w:pPr>
            <w:r>
              <w:rPr>
                <w:rFonts w:ascii="Arial" w:cs="Arial" w:eastAsia="Arial" w:hAnsi="Arial"/>
                <w:color w:val="222222"/>
                <w:sz w:val="20"/>
                <w:szCs w:val="20"/>
              </w:rPr>
              <w:t xml:space="preserve">Create 4 non-IID client splits simulating hospital distributions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Parse ADNI CSV metadata to map subject IDs to CN/MCI/AD labels</w:t>
            </w:r>
          </w:p>
          <w:p>
            <w:pPr>
              <w:pStyle w:val="ListParagraph"/>
              <w:numPr>
                <w:ilvl w:val="0"/>
                <w:numId w:val="2"/>
              </w:numPr>
              <w:spacing w:before="30" w:after="30"/>
            </w:pPr>
            <w:r>
              <w:rPr>
                <w:rFonts w:ascii="Arial" w:cs="Arial" w:eastAsia="Arial" w:hAnsi="Arial"/>
                <w:color w:val="222222"/>
                <w:sz w:val="20"/>
                <w:szCs w:val="20"/>
              </w:rPr>
              <w:t xml:space="preserve">Write preprocessing pipeline (skull-strip with FSL BET or HD-BET)</w:t>
            </w:r>
          </w:p>
          <w:p>
            <w:pPr>
              <w:pStyle w:val="ListParagraph"/>
              <w:numPr>
                <w:ilvl w:val="0"/>
                <w:numId w:val="2"/>
              </w:numPr>
              <w:spacing w:before="30" w:after="30"/>
            </w:pPr>
            <w:r>
              <w:rPr>
                <w:rFonts w:ascii="Arial" w:cs="Arial" w:eastAsia="Arial" w:hAnsi="Arial"/>
                <w:color w:val="222222"/>
                <w:sz w:val="20"/>
                <w:szCs w:val="20"/>
              </w:rPr>
              <w:t xml:space="preserve">Apply N4ITK bias-field correction using SimpleITK</w:t>
            </w:r>
          </w:p>
          <w:p>
            <w:pPr>
              <w:pStyle w:val="ListParagraph"/>
              <w:numPr>
                <w:ilvl w:val="0"/>
                <w:numId w:val="2"/>
              </w:numPr>
              <w:spacing w:before="30" w:after="30"/>
            </w:pPr>
            <w:r>
              <w:rPr>
                <w:rFonts w:ascii="Arial" w:cs="Arial" w:eastAsia="Arial" w:hAnsi="Arial"/>
                <w:color w:val="222222"/>
                <w:sz w:val="20"/>
                <w:szCs w:val="20"/>
              </w:rPr>
              <w:t xml:space="preserve">Register all scans to MNI152 template using ANTs or FSL FLIRT</w:t>
            </w:r>
          </w:p>
          <w:p>
            <w:pPr>
              <w:pStyle w:val="ListParagraph"/>
              <w:numPr>
                <w:ilvl w:val="0"/>
                <w:numId w:val="2"/>
              </w:numPr>
              <w:spacing w:before="30" w:after="30"/>
            </w:pPr>
            <w:r>
              <w:rPr>
                <w:rFonts w:ascii="Arial" w:cs="Arial" w:eastAsia="Arial" w:hAnsi="Arial"/>
                <w:color w:val="222222"/>
                <w:sz w:val="20"/>
                <w:szCs w:val="20"/>
              </w:rPr>
              <w:t xml:space="preserve">Normalise intensities: z-score per scan</w:t>
            </w:r>
          </w:p>
          <w:p>
            <w:pPr>
              <w:pStyle w:val="ListParagraph"/>
              <w:numPr>
                <w:ilvl w:val="0"/>
                <w:numId w:val="2"/>
              </w:numPr>
              <w:spacing w:before="30" w:after="30"/>
            </w:pPr>
            <w:r>
              <w:rPr>
                <w:rFonts w:ascii="Arial" w:cs="Arial" w:eastAsia="Arial" w:hAnsi="Arial"/>
                <w:color w:val="222222"/>
                <w:sz w:val="20"/>
                <w:szCs w:val="20"/>
              </w:rPr>
              <w:t xml:space="preserve">Extract 2D axial slices or use 3D volumes (start with 2D for speed)</w:t>
            </w:r>
          </w:p>
          <w:p>
            <w:pPr>
              <w:pStyle w:val="ListParagraph"/>
              <w:numPr>
                <w:ilvl w:val="0"/>
                <w:numId w:val="2"/>
              </w:numPr>
              <w:spacing w:before="30" w:after="30"/>
            </w:pPr>
            <w:r>
              <w:rPr>
                <w:rFonts w:ascii="Arial" w:cs="Arial" w:eastAsia="Arial" w:hAnsi="Arial"/>
                <w:color w:val="222222"/>
                <w:sz w:val="20"/>
                <w:szCs w:val="20"/>
              </w:rPr>
              <w:t xml:space="preserve">Resize to 224×224, save as PNG or .npy arrays</w:t>
            </w:r>
          </w:p>
          <w:p>
            <w:pPr>
              <w:pStyle w:val="ListParagraph"/>
              <w:numPr>
                <w:ilvl w:val="0"/>
                <w:numId w:val="2"/>
              </w:numPr>
              <w:spacing w:before="30" w:after="30"/>
            </w:pPr>
            <w:r>
              <w:rPr>
                <w:rFonts w:ascii="Arial" w:cs="Arial" w:eastAsia="Arial" w:hAnsi="Arial"/>
                <w:color w:val="222222"/>
                <w:sz w:val="20"/>
                <w:szCs w:val="20"/>
              </w:rPr>
              <w:t xml:space="preserve">Apply Dirichlet(α=0.5) split across 4 clients</w:t>
            </w:r>
          </w:p>
          <w:p>
            <w:pPr>
              <w:pStyle w:val="ListParagraph"/>
              <w:numPr>
                <w:ilvl w:val="0"/>
                <w:numId w:val="2"/>
              </w:numPr>
              <w:spacing w:before="30" w:after="30"/>
            </w:pPr>
            <w:r>
              <w:rPr>
                <w:rFonts w:ascii="Arial" w:cs="Arial" w:eastAsia="Arial" w:hAnsi="Arial"/>
                <w:color w:val="222222"/>
                <w:sz w:val="20"/>
                <w:szCs w:val="20"/>
              </w:rPr>
              <w:t xml:space="preserve">Implement augmentation: RandomHorizontalFlip, RandomRotation(15°), GaussianNoise</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nibabel, nilearn — NIfTI I/O</w:t>
            </w:r>
          </w:p>
          <w:p>
            <w:pPr>
              <w:pStyle w:val="ListParagraph"/>
              <w:numPr>
                <w:ilvl w:val="0"/>
                <w:numId w:val="2"/>
              </w:numPr>
              <w:spacing w:before="30" w:after="30"/>
            </w:pPr>
            <w:r>
              <w:rPr>
                <w:rFonts w:ascii="Arial" w:cs="Arial" w:eastAsia="Arial" w:hAnsi="Arial"/>
                <w:color w:val="222222"/>
                <w:sz w:val="20"/>
                <w:szCs w:val="20"/>
              </w:rPr>
              <w:t xml:space="preserve">SimpleITK — N4ITK bias correction</w:t>
            </w:r>
          </w:p>
          <w:p>
            <w:pPr>
              <w:pStyle w:val="ListParagraph"/>
              <w:numPr>
                <w:ilvl w:val="0"/>
                <w:numId w:val="2"/>
              </w:numPr>
              <w:spacing w:before="30" w:after="30"/>
            </w:pPr>
            <w:r>
              <w:rPr>
                <w:rFonts w:ascii="Arial" w:cs="Arial" w:eastAsia="Arial" w:hAnsi="Arial"/>
                <w:color w:val="222222"/>
                <w:sz w:val="20"/>
                <w:szCs w:val="20"/>
              </w:rPr>
              <w:t xml:space="preserve">FSL BET or HD-BET — skull stripping</w:t>
            </w:r>
          </w:p>
          <w:p>
            <w:pPr>
              <w:pStyle w:val="ListParagraph"/>
              <w:numPr>
                <w:ilvl w:val="0"/>
                <w:numId w:val="2"/>
              </w:numPr>
              <w:spacing w:before="30" w:after="30"/>
            </w:pPr>
            <w:r>
              <w:rPr>
                <w:rFonts w:ascii="Arial" w:cs="Arial" w:eastAsia="Arial" w:hAnsi="Arial"/>
                <w:color w:val="222222"/>
                <w:sz w:val="20"/>
                <w:szCs w:val="20"/>
              </w:rPr>
              <w:t xml:space="preserve">ANTs or FSL FLIRT — registration</w:t>
            </w:r>
          </w:p>
          <w:p>
            <w:pPr>
              <w:pStyle w:val="ListParagraph"/>
              <w:numPr>
                <w:ilvl w:val="0"/>
                <w:numId w:val="2"/>
              </w:numPr>
              <w:spacing w:before="30" w:after="30"/>
            </w:pPr>
            <w:r>
              <w:rPr>
                <w:rFonts w:ascii="Arial" w:cs="Arial" w:eastAsia="Arial" w:hAnsi="Arial"/>
                <w:color w:val="222222"/>
                <w:sz w:val="20"/>
                <w:szCs w:val="20"/>
              </w:rPr>
              <w:t xml:space="preserve">torchvision.transforms — augmentation</w:t>
            </w:r>
          </w:p>
          <w:p>
            <w:pPr>
              <w:pStyle w:val="ListParagraph"/>
              <w:numPr>
                <w:ilvl w:val="0"/>
                <w:numId w:val="2"/>
              </w:numPr>
              <w:spacing w:before="30" w:after="30"/>
            </w:pPr>
            <w:r>
              <w:rPr>
                <w:rFonts w:ascii="Arial" w:cs="Arial" w:eastAsia="Arial" w:hAnsi="Arial"/>
                <w:color w:val="222222"/>
                <w:sz w:val="20"/>
                <w:szCs w:val="20"/>
              </w:rPr>
              <w:t xml:space="preserve">numpy, matplotlib — visualisation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Preprocessed dataset: /data/client_1/ ... /data/client_4/ (CN/MCI/AD subfolders)</w:t>
            </w:r>
          </w:p>
          <w:p>
            <w:pPr>
              <w:pStyle w:val="ListParagraph"/>
              <w:numPr>
                <w:ilvl w:val="0"/>
                <w:numId w:val="2"/>
              </w:numPr>
              <w:spacing w:before="30" w:after="30"/>
            </w:pPr>
            <w:r>
              <w:rPr>
                <w:rFonts w:ascii="Arial" w:cs="Arial" w:eastAsia="Arial" w:hAnsi="Arial"/>
                <w:color w:val="222222"/>
                <w:sz w:val="20"/>
                <w:szCs w:val="20"/>
              </w:rPr>
              <w:t xml:space="preserve">Preprocessing script: preprocess.py</w:t>
            </w:r>
          </w:p>
          <w:p>
            <w:pPr>
              <w:pStyle w:val="ListParagraph"/>
              <w:numPr>
                <w:ilvl w:val="0"/>
                <w:numId w:val="2"/>
              </w:numPr>
              <w:spacing w:before="30" w:after="30"/>
            </w:pPr>
            <w:r>
              <w:rPr>
                <w:rFonts w:ascii="Arial" w:cs="Arial" w:eastAsia="Arial" w:hAnsi="Arial"/>
                <w:color w:val="222222"/>
                <w:sz w:val="20"/>
                <w:szCs w:val="20"/>
              </w:rPr>
              <w:t xml:space="preserve">Dataset statistics report (class counts, split distribution per client)</w:t>
            </w:r>
          </w:p>
          <w:p>
            <w:pPr>
              <w:pStyle w:val="ListParagraph"/>
              <w:numPr>
                <w:ilvl w:val="0"/>
                <w:numId w:val="2"/>
              </w:numPr>
              <w:spacing w:before="30" w:after="30"/>
            </w:pPr>
            <w:r>
              <w:rPr>
                <w:rFonts w:ascii="Arial" w:cs="Arial" w:eastAsia="Arial" w:hAnsi="Arial"/>
                <w:color w:val="222222"/>
                <w:sz w:val="20"/>
                <w:szCs w:val="20"/>
              </w:rPr>
              <w:t xml:space="preserve">Sample visualisation: 3×3 grid of preprocessed MRI slices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Skull-stripping failures on low-quality scans (manual QC needed)</w:t>
            </w:r>
          </w:p>
          <w:p>
            <w:pPr>
              <w:pStyle w:val="ListParagraph"/>
              <w:numPr>
                <w:ilvl w:val="0"/>
                <w:numId w:val="2"/>
              </w:numPr>
              <w:spacing w:before="30" w:after="30"/>
            </w:pPr>
            <w:r>
              <w:rPr>
                <w:rFonts w:ascii="Arial" w:cs="Arial" w:eastAsia="Arial" w:hAnsi="Arial"/>
                <w:color w:val="222222"/>
                <w:sz w:val="20"/>
                <w:szCs w:val="20"/>
              </w:rPr>
              <w:t xml:space="preserve">MNI152 registration can be slow; consider parallel processing</w:t>
            </w:r>
          </w:p>
          <w:p>
            <w:pPr>
              <w:pStyle w:val="ListParagraph"/>
              <w:numPr>
                <w:ilvl w:val="0"/>
                <w:numId w:val="2"/>
              </w:numPr>
              <w:spacing w:before="30" w:after="30"/>
            </w:pPr>
            <w:r>
              <w:rPr>
                <w:rFonts w:ascii="Arial" w:cs="Arial" w:eastAsia="Arial" w:hAnsi="Arial"/>
                <w:color w:val="222222"/>
                <w:sz w:val="20"/>
                <w:szCs w:val="20"/>
              </w:rPr>
              <w:t xml:space="preserve">Class imbalance (AD &lt; MCI &lt; CN) — use weighted sampling</w:t>
            </w:r>
          </w:p>
        </w:tc>
      </w:tr>
    </w:tbl>
    <w:p>
      <w:pPr>
        <w:spacing w:before="20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3</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Baseline Centralised CNN Model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Train a centralised VGG19 and ResNet50 model on the full dataset</w:t>
            </w:r>
          </w:p>
          <w:p>
            <w:pPr>
              <w:pStyle w:val="ListParagraph"/>
              <w:numPr>
                <w:ilvl w:val="0"/>
                <w:numId w:val="2"/>
              </w:numPr>
              <w:spacing w:before="30" w:after="30"/>
            </w:pPr>
            <w:r>
              <w:rPr>
                <w:rFonts w:ascii="Arial" w:cs="Arial" w:eastAsia="Arial" w:hAnsi="Arial"/>
                <w:color w:val="222222"/>
                <w:sz w:val="20"/>
                <w:szCs w:val="20"/>
              </w:rPr>
              <w:t xml:space="preserve">Establish the performance upper bound for comparison with FL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Load pre-trained ImageNet weights for VGG19 and ResNet50</w:t>
            </w:r>
          </w:p>
          <w:p>
            <w:pPr>
              <w:pStyle w:val="ListParagraph"/>
              <w:numPr>
                <w:ilvl w:val="0"/>
                <w:numId w:val="2"/>
              </w:numPr>
              <w:spacing w:before="30" w:after="30"/>
            </w:pPr>
            <w:r>
              <w:rPr>
                <w:rFonts w:ascii="Arial" w:cs="Arial" w:eastAsia="Arial" w:hAnsi="Arial"/>
                <w:color w:val="222222"/>
                <w:sz w:val="20"/>
                <w:szCs w:val="20"/>
              </w:rPr>
              <w:t xml:space="preserve">Replace final FC layer with 3-class softmax head</w:t>
            </w:r>
          </w:p>
          <w:p>
            <w:pPr>
              <w:pStyle w:val="ListParagraph"/>
              <w:numPr>
                <w:ilvl w:val="0"/>
                <w:numId w:val="2"/>
              </w:numPr>
              <w:spacing w:before="30" w:after="30"/>
            </w:pPr>
            <w:r>
              <w:rPr>
                <w:rFonts w:ascii="Arial" w:cs="Arial" w:eastAsia="Arial" w:hAnsi="Arial"/>
                <w:color w:val="222222"/>
                <w:sz w:val="20"/>
                <w:szCs w:val="20"/>
              </w:rPr>
              <w:t xml:space="preserve">Freeze backbone for 5 epochs (feature extraction), then fine-tune end-to-end</w:t>
            </w:r>
          </w:p>
          <w:p>
            <w:pPr>
              <w:pStyle w:val="ListParagraph"/>
              <w:numPr>
                <w:ilvl w:val="0"/>
                <w:numId w:val="2"/>
              </w:numPr>
              <w:spacing w:before="30" w:after="30"/>
            </w:pPr>
            <w:r>
              <w:rPr>
                <w:rFonts w:ascii="Arial" w:cs="Arial" w:eastAsia="Arial" w:hAnsi="Arial"/>
                <w:color w:val="222222"/>
                <w:sz w:val="20"/>
                <w:szCs w:val="20"/>
              </w:rPr>
              <w:t xml:space="preserve">Training setup: Adam optimiser, lr=1e-4, weight decay=1e-4, batch=32</w:t>
            </w:r>
          </w:p>
          <w:p>
            <w:pPr>
              <w:pStyle w:val="ListParagraph"/>
              <w:numPr>
                <w:ilvl w:val="0"/>
                <w:numId w:val="2"/>
              </w:numPr>
              <w:spacing w:before="30" w:after="30"/>
            </w:pPr>
            <w:r>
              <w:rPr>
                <w:rFonts w:ascii="Arial" w:cs="Arial" w:eastAsia="Arial" w:hAnsi="Arial"/>
                <w:color w:val="222222"/>
                <w:sz w:val="20"/>
                <w:szCs w:val="20"/>
              </w:rPr>
              <w:t xml:space="preserve">Use weighted cross-entropy loss to handle class imbalance</w:t>
            </w:r>
          </w:p>
          <w:p>
            <w:pPr>
              <w:pStyle w:val="ListParagraph"/>
              <w:numPr>
                <w:ilvl w:val="0"/>
                <w:numId w:val="2"/>
              </w:numPr>
              <w:spacing w:before="30" w:after="30"/>
            </w:pPr>
            <w:r>
              <w:rPr>
                <w:rFonts w:ascii="Arial" w:cs="Arial" w:eastAsia="Arial" w:hAnsi="Arial"/>
                <w:color w:val="222222"/>
                <w:sz w:val="20"/>
                <w:szCs w:val="20"/>
              </w:rPr>
              <w:t xml:space="preserve">80/10/10 train/val/test split on full (non-partitioned) ADNI data</w:t>
            </w:r>
          </w:p>
          <w:p>
            <w:pPr>
              <w:pStyle w:val="ListParagraph"/>
              <w:numPr>
                <w:ilvl w:val="0"/>
                <w:numId w:val="2"/>
              </w:numPr>
              <w:spacing w:before="30" w:after="30"/>
            </w:pPr>
            <w:r>
              <w:rPr>
                <w:rFonts w:ascii="Arial" w:cs="Arial" w:eastAsia="Arial" w:hAnsi="Arial"/>
                <w:color w:val="222222"/>
                <w:sz w:val="20"/>
                <w:szCs w:val="20"/>
              </w:rPr>
              <w:t xml:space="preserve">Log training curves (loss, accuracy) with TensorBoard or wandb</w:t>
            </w:r>
          </w:p>
          <w:p>
            <w:pPr>
              <w:pStyle w:val="ListParagraph"/>
              <w:numPr>
                <w:ilvl w:val="0"/>
                <w:numId w:val="2"/>
              </w:numPr>
              <w:spacing w:before="30" w:after="30"/>
            </w:pPr>
            <w:r>
              <w:rPr>
                <w:rFonts w:ascii="Arial" w:cs="Arial" w:eastAsia="Arial" w:hAnsi="Arial"/>
                <w:color w:val="222222"/>
                <w:sz w:val="20"/>
                <w:szCs w:val="20"/>
              </w:rPr>
              <w:t xml:space="preserve">Evaluate on held-out test set: accuracy, precision, recall, F1, AUROC</w:t>
            </w:r>
          </w:p>
          <w:p>
            <w:pPr>
              <w:pStyle w:val="ListParagraph"/>
              <w:numPr>
                <w:ilvl w:val="0"/>
                <w:numId w:val="2"/>
              </w:numPr>
              <w:spacing w:before="30" w:after="30"/>
            </w:pPr>
            <w:r>
              <w:rPr>
                <w:rFonts w:ascii="Arial" w:cs="Arial" w:eastAsia="Arial" w:hAnsi="Arial"/>
                <w:color w:val="222222"/>
                <w:sz w:val="20"/>
                <w:szCs w:val="20"/>
              </w:rPr>
              <w:t xml:space="preserve">Save best model checkpoint based on validation F1</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PyTorch 2.0, torchvision (VGG19, ResNet50 pretrained)</w:t>
            </w:r>
          </w:p>
          <w:p>
            <w:pPr>
              <w:pStyle w:val="ListParagraph"/>
              <w:numPr>
                <w:ilvl w:val="0"/>
                <w:numId w:val="2"/>
              </w:numPr>
              <w:spacing w:before="30" w:after="30"/>
            </w:pPr>
            <w:r>
              <w:rPr>
                <w:rFonts w:ascii="Arial" w:cs="Arial" w:eastAsia="Arial" w:hAnsi="Arial"/>
                <w:color w:val="222222"/>
                <w:sz w:val="20"/>
                <w:szCs w:val="20"/>
              </w:rPr>
              <w:t xml:space="preserve">torch.optim.Adam, torch.nn.CrossEntropyLoss</w:t>
            </w:r>
          </w:p>
          <w:p>
            <w:pPr>
              <w:pStyle w:val="ListParagraph"/>
              <w:numPr>
                <w:ilvl w:val="0"/>
                <w:numId w:val="2"/>
              </w:numPr>
              <w:spacing w:before="30" w:after="30"/>
            </w:pPr>
            <w:r>
              <w:rPr>
                <w:rFonts w:ascii="Arial" w:cs="Arial" w:eastAsia="Arial" w:hAnsi="Arial"/>
                <w:color w:val="222222"/>
                <w:sz w:val="20"/>
                <w:szCs w:val="20"/>
              </w:rPr>
              <w:t xml:space="preserve">sklearn.metrics: classification_report, roc_auc_score</w:t>
            </w:r>
          </w:p>
          <w:p>
            <w:pPr>
              <w:pStyle w:val="ListParagraph"/>
              <w:numPr>
                <w:ilvl w:val="0"/>
                <w:numId w:val="2"/>
              </w:numPr>
              <w:spacing w:before="30" w:after="30"/>
            </w:pPr>
            <w:r>
              <w:rPr>
                <w:rFonts w:ascii="Arial" w:cs="Arial" w:eastAsia="Arial" w:hAnsi="Arial"/>
                <w:color w:val="222222"/>
                <w:sz w:val="20"/>
                <w:szCs w:val="20"/>
              </w:rPr>
              <w:t xml:space="preserve">TensorBoard / wandb — training logs</w:t>
            </w:r>
          </w:p>
          <w:p>
            <w:pPr>
              <w:pStyle w:val="ListParagraph"/>
              <w:numPr>
                <w:ilvl w:val="0"/>
                <w:numId w:val="2"/>
              </w:numPr>
              <w:spacing w:before="30" w:after="30"/>
            </w:pPr>
            <w:r>
              <w:rPr>
                <w:rFonts w:ascii="Arial" w:cs="Arial" w:eastAsia="Arial" w:hAnsi="Arial"/>
                <w:color w:val="222222"/>
                <w:sz w:val="20"/>
                <w:szCs w:val="20"/>
              </w:rPr>
              <w:t xml:space="preserve">matplotlib / seaborn — confusion matrix, ROC curves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Trained centralised VGG19 and ResNet50 checkpoints (.pth)</w:t>
            </w:r>
          </w:p>
          <w:p>
            <w:pPr>
              <w:pStyle w:val="ListParagraph"/>
              <w:numPr>
                <w:ilvl w:val="0"/>
                <w:numId w:val="2"/>
              </w:numPr>
              <w:spacing w:before="30" w:after="30"/>
            </w:pPr>
            <w:r>
              <w:rPr>
                <w:rFonts w:ascii="Arial" w:cs="Arial" w:eastAsia="Arial" w:hAnsi="Arial"/>
                <w:color w:val="222222"/>
                <w:sz w:val="20"/>
                <w:szCs w:val="20"/>
              </w:rPr>
              <w:t xml:space="preserve">Baseline metrics table: Acc, Prec, Rec, F1, AUROC (per class + macro)</w:t>
            </w:r>
          </w:p>
          <w:p>
            <w:pPr>
              <w:pStyle w:val="ListParagraph"/>
              <w:numPr>
                <w:ilvl w:val="0"/>
                <w:numId w:val="2"/>
              </w:numPr>
              <w:spacing w:before="30" w:after="30"/>
            </w:pPr>
            <w:r>
              <w:rPr>
                <w:rFonts w:ascii="Arial" w:cs="Arial" w:eastAsia="Arial" w:hAnsi="Arial"/>
                <w:color w:val="222222"/>
                <w:sz w:val="20"/>
                <w:szCs w:val="20"/>
              </w:rPr>
              <w:t xml:space="preserve">Confusion matrix and ROC curve plots</w:t>
            </w:r>
          </w:p>
          <w:p>
            <w:pPr>
              <w:pStyle w:val="ListParagraph"/>
              <w:numPr>
                <w:ilvl w:val="0"/>
                <w:numId w:val="2"/>
              </w:numPr>
              <w:spacing w:before="30" w:after="30"/>
            </w:pPr>
            <w:r>
              <w:rPr>
                <w:rFonts w:ascii="Arial" w:cs="Arial" w:eastAsia="Arial" w:hAnsi="Arial"/>
                <w:color w:val="222222"/>
                <w:sz w:val="20"/>
                <w:szCs w:val="20"/>
              </w:rPr>
              <w:t xml:space="preserve">Training curve plots (loss vs epoch, accuracy vs epoch)</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Overfitting on small ADNI subsets — use strong augmentation + dropout</w:t>
            </w:r>
          </w:p>
          <w:p>
            <w:pPr>
              <w:pStyle w:val="ListParagraph"/>
              <w:numPr>
                <w:ilvl w:val="0"/>
                <w:numId w:val="2"/>
              </w:numPr>
              <w:spacing w:before="30" w:after="30"/>
            </w:pPr>
            <w:r>
              <w:rPr>
                <w:rFonts w:ascii="Arial" w:cs="Arial" w:eastAsia="Arial" w:hAnsi="Arial"/>
                <w:color w:val="222222"/>
                <w:sz w:val="20"/>
                <w:szCs w:val="20"/>
              </w:rPr>
              <w:t xml:space="preserve">Convergence instability — reduce lr if loss oscillates</w:t>
            </w:r>
          </w:p>
          <w:p>
            <w:pPr>
              <w:pStyle w:val="ListParagraph"/>
              <w:numPr>
                <w:ilvl w:val="0"/>
                <w:numId w:val="2"/>
              </w:numPr>
              <w:spacing w:before="30" w:after="30"/>
            </w:pPr>
            <w:r>
              <w:rPr>
                <w:rFonts w:ascii="Arial" w:cs="Arial" w:eastAsia="Arial" w:hAnsi="Arial"/>
                <w:color w:val="222222"/>
                <w:sz w:val="20"/>
                <w:szCs w:val="20"/>
              </w:rPr>
              <w:t xml:space="preserve">3-class imbalance — monitor per-class F1 closely</w:t>
            </w:r>
          </w:p>
        </w:tc>
      </w:tr>
    </w:tbl>
    <w:p>
      <w:pPr>
        <w:spacing w:before="200" w:after="20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4</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Federated Learning Implementation (FedAvg)</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Implement FedAvg across 4 simulated hospital clients using Flower</w:t>
            </w:r>
          </w:p>
          <w:p>
            <w:pPr>
              <w:pStyle w:val="ListParagraph"/>
              <w:numPr>
                <w:ilvl w:val="0"/>
                <w:numId w:val="2"/>
              </w:numPr>
              <w:spacing w:before="30" w:after="30"/>
            </w:pPr>
            <w:r>
              <w:rPr>
                <w:rFonts w:ascii="Arial" w:cs="Arial" w:eastAsia="Arial" w:hAnsi="Arial"/>
                <w:color w:val="222222"/>
                <w:sz w:val="20"/>
                <w:szCs w:val="20"/>
              </w:rPr>
              <w:t xml:space="preserve">Validate that federated accuracy approaches centralised baseline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Install and configure Flower (flwr): pip install flwr</w:t>
            </w:r>
          </w:p>
          <w:p>
            <w:pPr>
              <w:pStyle w:val="ListParagraph"/>
              <w:numPr>
                <w:ilvl w:val="0"/>
                <w:numId w:val="2"/>
              </w:numPr>
              <w:spacing w:before="30" w:after="30"/>
            </w:pPr>
            <w:r>
              <w:rPr>
                <w:rFonts w:ascii="Arial" w:cs="Arial" w:eastAsia="Arial" w:hAnsi="Arial"/>
                <w:color w:val="222222"/>
                <w:sz w:val="20"/>
                <w:szCs w:val="20"/>
              </w:rPr>
              <w:t xml:space="preserve">Define FlowerClient class: implements fit() and evaluate() methods</w:t>
            </w:r>
          </w:p>
          <w:p>
            <w:pPr>
              <w:pStyle w:val="ListParagraph"/>
              <w:numPr>
                <w:ilvl w:val="0"/>
                <w:numId w:val="2"/>
              </w:numPr>
              <w:spacing w:before="30" w:after="30"/>
            </w:pPr>
            <w:r>
              <w:rPr>
                <w:rFonts w:ascii="Arial" w:cs="Arial" w:eastAsia="Arial" w:hAnsi="Arial"/>
                <w:color w:val="222222"/>
                <w:sz w:val="20"/>
                <w:szCs w:val="20"/>
              </w:rPr>
              <w:t xml:space="preserve">fit(): loads local data, trains for E=5 local epochs, returns updated weights</w:t>
            </w:r>
          </w:p>
          <w:p>
            <w:pPr>
              <w:pStyle w:val="ListParagraph"/>
              <w:numPr>
                <w:ilvl w:val="0"/>
                <w:numId w:val="2"/>
              </w:numPr>
              <w:spacing w:before="30" w:after="30"/>
            </w:pPr>
            <w:r>
              <w:rPr>
                <w:rFonts w:ascii="Arial" w:cs="Arial" w:eastAsia="Arial" w:hAnsi="Arial"/>
                <w:color w:val="222222"/>
                <w:sz w:val="20"/>
                <w:szCs w:val="20"/>
              </w:rPr>
              <w:t xml:space="preserve">evaluate(): evaluates global model on local test set, returns loss + metrics</w:t>
            </w:r>
          </w:p>
          <w:p>
            <w:pPr>
              <w:pStyle w:val="ListParagraph"/>
              <w:numPr>
                <w:ilvl w:val="0"/>
                <w:numId w:val="2"/>
              </w:numPr>
              <w:spacing w:before="30" w:after="30"/>
            </w:pPr>
            <w:r>
              <w:rPr>
                <w:rFonts w:ascii="Arial" w:cs="Arial" w:eastAsia="Arial" w:hAnsi="Arial"/>
                <w:color w:val="222222"/>
                <w:sz w:val="20"/>
                <w:szCs w:val="20"/>
              </w:rPr>
              <w:t xml:space="preserve">Define server-side strategy: fl.server.strategy.FedAvg with fraction_fit=1.0</w:t>
            </w:r>
          </w:p>
          <w:p>
            <w:pPr>
              <w:pStyle w:val="ListParagraph"/>
              <w:numPr>
                <w:ilvl w:val="0"/>
                <w:numId w:val="2"/>
              </w:numPr>
              <w:spacing w:before="30" w:after="30"/>
            </w:pPr>
            <w:r>
              <w:rPr>
                <w:rFonts w:ascii="Arial" w:cs="Arial" w:eastAsia="Arial" w:hAnsi="Arial"/>
                <w:color w:val="222222"/>
                <w:sz w:val="20"/>
                <w:szCs w:val="20"/>
              </w:rPr>
              <w:t xml:space="preserve">Set federated training: T=50 rounds, K=4 clients</w:t>
            </w:r>
          </w:p>
          <w:p>
            <w:pPr>
              <w:pStyle w:val="ListParagraph"/>
              <w:numPr>
                <w:ilvl w:val="0"/>
                <w:numId w:val="2"/>
              </w:numPr>
              <w:spacing w:before="30" w:after="30"/>
            </w:pPr>
            <w:r>
              <w:rPr>
                <w:rFonts w:ascii="Arial" w:cs="Arial" w:eastAsia="Arial" w:hAnsi="Arial"/>
                <w:color w:val="222222"/>
                <w:sz w:val="20"/>
                <w:szCs w:val="20"/>
              </w:rPr>
              <w:t xml:space="preserve">Implement weighted FedAvg: aggregate by sample count (n_k / n)</w:t>
            </w:r>
          </w:p>
          <w:p>
            <w:pPr>
              <w:pStyle w:val="ListParagraph"/>
              <w:numPr>
                <w:ilvl w:val="0"/>
                <w:numId w:val="2"/>
              </w:numPr>
              <w:spacing w:before="30" w:after="30"/>
            </w:pPr>
            <w:r>
              <w:rPr>
                <w:rFonts w:ascii="Arial" w:cs="Arial" w:eastAsia="Arial" w:hAnsi="Arial"/>
                <w:color w:val="222222"/>
                <w:sz w:val="20"/>
                <w:szCs w:val="20"/>
              </w:rPr>
              <w:t xml:space="preserve">Save global model checkpoint every 10 rounds</w:t>
            </w:r>
          </w:p>
          <w:p>
            <w:pPr>
              <w:pStyle w:val="ListParagraph"/>
              <w:numPr>
                <w:ilvl w:val="0"/>
                <w:numId w:val="2"/>
              </w:numPr>
              <w:spacing w:before="30" w:after="30"/>
            </w:pPr>
            <w:r>
              <w:rPr>
                <w:rFonts w:ascii="Arial" w:cs="Arial" w:eastAsia="Arial" w:hAnsi="Arial"/>
                <w:color w:val="222222"/>
                <w:sz w:val="20"/>
                <w:szCs w:val="20"/>
              </w:rPr>
              <w:t xml:space="preserve">Evaluate final global model on held-out centralised test set</w:t>
            </w:r>
          </w:p>
          <w:p>
            <w:pPr>
              <w:pStyle w:val="ListParagraph"/>
              <w:numPr>
                <w:ilvl w:val="0"/>
                <w:numId w:val="2"/>
              </w:numPr>
              <w:spacing w:before="30" w:after="30"/>
            </w:pPr>
            <w:r>
              <w:rPr>
                <w:rFonts w:ascii="Arial" w:cs="Arial" w:eastAsia="Arial" w:hAnsi="Arial"/>
                <w:color w:val="222222"/>
                <w:sz w:val="20"/>
                <w:szCs w:val="20"/>
              </w:rPr>
              <w:t xml:space="preserve">Plot: accuracy vs FL round for all clients + global model</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flwr (Flower) — federated learning orchestration</w:t>
            </w:r>
          </w:p>
          <w:p>
            <w:pPr>
              <w:pStyle w:val="ListParagraph"/>
              <w:numPr>
                <w:ilvl w:val="0"/>
                <w:numId w:val="2"/>
              </w:numPr>
              <w:spacing w:before="30" w:after="30"/>
            </w:pPr>
            <w:r>
              <w:rPr>
                <w:rFonts w:ascii="Arial" w:cs="Arial" w:eastAsia="Arial" w:hAnsi="Arial"/>
                <w:color w:val="222222"/>
                <w:sz w:val="20"/>
                <w:szCs w:val="20"/>
              </w:rPr>
              <w:t xml:space="preserve">PyTorch — local model training</w:t>
            </w:r>
          </w:p>
          <w:p>
            <w:pPr>
              <w:pStyle w:val="ListParagraph"/>
              <w:numPr>
                <w:ilvl w:val="0"/>
                <w:numId w:val="2"/>
              </w:numPr>
              <w:spacing w:before="30" w:after="30"/>
            </w:pPr>
            <w:r>
              <w:rPr>
                <w:rFonts w:ascii="Arial" w:cs="Arial" w:eastAsia="Arial" w:hAnsi="Arial"/>
                <w:color w:val="222222"/>
                <w:sz w:val="20"/>
                <w:szCs w:val="20"/>
              </w:rPr>
              <w:t xml:space="preserve">numpy — weight serialisation/deserialisation</w:t>
            </w:r>
          </w:p>
          <w:p>
            <w:pPr>
              <w:pStyle w:val="ListParagraph"/>
              <w:numPr>
                <w:ilvl w:val="0"/>
                <w:numId w:val="2"/>
              </w:numPr>
              <w:spacing w:before="30" w:after="30"/>
            </w:pPr>
            <w:r>
              <w:rPr>
                <w:rFonts w:ascii="Arial" w:cs="Arial" w:eastAsia="Arial" w:hAnsi="Arial"/>
                <w:color w:val="222222"/>
                <w:sz w:val="20"/>
                <w:szCs w:val="20"/>
              </w:rPr>
              <w:t xml:space="preserve">matplotlib — round-wise accuracy curves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Flower client and server scripts: client.py, server.py</w:t>
            </w:r>
          </w:p>
          <w:p>
            <w:pPr>
              <w:pStyle w:val="ListParagraph"/>
              <w:numPr>
                <w:ilvl w:val="0"/>
                <w:numId w:val="2"/>
              </w:numPr>
              <w:spacing w:before="30" w:after="30"/>
            </w:pPr>
            <w:r>
              <w:rPr>
                <w:rFonts w:ascii="Arial" w:cs="Arial" w:eastAsia="Arial" w:hAnsi="Arial"/>
                <w:color w:val="222222"/>
                <w:sz w:val="20"/>
                <w:szCs w:val="20"/>
              </w:rPr>
              <w:t xml:space="preserve">FedAvg convergence plot (accuracy vs round)</w:t>
            </w:r>
          </w:p>
          <w:p>
            <w:pPr>
              <w:pStyle w:val="ListParagraph"/>
              <w:numPr>
                <w:ilvl w:val="0"/>
                <w:numId w:val="2"/>
              </w:numPr>
              <w:spacing w:before="30" w:after="30"/>
            </w:pPr>
            <w:r>
              <w:rPr>
                <w:rFonts w:ascii="Arial" w:cs="Arial" w:eastAsia="Arial" w:hAnsi="Arial"/>
                <w:color w:val="222222"/>
                <w:sz w:val="20"/>
                <w:szCs w:val="20"/>
              </w:rPr>
              <w:t xml:space="preserve">Federated metrics table: Acc, Prec, Rec, F1, AUROC</w:t>
            </w:r>
          </w:p>
          <w:p>
            <w:pPr>
              <w:pStyle w:val="ListParagraph"/>
              <w:numPr>
                <w:ilvl w:val="0"/>
                <w:numId w:val="2"/>
              </w:numPr>
              <w:spacing w:before="30" w:after="30"/>
            </w:pPr>
            <w:r>
              <w:rPr>
                <w:rFonts w:ascii="Arial" w:cs="Arial" w:eastAsia="Arial" w:hAnsi="Arial"/>
                <w:color w:val="222222"/>
                <w:sz w:val="20"/>
                <w:szCs w:val="20"/>
              </w:rPr>
              <w:t xml:space="preserve">Comparison: Centralised vs FedAvg performance gap</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Non-IID data causes client drift — monitor per-client loss divergence</w:t>
            </w:r>
          </w:p>
          <w:p>
            <w:pPr>
              <w:pStyle w:val="ListParagraph"/>
              <w:numPr>
                <w:ilvl w:val="0"/>
                <w:numId w:val="2"/>
              </w:numPr>
              <w:spacing w:before="30" w:after="30"/>
            </w:pPr>
            <w:r>
              <w:rPr>
                <w:rFonts w:ascii="Arial" w:cs="Arial" w:eastAsia="Arial" w:hAnsi="Arial"/>
                <w:color w:val="222222"/>
                <w:sz w:val="20"/>
                <w:szCs w:val="20"/>
              </w:rPr>
              <w:t xml:space="preserve">Communication bottleneck in simulation — use in-process simulation mode</w:t>
            </w:r>
          </w:p>
          <w:p>
            <w:pPr>
              <w:pStyle w:val="ListParagraph"/>
              <w:numPr>
                <w:ilvl w:val="0"/>
                <w:numId w:val="2"/>
              </w:numPr>
              <w:spacing w:before="30" w:after="30"/>
            </w:pPr>
            <w:r>
              <w:rPr>
                <w:rFonts w:ascii="Arial" w:cs="Arial" w:eastAsia="Arial" w:hAnsi="Arial"/>
                <w:color w:val="222222"/>
                <w:sz w:val="20"/>
                <w:szCs w:val="20"/>
              </w:rPr>
              <w:t xml:space="preserve">Weight serialisation: ensure correct parameter ordering (use OrderedDict)</w:t>
            </w:r>
          </w:p>
          <w:p>
            <w:pPr>
              <w:pStyle w:val="ListParagraph"/>
              <w:numPr>
                <w:ilvl w:val="0"/>
                <w:numId w:val="2"/>
              </w:numPr>
              <w:spacing w:before="30" w:after="30"/>
            </w:pPr>
            <w:r>
              <w:rPr>
                <w:rFonts w:ascii="Arial" w:cs="Arial" w:eastAsia="Arial" w:hAnsi="Arial"/>
                <w:color w:val="222222"/>
                <w:sz w:val="20"/>
                <w:szCs w:val="20"/>
              </w:rPr>
              <w:t xml:space="preserve">Flower version compatibility — pin flwr==1.x</w:t>
            </w:r>
          </w:p>
        </w:tc>
      </w:tr>
    </w:tbl>
    <w:p>
      <w:pPr>
        <w:spacing w:before="20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5</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Differential Privacy Integration — Deep Dive</w:t>
            </w:r>
          </w:p>
        </w:tc>
      </w:tr>
    </w:tbl>
    <w:p>
      <w:pPr>
        <w:spacing w:before="100" w:after="100"/>
      </w:pPr>
      <w:r>
        <w:t xml:space="preserve"/>
      </w:r>
    </w:p>
    <w:p>
      <w:pPr>
        <w:pStyle w:val="Heading2"/>
        <w:spacing w:before="300" w:after="120"/>
      </w:pPr>
      <w:r>
        <w:rPr>
          <w:rFonts w:ascii="Arial" w:cs="Arial" w:eastAsia="Arial" w:hAnsi="Arial"/>
          <w:b/>
          <w:bCs/>
          <w:color w:val="1A7A6E"/>
          <w:sz w:val="28"/>
          <w:szCs w:val="28"/>
        </w:rPr>
        <w:t xml:space="preserve">5.1  What is DP-SGD?</w:t>
      </w:r>
    </w:p>
    <w:p>
      <w:pPr>
        <w:spacing w:before="60" w:after="60"/>
        <w:jc w:val="both"/>
      </w:pPr>
      <w:r>
        <w:rPr>
          <w:rFonts w:ascii="Arial" w:cs="Arial" w:eastAsia="Arial" w:hAnsi="Arial"/>
          <w:color w:val="222222"/>
          <w:sz w:val="22"/>
          <w:szCs w:val="22"/>
        </w:rPr>
        <w:t xml:space="preserve">DP-SGD (Differentially Private Stochastic Gradient Descent) is the standard algorithm for training neural networks with differential privacy (Abadi et al., 2016). It modifies standard mini-batch SGD in two steps: (1) gradient clipping, and (2) Gaussian noise addition. Both steps occur per-sample before any gradient is shared or aggregated.</w:t>
      </w:r>
    </w:p>
    <w:p>
      <w:pPr>
        <w:spacing w:before="60" w:after="60"/>
      </w:pPr>
      <w:r>
        <w:t xml:space="preserve"/>
      </w:r>
    </w:p>
    <w:p>
      <w:pPr>
        <w:pStyle w:val="Heading2"/>
        <w:spacing w:before="300" w:after="120"/>
      </w:pPr>
      <w:r>
        <w:rPr>
          <w:rFonts w:ascii="Arial" w:cs="Arial" w:eastAsia="Arial" w:hAnsi="Arial"/>
          <w:b/>
          <w:bCs/>
          <w:color w:val="1A7A6E"/>
          <w:sz w:val="28"/>
          <w:szCs w:val="28"/>
        </w:rPr>
        <w:t xml:space="preserve">5.2  Step-by-Step DP-SGD Implementation with Opacus</w:t>
      </w:r>
    </w:p>
    <w:p>
      <w:pPr>
        <w:pStyle w:val="ListParagraph"/>
        <w:numPr>
          <w:ilvl w:val="0"/>
          <w:numId w:val="3"/>
        </w:numPr>
        <w:spacing w:before="40" w:after="40"/>
      </w:pPr>
      <w:r>
        <w:rPr>
          <w:rFonts w:ascii="Arial" w:cs="Arial" w:eastAsia="Arial" w:hAnsi="Arial"/>
          <w:color w:val="222222"/>
          <w:sz w:val="22"/>
          <w:szCs w:val="22"/>
        </w:rPr>
        <w:t xml:space="preserve">Install Opacus:  pip install opacus</w:t>
      </w:r>
    </w:p>
    <w:p>
      <w:pPr>
        <w:pStyle w:val="ListParagraph"/>
        <w:numPr>
          <w:ilvl w:val="0"/>
          <w:numId w:val="3"/>
        </w:numPr>
        <w:spacing w:before="40" w:after="40"/>
      </w:pPr>
      <w:r>
        <w:rPr>
          <w:rFonts w:ascii="Arial" w:cs="Arial" w:eastAsia="Arial" w:hAnsi="Arial"/>
          <w:color w:val="222222"/>
          <w:sz w:val="22"/>
          <w:szCs w:val="22"/>
        </w:rPr>
        <w:t xml:space="preserve">Wrap the optimiser — Opacus replaces your standard optimiser with a DPOptimizer:</w:t>
      </w:r>
    </w:p>
    <w:p>
      <w:pPr>
        <w:shd w:fill="F0F4F8" w:val="clear"/>
        <w:spacing w:before="80" w:after="80"/>
        <w:ind w:left="360"/>
      </w:pPr>
      <w:r>
        <w:rPr>
          <w:rFonts w:ascii="Courier New" w:cs="Courier New" w:eastAsia="Courier New" w:hAnsi="Courier New"/>
          <w:color w:val="1A1A1A"/>
          <w:sz w:val="18"/>
          <w:szCs w:val="18"/>
        </w:rPr>
        <w:t xml:space="preserve">from opacus import PrivacyEngine
model = VGG19(num_classes=3)
optimiser = torch.optim.Adam(model.parameters(), lr=1e-4)
privacy_engine = PrivacyEngine()
model, optimiser, train_loader = privacy_engine.make_private(
    module=model,
    optimizer=optimiser,
    data_loader=train_loader,
    noise_multiplier=1.1,      # σ — controls noise magnitude
    max_grad_norm=1.0,         # C — clipping norm
)</w:t>
      </w:r>
    </w:p>
    <w:p>
      <w:pPr>
        <w:pStyle w:val="Heading2"/>
        <w:spacing w:before="300" w:after="120"/>
      </w:pPr>
      <w:r>
        <w:rPr>
          <w:rFonts w:ascii="Arial" w:cs="Arial" w:eastAsia="Arial" w:hAnsi="Arial"/>
          <w:b/>
          <w:bCs/>
          <w:color w:val="1A7A6E"/>
          <w:sz w:val="28"/>
          <w:szCs w:val="28"/>
        </w:rPr>
        <w:t xml:space="preserve">5.3  Gradient Clipping</w:t>
      </w:r>
    </w:p>
    <w:p>
      <w:pPr>
        <w:spacing w:before="60" w:after="60"/>
        <w:jc w:val="both"/>
      </w:pPr>
      <w:r>
        <w:rPr>
          <w:rFonts w:ascii="Arial" w:cs="Arial" w:eastAsia="Arial" w:hAnsi="Arial"/>
          <w:color w:val="222222"/>
          <w:sz w:val="22"/>
          <w:szCs w:val="22"/>
        </w:rPr>
        <w:t xml:space="preserve">For each sample i in a mini-batch, compute its per-sample gradient g_i. Clip to L2 norm C:</w:t>
      </w:r>
    </w:p>
    <w:p>
      <w:pPr>
        <w:spacing w:before="100" w:after="60"/>
        <w:jc w:val="center"/>
      </w:pPr>
      <w:r>
        <w:rPr>
          <w:rFonts w:ascii="Courier New" w:cs="Courier New" w:eastAsia="Courier New" w:hAnsi="Courier New"/>
          <w:b/>
          <w:bCs/>
          <w:color w:val="1B3A6B"/>
          <w:sz w:val="22"/>
          <w:szCs w:val="22"/>
        </w:rPr>
        <w:t xml:space="preserve">g̃_i  =  g_i  /  max(1,  ‖g_i‖₂ / C)</w:t>
      </w:r>
    </w:p>
    <w:p>
      <w:pPr>
        <w:spacing w:before="60" w:after="60"/>
        <w:jc w:val="both"/>
      </w:pPr>
      <w:r>
        <w:rPr>
          <w:rFonts w:ascii="Arial" w:cs="Arial" w:eastAsia="Arial" w:hAnsi="Arial"/>
          <w:color w:val="222222"/>
          <w:sz w:val="22"/>
          <w:szCs w:val="22"/>
        </w:rPr>
        <w:t xml:space="preserve">Opacus handles per-sample clipping automatically via hooks on the model parameters. Set max_grad_norm=1.0 (a common default). Larger C allows more information through but reduces privacy; smaller C tightens privacy but may slow convergence.</w:t>
      </w:r>
    </w:p>
    <w:p>
      <w:pPr>
        <w:spacing w:before="60" w:after="60"/>
      </w:pPr>
      <w:r>
        <w:t xml:space="preserve"/>
      </w:r>
    </w:p>
    <w:p>
      <w:pPr>
        <w:pStyle w:val="Heading2"/>
        <w:spacing w:before="300" w:after="120"/>
      </w:pPr>
      <w:r>
        <w:rPr>
          <w:rFonts w:ascii="Arial" w:cs="Arial" w:eastAsia="Arial" w:hAnsi="Arial"/>
          <w:b/>
          <w:bCs/>
          <w:color w:val="1A7A6E"/>
          <w:sz w:val="28"/>
          <w:szCs w:val="28"/>
        </w:rPr>
        <w:t xml:space="preserve">5.4  Noise Addition</w:t>
      </w:r>
    </w:p>
    <w:p>
      <w:pPr>
        <w:spacing w:before="60" w:after="60"/>
        <w:jc w:val="both"/>
      </w:pPr>
      <w:r>
        <w:rPr>
          <w:rFonts w:ascii="Arial" w:cs="Arial" w:eastAsia="Arial" w:hAnsi="Arial"/>
          <w:color w:val="222222"/>
          <w:sz w:val="22"/>
          <w:szCs w:val="22"/>
        </w:rPr>
        <w:t xml:space="preserve">After clipping, sum the per-sample clipped gradients and add calibrated Gaussian noise:</w:t>
      </w:r>
    </w:p>
    <w:p>
      <w:pPr>
        <w:spacing w:before="100" w:after="60"/>
        <w:jc w:val="center"/>
      </w:pPr>
      <w:r>
        <w:rPr>
          <w:rFonts w:ascii="Courier New" w:cs="Courier New" w:eastAsia="Courier New" w:hAnsi="Courier New"/>
          <w:b/>
          <w:bCs/>
          <w:color w:val="1B3A6B"/>
          <w:sz w:val="22"/>
          <w:szCs w:val="22"/>
        </w:rPr>
        <w:t xml:space="preserve">g̃_batch  =  (1/B)  ·  [ Σ g̃_i  +  N(0, σ²C²I) ]</w:t>
      </w:r>
    </w:p>
    <w:p>
      <w:pPr>
        <w:spacing w:before="60" w:after="60"/>
        <w:jc w:val="both"/>
      </w:pPr>
      <w:r>
        <w:rPr>
          <w:rFonts w:ascii="Arial" w:cs="Arial" w:eastAsia="Arial" w:hAnsi="Arial"/>
          <w:color w:val="222222"/>
          <w:sz w:val="22"/>
          <w:szCs w:val="22"/>
        </w:rPr>
        <w:t xml:space="preserve">σ is the noise_multiplier. The ratio σ/C (signal-to-noise) determines the privacy–utility trade-off. Higher σ → stronger privacy, lower accuracy. In practice, σ ∈ [0.8, 1.5] gives good utility at reasonable ε.</w:t>
      </w:r>
    </w:p>
    <w:p>
      <w:pPr>
        <w:spacing w:before="60" w:after="60"/>
      </w:pPr>
      <w:r>
        <w:t xml:space="preserve"/>
      </w:r>
    </w:p>
    <w:p>
      <w:pPr>
        <w:pStyle w:val="Heading2"/>
        <w:spacing w:before="300" w:after="120"/>
      </w:pPr>
      <w:r>
        <w:rPr>
          <w:rFonts w:ascii="Arial" w:cs="Arial" w:eastAsia="Arial" w:hAnsi="Arial"/>
          <w:b/>
          <w:bCs/>
          <w:color w:val="1A7A6E"/>
          <w:sz w:val="28"/>
          <w:szCs w:val="28"/>
        </w:rPr>
        <w:t xml:space="preserve">5.5  Privacy Budget (ε) Tracking</w:t>
      </w:r>
    </w:p>
    <w:p>
      <w:pPr>
        <w:spacing w:before="60" w:after="60"/>
        <w:jc w:val="both"/>
      </w:pPr>
      <w:r>
        <w:rPr>
          <w:rFonts w:ascii="Arial" w:cs="Arial" w:eastAsia="Arial" w:hAnsi="Arial"/>
          <w:color w:val="222222"/>
          <w:sz w:val="22"/>
          <w:szCs w:val="22"/>
        </w:rPr>
        <w:t xml:space="preserve">Use the moments accountant (Opacus built-in) to track total ε spent across training:</w:t>
      </w:r>
    </w:p>
    <w:p>
      <w:pPr>
        <w:shd w:fill="F0F4F8" w:val="clear"/>
        <w:spacing w:before="80" w:after="80"/>
        <w:ind w:left="360"/>
      </w:pPr>
      <w:r>
        <w:rPr>
          <w:rFonts w:ascii="Courier New" w:cs="Courier New" w:eastAsia="Courier New" w:hAnsi="Courier New"/>
          <w:color w:val="1A1A1A"/>
          <w:sz w:val="18"/>
          <w:szCs w:val="18"/>
        </w:rPr>
        <w:t xml:space="preserve"># After each epoch or round:
epsilon = privacy_engine.get_epsilon(delta=1e-5)
print(f'Privacy budget spent: ε = {epsilon:.2f}, δ = 1e-5')</w:t>
      </w:r>
    </w:p>
    <w:p>
      <w:pPr>
        <w:spacing w:before="60" w:after="60"/>
        <w:jc w:val="both"/>
      </w:pPr>
      <w:r>
        <w:rPr>
          <w:rFonts w:ascii="Arial" w:cs="Arial" w:eastAsia="Arial" w:hAnsi="Arial"/>
          <w:color w:val="222222"/>
          <w:sz w:val="22"/>
          <w:szCs w:val="22"/>
        </w:rPr>
        <w:t xml:space="preserve">Target ε ≤ 2.0 for strong privacy. Run experiments at ε ∈ {1.0, 1.5, 2.0, 5.0, 10.0} to map the full privacy–utility curve. δ = 1e-5 is standard for ML (δ &lt; 1/n where n = dataset size).</w:t>
      </w:r>
    </w:p>
    <w:p>
      <w:pPr>
        <w:spacing w:before="60" w:after="60"/>
      </w:pPr>
      <w:r>
        <w:t xml:space="preserve"/>
      </w:r>
    </w:p>
    <w:p>
      <w:pPr>
        <w:pStyle w:val="Heading2"/>
        <w:spacing w:before="300" w:after="120"/>
      </w:pPr>
      <w:r>
        <w:rPr>
          <w:rFonts w:ascii="Arial" w:cs="Arial" w:eastAsia="Arial" w:hAnsi="Arial"/>
          <w:b/>
          <w:bCs/>
          <w:color w:val="1A7A6E"/>
          <w:sz w:val="28"/>
          <w:szCs w:val="28"/>
        </w:rPr>
        <w:t xml:space="preserve">5.6  Integrating DP with Federated Learning</w:t>
      </w:r>
    </w:p>
    <w:p>
      <w:pPr>
        <w:spacing w:before="60" w:after="60"/>
        <w:jc w:val="both"/>
      </w:pPr>
      <w:r>
        <w:rPr>
          <w:rFonts w:ascii="Arial" w:cs="Arial" w:eastAsia="Arial" w:hAnsi="Arial"/>
          <w:color w:val="222222"/>
          <w:sz w:val="22"/>
          <w:szCs w:val="22"/>
        </w:rPr>
        <w:t xml:space="preserve">In federated DP, each client applies DP-SGD locally before sending its update to the server. This means DP is applied per-client, and the server receives already-noised, clipped updates. The steps are:</w:t>
      </w:r>
    </w:p>
    <w:p>
      <w:pPr>
        <w:pStyle w:val="ListParagraph"/>
        <w:numPr>
          <w:ilvl w:val="0"/>
          <w:numId w:val="3"/>
        </w:numPr>
        <w:spacing w:before="40" w:after="40"/>
      </w:pPr>
      <w:r>
        <w:rPr>
          <w:rFonts w:ascii="Arial" w:cs="Arial" w:eastAsia="Arial" w:hAnsi="Arial"/>
          <w:color w:val="222222"/>
          <w:sz w:val="22"/>
          <w:szCs w:val="22"/>
        </w:rPr>
        <w:t xml:space="preserve">Client initialises PrivacyEngine with its local train_loader, noise_multiplier, and max_grad_norm.</w:t>
      </w:r>
    </w:p>
    <w:p>
      <w:pPr>
        <w:pStyle w:val="ListParagraph"/>
        <w:numPr>
          <w:ilvl w:val="0"/>
          <w:numId w:val="3"/>
        </w:numPr>
        <w:spacing w:before="40" w:after="40"/>
      </w:pPr>
      <w:r>
        <w:rPr>
          <w:rFonts w:ascii="Arial" w:cs="Arial" w:eastAsia="Arial" w:hAnsi="Arial"/>
          <w:color w:val="222222"/>
          <w:sz w:val="22"/>
          <w:szCs w:val="22"/>
        </w:rPr>
        <w:t xml:space="preserve">Client trains locally for E epochs — Opacus automatically clips per-sample gradients and adds noise on each backward pass.</w:t>
      </w:r>
    </w:p>
    <w:p>
      <w:pPr>
        <w:pStyle w:val="ListParagraph"/>
        <w:numPr>
          <w:ilvl w:val="0"/>
          <w:numId w:val="3"/>
        </w:numPr>
        <w:spacing w:before="40" w:after="40"/>
      </w:pPr>
      <w:r>
        <w:rPr>
          <w:rFonts w:ascii="Arial" w:cs="Arial" w:eastAsia="Arial" w:hAnsi="Arial"/>
          <w:color w:val="222222"/>
          <w:sz w:val="22"/>
          <w:szCs w:val="22"/>
        </w:rPr>
        <w:t xml:space="preserve">Client calls privacy_engine.get_epsilon(delta=1e-5) to log the local budget spent this round.</w:t>
      </w:r>
    </w:p>
    <w:p>
      <w:pPr>
        <w:pStyle w:val="ListParagraph"/>
        <w:numPr>
          <w:ilvl w:val="0"/>
          <w:numId w:val="3"/>
        </w:numPr>
        <w:spacing w:before="40" w:after="40"/>
      </w:pPr>
      <w:r>
        <w:rPr>
          <w:rFonts w:ascii="Arial" w:cs="Arial" w:eastAsia="Arial" w:hAnsi="Arial"/>
          <w:color w:val="222222"/>
          <w:sz w:val="22"/>
          <w:szCs w:val="22"/>
        </w:rPr>
        <w:t xml:space="preserve">Client sends the noised, clipped model parameters (or parameter delta) to the server via Flower's fit() return.</w:t>
      </w:r>
    </w:p>
    <w:p>
      <w:pPr>
        <w:pStyle w:val="ListParagraph"/>
        <w:numPr>
          <w:ilvl w:val="0"/>
          <w:numId w:val="3"/>
        </w:numPr>
        <w:spacing w:before="40" w:after="40"/>
      </w:pPr>
      <w:r>
        <w:rPr>
          <w:rFonts w:ascii="Arial" w:cs="Arial" w:eastAsia="Arial" w:hAnsi="Arial"/>
          <w:color w:val="222222"/>
          <w:sz w:val="22"/>
          <w:szCs w:val="22"/>
        </w:rPr>
        <w:t xml:space="preserve">Server performs FedAvg aggregation: θ_global = Σ (n_k / n) · θ_k.</w:t>
      </w:r>
    </w:p>
    <w:p>
      <w:pPr>
        <w:pStyle w:val="ListParagraph"/>
        <w:numPr>
          <w:ilvl w:val="0"/>
          <w:numId w:val="3"/>
        </w:numPr>
        <w:spacing w:before="40" w:after="40"/>
      </w:pPr>
      <w:r>
        <w:rPr>
          <w:rFonts w:ascii="Arial" w:cs="Arial" w:eastAsia="Arial" w:hAnsi="Arial"/>
          <w:color w:val="222222"/>
          <w:sz w:val="22"/>
          <w:szCs w:val="22"/>
        </w:rPr>
        <w:t xml:space="preserve">Global model is distributed back; ε budget accumulates across rounds via moments accountant.</w:t>
      </w:r>
    </w:p>
    <w:p>
      <w:pPr>
        <w:spacing w:before="60" w:after="60"/>
        <w:jc w:val="both"/>
      </w:pPr>
      <w:r>
        <w:rPr>
          <w:rFonts w:ascii="Arial" w:cs="Arial" w:eastAsia="Arial" w:hAnsi="Arial"/>
          <w:color w:val="222222"/>
          <w:sz w:val="22"/>
          <w:szCs w:val="22"/>
        </w:rPr>
        <w:t xml:space="preserve">Important: the privacy guarantee is per-client (local DP). The total ε across all T rounds is bounded by the composition theorem — Opacus tracks this automatically.</w:t>
      </w:r>
    </w:p>
    <w:p>
      <w:pPr>
        <w:spacing w:before="60" w:after="60"/>
      </w:pPr>
      <w:r>
        <w:t xml:space="preserve"/>
      </w:r>
    </w:p>
    <w:p>
      <w:pPr>
        <w:pStyle w:val="Heading2"/>
        <w:spacing w:before="300" w:after="120"/>
      </w:pPr>
      <w:r>
        <w:rPr>
          <w:rFonts w:ascii="Arial" w:cs="Arial" w:eastAsia="Arial" w:hAnsi="Arial"/>
          <w:b/>
          <w:bCs/>
          <w:color w:val="1A7A6E"/>
          <w:sz w:val="28"/>
          <w:szCs w:val="28"/>
        </w:rPr>
        <w:t xml:space="preserve">5.7  Measuring Privacy Guarantees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ε (epsilon)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before="30" w:after="30"/>
            </w:pPr>
            <w:r>
              <w:rPr>
                <w:rFonts w:ascii="Arial" w:cs="Arial" w:eastAsia="Arial" w:hAnsi="Arial"/>
                <w:color w:val="222222"/>
                <w:sz w:val="20"/>
                <w:szCs w:val="20"/>
              </w:rPr>
              <w:t xml:space="preserve">Primary privacy budget. ε = 1.0: very strong. ε = 2.0: strong. ε = 10.0: moderate. Track after every round.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δ (delta)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before="30" w:after="30"/>
            </w:pPr>
            <w:r>
              <w:rPr>
                <w:rFonts w:ascii="Arial" w:cs="Arial" w:eastAsia="Arial" w:hAnsi="Arial"/>
                <w:color w:val="222222"/>
                <w:sz w:val="20"/>
                <w:szCs w:val="20"/>
              </w:rPr>
              <w:t xml:space="preserve">Failure probability. Set δ = 1e-5 (significantly smaller than 1/n). Never let δ &gt; 0.01.</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σ (noise mult.)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before="30" w:after="30"/>
            </w:pPr>
            <w:r>
              <w:rPr>
                <w:rFonts w:ascii="Arial" w:cs="Arial" w:eastAsia="Arial" w:hAnsi="Arial"/>
                <w:color w:val="222222"/>
                <w:sz w:val="20"/>
                <w:szCs w:val="20"/>
              </w:rPr>
              <w:t xml:space="preserve">Directly controls noise magnitude. σ = 1.1 → ε ≈ 2.0 over 50 rounds. Tune σ to hit target ε.</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MIA Accuracy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before="30" w:after="30"/>
            </w:pPr>
            <w:r>
              <w:rPr>
                <w:rFonts w:ascii="Arial" w:cs="Arial" w:eastAsia="Arial" w:hAnsi="Arial"/>
                <w:color w:val="222222"/>
                <w:sz w:val="20"/>
                <w:szCs w:val="20"/>
              </w:rPr>
              <w:t xml:space="preserve">Run a shadow-model Membership Inference Attack. Target MIA accuracy close to 50% (random guessing) for strong privacy.</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Gradient norm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before="30" w:after="30"/>
            </w:pPr>
            <w:r>
              <w:rPr>
                <w:rFonts w:ascii="Arial" w:cs="Arial" w:eastAsia="Arial" w:hAnsi="Arial"/>
                <w:color w:val="222222"/>
                <w:sz w:val="20"/>
                <w:szCs w:val="20"/>
              </w:rPr>
              <w:t xml:space="preserve">Monitor average gradient L2 norm before and after clipping. If &gt;80% of gradients are clipped, reduce the model learning rate.</w:t>
            </w:r>
          </w:p>
        </w:tc>
      </w:tr>
    </w:tbl>
    <w:p>
      <w:pPr>
        <w:spacing w:before="200" w:after="20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6</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Explainable AI Integration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Generate Grad-CAM heatmaps showing which MRI regions drive classification</w:t>
            </w:r>
          </w:p>
          <w:p>
            <w:pPr>
              <w:pStyle w:val="ListParagraph"/>
              <w:numPr>
                <w:ilvl w:val="0"/>
                <w:numId w:val="2"/>
              </w:numPr>
              <w:spacing w:before="30" w:after="30"/>
            </w:pPr>
            <w:r>
              <w:rPr>
                <w:rFonts w:ascii="Arial" w:cs="Arial" w:eastAsia="Arial" w:hAnsi="Arial"/>
                <w:color w:val="222222"/>
                <w:sz w:val="20"/>
                <w:szCs w:val="20"/>
              </w:rPr>
              <w:t xml:space="preserve">Compute SHAP values for global feature importance</w:t>
            </w:r>
          </w:p>
          <w:p>
            <w:pPr>
              <w:pStyle w:val="ListParagraph"/>
              <w:numPr>
                <w:ilvl w:val="0"/>
                <w:numId w:val="2"/>
              </w:numPr>
              <w:spacing w:before="30" w:after="30"/>
            </w:pPr>
            <w:r>
              <w:rPr>
                <w:rFonts w:ascii="Arial" w:cs="Arial" w:eastAsia="Arial" w:hAnsi="Arial"/>
                <w:color w:val="222222"/>
                <w:sz w:val="20"/>
                <w:szCs w:val="20"/>
              </w:rPr>
              <w:t xml:space="preserve">Validate that model focuses on clinically relevant brain regions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Install: pip install captum grad-cam shap</w:t>
            </w:r>
          </w:p>
          <w:p>
            <w:pPr>
              <w:pStyle w:val="ListParagraph"/>
              <w:numPr>
                <w:ilvl w:val="0"/>
                <w:numId w:val="2"/>
              </w:numPr>
              <w:spacing w:before="30" w:after="30"/>
            </w:pPr>
            <w:r>
              <w:rPr>
                <w:rFonts w:ascii="Arial" w:cs="Arial" w:eastAsia="Arial" w:hAnsi="Arial"/>
                <w:color w:val="222222"/>
                <w:sz w:val="20"/>
                <w:szCs w:val="20"/>
              </w:rPr>
              <w:t xml:space="preserve">Implement GradCAM using pytorch-grad-cam targeting the last Conv layer</w:t>
            </w:r>
          </w:p>
          <w:p>
            <w:pPr>
              <w:pStyle w:val="ListParagraph"/>
              <w:numPr>
                <w:ilvl w:val="0"/>
                <w:numId w:val="2"/>
              </w:numPr>
              <w:spacing w:before="30" w:after="30"/>
            </w:pPr>
            <w:r>
              <w:rPr>
                <w:rFonts w:ascii="Arial" w:cs="Arial" w:eastAsia="Arial" w:hAnsi="Arial"/>
                <w:color w:val="222222"/>
                <w:sz w:val="20"/>
                <w:szCs w:val="20"/>
              </w:rPr>
              <w:t xml:space="preserve">Generate heatmaps for 10+ correctly classified samples per class (CN/MCI/AD)</w:t>
            </w:r>
          </w:p>
          <w:p>
            <w:pPr>
              <w:pStyle w:val="ListParagraph"/>
              <w:numPr>
                <w:ilvl w:val="0"/>
                <w:numId w:val="2"/>
              </w:numPr>
              <w:spacing w:before="30" w:after="30"/>
            </w:pPr>
            <w:r>
              <w:rPr>
                <w:rFonts w:ascii="Arial" w:cs="Arial" w:eastAsia="Arial" w:hAnsi="Arial"/>
                <w:color w:val="222222"/>
                <w:sz w:val="20"/>
                <w:szCs w:val="20"/>
              </w:rPr>
              <w:t xml:space="preserve">Overlay heatmaps on original MRI slices using matplotlib/PIL</w:t>
            </w:r>
          </w:p>
          <w:p>
            <w:pPr>
              <w:pStyle w:val="ListParagraph"/>
              <w:numPr>
                <w:ilvl w:val="0"/>
                <w:numId w:val="2"/>
              </w:numPr>
              <w:spacing w:before="30" w:after="30"/>
            </w:pPr>
            <w:r>
              <w:rPr>
                <w:rFonts w:ascii="Arial" w:cs="Arial" w:eastAsia="Arial" w:hAnsi="Arial"/>
                <w:color w:val="222222"/>
                <w:sz w:val="20"/>
                <w:szCs w:val="20"/>
              </w:rPr>
              <w:t xml:space="preserve">Implement SHAP with GradientExplainer (fast) or KernelSHAP (model-agnostic)</w:t>
            </w:r>
          </w:p>
          <w:p>
            <w:pPr>
              <w:pStyle w:val="ListParagraph"/>
              <w:numPr>
                <w:ilvl w:val="0"/>
                <w:numId w:val="2"/>
              </w:numPr>
              <w:spacing w:before="30" w:after="30"/>
            </w:pPr>
            <w:r>
              <w:rPr>
                <w:rFonts w:ascii="Arial" w:cs="Arial" w:eastAsia="Arial" w:hAnsi="Arial"/>
                <w:color w:val="222222"/>
                <w:sz w:val="20"/>
                <w:szCs w:val="20"/>
              </w:rPr>
              <w:t xml:space="preserve">Compute SHAP values on held-out validation set (200 samples)</w:t>
            </w:r>
          </w:p>
          <w:p>
            <w:pPr>
              <w:pStyle w:val="ListParagraph"/>
              <w:numPr>
                <w:ilvl w:val="0"/>
                <w:numId w:val="2"/>
              </w:numPr>
              <w:spacing w:before="30" w:after="30"/>
            </w:pPr>
            <w:r>
              <w:rPr>
                <w:rFonts w:ascii="Arial" w:cs="Arial" w:eastAsia="Arial" w:hAnsi="Arial"/>
                <w:color w:val="222222"/>
                <w:sz w:val="20"/>
                <w:szCs w:val="20"/>
              </w:rPr>
              <w:t xml:space="preserve">Plot SHAP summary plot and bar chart of top-20 features</w:t>
            </w:r>
          </w:p>
          <w:p>
            <w:pPr>
              <w:pStyle w:val="ListParagraph"/>
              <w:numPr>
                <w:ilvl w:val="0"/>
                <w:numId w:val="2"/>
              </w:numPr>
              <w:spacing w:before="30" w:after="30"/>
            </w:pPr>
            <w:r>
              <w:rPr>
                <w:rFonts w:ascii="Arial" w:cs="Arial" w:eastAsia="Arial" w:hAnsi="Arial"/>
                <w:color w:val="222222"/>
                <w:sz w:val="20"/>
                <w:szCs w:val="20"/>
              </w:rPr>
              <w:t xml:space="preserve">Clinically validate: AD heatmaps should highlight hippocampus / entorhinal cortex</w:t>
            </w:r>
          </w:p>
          <w:p>
            <w:pPr>
              <w:pStyle w:val="ListParagraph"/>
              <w:numPr>
                <w:ilvl w:val="0"/>
                <w:numId w:val="2"/>
              </w:numPr>
              <w:spacing w:before="30" w:after="30"/>
            </w:pPr>
            <w:r>
              <w:rPr>
                <w:rFonts w:ascii="Arial" w:cs="Arial" w:eastAsia="Arial" w:hAnsi="Arial"/>
                <w:color w:val="222222"/>
                <w:sz w:val="20"/>
                <w:szCs w:val="20"/>
              </w:rPr>
              <w:t xml:space="preserve">Save all Grad-CAM and SHAP visualisations to /results/xai/</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captum (PyTorch) — GradCAM, IntegratedGradients</w:t>
            </w:r>
          </w:p>
          <w:p>
            <w:pPr>
              <w:pStyle w:val="ListParagraph"/>
              <w:numPr>
                <w:ilvl w:val="0"/>
                <w:numId w:val="2"/>
              </w:numPr>
              <w:spacing w:before="30" w:after="30"/>
            </w:pPr>
            <w:r>
              <w:rPr>
                <w:rFonts w:ascii="Arial" w:cs="Arial" w:eastAsia="Arial" w:hAnsi="Arial"/>
                <w:color w:val="222222"/>
                <w:sz w:val="20"/>
                <w:szCs w:val="20"/>
              </w:rPr>
              <w:t xml:space="preserve">pytorch-grad-cam — EigenCAM, GradCAM++</w:t>
            </w:r>
          </w:p>
          <w:p>
            <w:pPr>
              <w:pStyle w:val="ListParagraph"/>
              <w:numPr>
                <w:ilvl w:val="0"/>
                <w:numId w:val="2"/>
              </w:numPr>
              <w:spacing w:before="30" w:after="30"/>
            </w:pPr>
            <w:r>
              <w:rPr>
                <w:rFonts w:ascii="Arial" w:cs="Arial" w:eastAsia="Arial" w:hAnsi="Arial"/>
                <w:color w:val="222222"/>
                <w:sz w:val="20"/>
                <w:szCs w:val="20"/>
              </w:rPr>
              <w:t xml:space="preserve">shap — GradientExplainer, KernelSHAP</w:t>
            </w:r>
          </w:p>
          <w:p>
            <w:pPr>
              <w:pStyle w:val="ListParagraph"/>
              <w:numPr>
                <w:ilvl w:val="0"/>
                <w:numId w:val="2"/>
              </w:numPr>
              <w:spacing w:before="30" w:after="30"/>
            </w:pPr>
            <w:r>
              <w:rPr>
                <w:rFonts w:ascii="Arial" w:cs="Arial" w:eastAsia="Arial" w:hAnsi="Arial"/>
                <w:color w:val="222222"/>
                <w:sz w:val="20"/>
                <w:szCs w:val="20"/>
              </w:rPr>
              <w:t xml:space="preserve">nibabel, matplotlib — overlay visualisation</w:t>
            </w:r>
          </w:p>
          <w:p>
            <w:pPr>
              <w:pStyle w:val="ListParagraph"/>
              <w:numPr>
                <w:ilvl w:val="0"/>
                <w:numId w:val="2"/>
              </w:numPr>
              <w:spacing w:before="30" w:after="30"/>
            </w:pPr>
            <w:r>
              <w:rPr>
                <w:rFonts w:ascii="Arial" w:cs="Arial" w:eastAsia="Arial" w:hAnsi="Arial"/>
                <w:color w:val="222222"/>
                <w:sz w:val="20"/>
                <w:szCs w:val="20"/>
              </w:rPr>
              <w:t xml:space="preserve">PIL / cv2 — heatmap colour mapping (jet colormap)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Grad-CAM heatmap grid: CN / MCI / AD side-by-side comparisons</w:t>
            </w:r>
          </w:p>
          <w:p>
            <w:pPr>
              <w:pStyle w:val="ListParagraph"/>
              <w:numPr>
                <w:ilvl w:val="0"/>
                <w:numId w:val="2"/>
              </w:numPr>
              <w:spacing w:before="30" w:after="30"/>
            </w:pPr>
            <w:r>
              <w:rPr>
                <w:rFonts w:ascii="Arial" w:cs="Arial" w:eastAsia="Arial" w:hAnsi="Arial"/>
                <w:color w:val="222222"/>
                <w:sz w:val="20"/>
                <w:szCs w:val="20"/>
              </w:rPr>
              <w:t xml:space="preserve">SHAP summary plot showing top-20 feature contributions</w:t>
            </w:r>
          </w:p>
          <w:p>
            <w:pPr>
              <w:pStyle w:val="ListParagraph"/>
              <w:numPr>
                <w:ilvl w:val="0"/>
                <w:numId w:val="2"/>
              </w:numPr>
              <w:spacing w:before="30" w:after="30"/>
            </w:pPr>
            <w:r>
              <w:rPr>
                <w:rFonts w:ascii="Arial" w:cs="Arial" w:eastAsia="Arial" w:hAnsi="Arial"/>
                <w:color w:val="222222"/>
                <w:sz w:val="20"/>
                <w:szCs w:val="20"/>
              </w:rPr>
              <w:t xml:space="preserve">XAI validation note: confirm hippocampal activation for AD class</w:t>
            </w:r>
          </w:p>
          <w:p>
            <w:pPr>
              <w:pStyle w:val="ListParagraph"/>
              <w:numPr>
                <w:ilvl w:val="0"/>
                <w:numId w:val="2"/>
              </w:numPr>
              <w:spacing w:before="30" w:after="30"/>
            </w:pPr>
            <w:r>
              <w:rPr>
                <w:rFonts w:ascii="Arial" w:cs="Arial" w:eastAsia="Arial" w:hAnsi="Arial"/>
                <w:color w:val="222222"/>
                <w:sz w:val="20"/>
                <w:szCs w:val="20"/>
              </w:rPr>
              <w:t xml:space="preserve">Code: gradcam_analysis.py, shap_analysis.py</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Grad-CAM on 2D slices of 3D MRI requires careful slice selection</w:t>
            </w:r>
          </w:p>
          <w:p>
            <w:pPr>
              <w:pStyle w:val="ListParagraph"/>
              <w:numPr>
                <w:ilvl w:val="0"/>
                <w:numId w:val="2"/>
              </w:numPr>
              <w:spacing w:before="30" w:after="30"/>
            </w:pPr>
            <w:r>
              <w:rPr>
                <w:rFonts w:ascii="Arial" w:cs="Arial" w:eastAsia="Arial" w:hAnsi="Arial"/>
                <w:color w:val="222222"/>
                <w:sz w:val="20"/>
                <w:szCs w:val="20"/>
              </w:rPr>
              <w:t xml:space="preserve">SHAP on CNN is computationally expensive — use a subset (200 samples max)</w:t>
            </w:r>
          </w:p>
          <w:p>
            <w:pPr>
              <w:pStyle w:val="ListParagraph"/>
              <w:numPr>
                <w:ilvl w:val="0"/>
                <w:numId w:val="2"/>
              </w:numPr>
              <w:spacing w:before="30" w:after="30"/>
            </w:pPr>
            <w:r>
              <w:rPr>
                <w:rFonts w:ascii="Arial" w:cs="Arial" w:eastAsia="Arial" w:hAnsi="Arial"/>
                <w:color w:val="222222"/>
                <w:sz w:val="20"/>
                <w:szCs w:val="20"/>
              </w:rPr>
              <w:t xml:space="preserve">Low-quality heatmaps indicate wrong target layer — try last 3 conv layers</w:t>
            </w:r>
          </w:p>
          <w:p>
            <w:pPr>
              <w:pStyle w:val="ListParagraph"/>
              <w:numPr>
                <w:ilvl w:val="0"/>
                <w:numId w:val="2"/>
              </w:numPr>
              <w:spacing w:before="30" w:after="30"/>
            </w:pPr>
            <w:r>
              <w:rPr>
                <w:rFonts w:ascii="Arial" w:cs="Arial" w:eastAsia="Arial" w:hAnsi="Arial"/>
                <w:color w:val="222222"/>
                <w:sz w:val="20"/>
                <w:szCs w:val="20"/>
              </w:rPr>
              <w:t xml:space="preserve">SHAP background distribution selection: use mean of training data</w:t>
            </w:r>
          </w:p>
        </w:tc>
      </w:tr>
    </w:tbl>
    <w:p>
      <w:pPr>
        <w:spacing w:before="20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7</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Evaluation &amp; Experiments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Run all comparison experiments to populate paper results tables</w:t>
            </w:r>
          </w:p>
          <w:p>
            <w:pPr>
              <w:pStyle w:val="ListParagraph"/>
              <w:numPr>
                <w:ilvl w:val="0"/>
                <w:numId w:val="2"/>
              </w:numPr>
              <w:spacing w:before="30" w:after="30"/>
            </w:pPr>
            <w:r>
              <w:rPr>
                <w:rFonts w:ascii="Arial" w:cs="Arial" w:eastAsia="Arial" w:hAnsi="Arial"/>
                <w:color w:val="222222"/>
                <w:sz w:val="20"/>
                <w:szCs w:val="20"/>
              </w:rPr>
              <w:t xml:space="preserve">Measure privacy–utility trade-off across multiple ε values</w:t>
            </w:r>
          </w:p>
          <w:p>
            <w:pPr>
              <w:pStyle w:val="ListParagraph"/>
              <w:numPr>
                <w:ilvl w:val="0"/>
                <w:numId w:val="2"/>
              </w:numPr>
              <w:spacing w:before="30" w:after="30"/>
            </w:pPr>
            <w:r>
              <w:rPr>
                <w:rFonts w:ascii="Arial" w:cs="Arial" w:eastAsia="Arial" w:hAnsi="Arial"/>
                <w:color w:val="222222"/>
                <w:sz w:val="20"/>
                <w:szCs w:val="20"/>
              </w:rPr>
              <w:t xml:space="preserve">Assess explainability quality against clinical knowledge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Experiment 1: Centralised VGG19 vs FedAvg VGG19 (baseline comparison)</w:t>
            </w:r>
          </w:p>
          <w:p>
            <w:pPr>
              <w:pStyle w:val="ListParagraph"/>
              <w:numPr>
                <w:ilvl w:val="0"/>
                <w:numId w:val="2"/>
              </w:numPr>
              <w:spacing w:before="30" w:after="30"/>
            </w:pPr>
            <w:r>
              <w:rPr>
                <w:rFonts w:ascii="Arial" w:cs="Arial" w:eastAsia="Arial" w:hAnsi="Arial"/>
                <w:color w:val="222222"/>
                <w:sz w:val="20"/>
                <w:szCs w:val="20"/>
              </w:rPr>
              <w:t xml:space="preserve">Experiment 2: Centralised ResNet50 vs FedAvg ResNet50</w:t>
            </w:r>
          </w:p>
          <w:p>
            <w:pPr>
              <w:pStyle w:val="ListParagraph"/>
              <w:numPr>
                <w:ilvl w:val="0"/>
                <w:numId w:val="2"/>
              </w:numPr>
              <w:spacing w:before="30" w:after="30"/>
            </w:pPr>
            <w:r>
              <w:rPr>
                <w:rFonts w:ascii="Arial" w:cs="Arial" w:eastAsia="Arial" w:hAnsi="Arial"/>
                <w:color w:val="222222"/>
                <w:sz w:val="20"/>
                <w:szCs w:val="20"/>
              </w:rPr>
              <w:t xml:space="preserve">Experiment 3: FedAvg vs DP-FedAvg at ε ∈ {1.0, 1.5, 2.0, 5.0, 10.0}</w:t>
            </w:r>
          </w:p>
          <w:p>
            <w:pPr>
              <w:pStyle w:val="ListParagraph"/>
              <w:numPr>
                <w:ilvl w:val="0"/>
                <w:numId w:val="2"/>
              </w:numPr>
              <w:spacing w:before="30" w:after="30"/>
            </w:pPr>
            <w:r>
              <w:rPr>
                <w:rFonts w:ascii="Arial" w:cs="Arial" w:eastAsia="Arial" w:hAnsi="Arial"/>
                <w:color w:val="222222"/>
                <w:sz w:val="20"/>
                <w:szCs w:val="20"/>
              </w:rPr>
              <w:t xml:space="preserve">Experiment 4: IID vs non-IID (Dirichlet α ∈ {0.1, 0.5, 1.0}) federated training</w:t>
            </w:r>
          </w:p>
          <w:p>
            <w:pPr>
              <w:pStyle w:val="ListParagraph"/>
              <w:numPr>
                <w:ilvl w:val="0"/>
                <w:numId w:val="2"/>
              </w:numPr>
              <w:spacing w:before="30" w:after="30"/>
            </w:pPr>
            <w:r>
              <w:rPr>
                <w:rFonts w:ascii="Arial" w:cs="Arial" w:eastAsia="Arial" w:hAnsi="Arial"/>
                <w:color w:val="222222"/>
                <w:sz w:val="20"/>
                <w:szCs w:val="20"/>
              </w:rPr>
              <w:t xml:space="preserve">Experiment 5: VGG19 vs ResNet50 in federated setting</w:t>
            </w:r>
          </w:p>
          <w:p>
            <w:pPr>
              <w:pStyle w:val="ListParagraph"/>
              <w:numPr>
                <w:ilvl w:val="0"/>
                <w:numId w:val="2"/>
              </w:numPr>
              <w:spacing w:before="30" w:after="30"/>
            </w:pPr>
            <w:r>
              <w:rPr>
                <w:rFonts w:ascii="Arial" w:cs="Arial" w:eastAsia="Arial" w:hAnsi="Arial"/>
                <w:color w:val="222222"/>
                <w:sz w:val="20"/>
                <w:szCs w:val="20"/>
              </w:rPr>
              <w:t xml:space="preserve">Experiment 6: Membership Inference Attack (MIA) — with and without DP</w:t>
            </w:r>
          </w:p>
          <w:p>
            <w:pPr>
              <w:pStyle w:val="ListParagraph"/>
              <w:numPr>
                <w:ilvl w:val="0"/>
                <w:numId w:val="2"/>
              </w:numPr>
              <w:spacing w:before="30" w:after="30"/>
            </w:pPr>
            <w:r>
              <w:rPr>
                <w:rFonts w:ascii="Arial" w:cs="Arial" w:eastAsia="Arial" w:hAnsi="Arial"/>
                <w:color w:val="222222"/>
                <w:sz w:val="20"/>
                <w:szCs w:val="20"/>
              </w:rPr>
              <w:t xml:space="preserve">Experiment 7: Federated rounds analysis — accuracy vs T (10, 20, 30, 50 rounds)</w:t>
            </w:r>
          </w:p>
          <w:p>
            <w:pPr>
              <w:pStyle w:val="ListParagraph"/>
              <w:numPr>
                <w:ilvl w:val="0"/>
                <w:numId w:val="2"/>
              </w:numPr>
              <w:spacing w:before="30" w:after="30"/>
            </w:pPr>
            <w:r>
              <w:rPr>
                <w:rFonts w:ascii="Arial" w:cs="Arial" w:eastAsia="Arial" w:hAnsi="Arial"/>
                <w:color w:val="222222"/>
                <w:sz w:val="20"/>
                <w:szCs w:val="20"/>
              </w:rPr>
              <w:t xml:space="preserve">Ablation Study 1: Remove DP — measure accuracy gain and privacy loss</w:t>
            </w:r>
          </w:p>
          <w:p>
            <w:pPr>
              <w:pStyle w:val="ListParagraph"/>
              <w:numPr>
                <w:ilvl w:val="0"/>
                <w:numId w:val="2"/>
              </w:numPr>
              <w:spacing w:before="30" w:after="30"/>
            </w:pPr>
            <w:r>
              <w:rPr>
                <w:rFonts w:ascii="Arial" w:cs="Arial" w:eastAsia="Arial" w:hAnsi="Arial"/>
                <w:color w:val="222222"/>
                <w:sz w:val="20"/>
                <w:szCs w:val="20"/>
              </w:rPr>
              <w:t xml:space="preserve">Ablation Study 2: Remove SecAgg — measure security degradation</w:t>
            </w:r>
          </w:p>
          <w:p>
            <w:pPr>
              <w:pStyle w:val="ListParagraph"/>
              <w:numPr>
                <w:ilvl w:val="0"/>
                <w:numId w:val="2"/>
              </w:numPr>
              <w:spacing w:before="30" w:after="30"/>
            </w:pPr>
            <w:r>
              <w:rPr>
                <w:rFonts w:ascii="Arial" w:cs="Arial" w:eastAsia="Arial" w:hAnsi="Arial"/>
                <w:color w:val="222222"/>
                <w:sz w:val="20"/>
                <w:szCs w:val="20"/>
              </w:rPr>
              <w:t xml:space="preserve">Ablation Study 3: Remove Grad-CAM — assess clinical interpretability impact</w:t>
            </w:r>
          </w:p>
          <w:p>
            <w:pPr>
              <w:pStyle w:val="ListParagraph"/>
              <w:numPr>
                <w:ilvl w:val="0"/>
                <w:numId w:val="2"/>
              </w:numPr>
              <w:spacing w:before="30" w:after="30"/>
            </w:pPr>
            <w:r>
              <w:rPr>
                <w:rFonts w:ascii="Arial" w:cs="Arial" w:eastAsia="Arial" w:hAnsi="Arial"/>
                <w:color w:val="222222"/>
                <w:sz w:val="20"/>
                <w:szCs w:val="20"/>
              </w:rPr>
              <w:t xml:space="preserve">Record all metrics to CSV; generate plots automatically</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sklearn.metrics: classification_report, roc_auc_score, confusion_matrix</w:t>
            </w:r>
          </w:p>
          <w:p>
            <w:pPr>
              <w:pStyle w:val="ListParagraph"/>
              <w:numPr>
                <w:ilvl w:val="0"/>
                <w:numId w:val="2"/>
              </w:numPr>
              <w:spacing w:before="30" w:after="30"/>
            </w:pPr>
            <w:r>
              <w:rPr>
                <w:rFonts w:ascii="Arial" w:cs="Arial" w:eastAsia="Arial" w:hAnsi="Arial"/>
                <w:color w:val="222222"/>
                <w:sz w:val="20"/>
                <w:szCs w:val="20"/>
              </w:rPr>
              <w:t xml:space="preserve">matplotlib, seaborn — all plots</w:t>
            </w:r>
          </w:p>
          <w:p>
            <w:pPr>
              <w:pStyle w:val="ListParagraph"/>
              <w:numPr>
                <w:ilvl w:val="0"/>
                <w:numId w:val="2"/>
              </w:numPr>
              <w:spacing w:before="30" w:after="30"/>
            </w:pPr>
            <w:r>
              <w:rPr>
                <w:rFonts w:ascii="Arial" w:cs="Arial" w:eastAsia="Arial" w:hAnsi="Arial"/>
                <w:color w:val="222222"/>
                <w:sz w:val="20"/>
                <w:szCs w:val="20"/>
              </w:rPr>
              <w:t xml:space="preserve">pandas — results tables and CSV export</w:t>
            </w:r>
          </w:p>
          <w:p>
            <w:pPr>
              <w:pStyle w:val="ListParagraph"/>
              <w:numPr>
                <w:ilvl w:val="0"/>
                <w:numId w:val="2"/>
              </w:numPr>
              <w:spacing w:before="30" w:after="30"/>
            </w:pPr>
            <w:r>
              <w:rPr>
                <w:rFonts w:ascii="Arial" w:cs="Arial" w:eastAsia="Arial" w:hAnsi="Arial"/>
                <w:color w:val="222222"/>
                <w:sz w:val="20"/>
                <w:szCs w:val="20"/>
              </w:rPr>
              <w:t xml:space="preserve">art (IBM Adversarial Robustness Toolbox) — MIA implementation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Results CSV: all_experiments_results.csv</w:t>
            </w:r>
          </w:p>
          <w:p>
            <w:pPr>
              <w:pStyle w:val="ListParagraph"/>
              <w:numPr>
                <w:ilvl w:val="0"/>
                <w:numId w:val="2"/>
              </w:numPr>
              <w:spacing w:before="30" w:after="30"/>
            </w:pPr>
            <w:r>
              <w:rPr>
                <w:rFonts w:ascii="Arial" w:cs="Arial" w:eastAsia="Arial" w:hAnsi="Arial"/>
                <w:color w:val="222222"/>
                <w:sz w:val="20"/>
                <w:szCs w:val="20"/>
              </w:rPr>
              <w:t xml:space="preserve">Plots: ROC curves, accuracy vs ε curve, accuracy vs rounds, confusion matrices</w:t>
            </w:r>
          </w:p>
          <w:p>
            <w:pPr>
              <w:pStyle w:val="ListParagraph"/>
              <w:numPr>
                <w:ilvl w:val="0"/>
                <w:numId w:val="2"/>
              </w:numPr>
              <w:spacing w:before="30" w:after="30"/>
            </w:pPr>
            <w:r>
              <w:rPr>
                <w:rFonts w:ascii="Arial" w:cs="Arial" w:eastAsia="Arial" w:hAnsi="Arial"/>
                <w:color w:val="222222"/>
                <w:sz w:val="20"/>
                <w:szCs w:val="20"/>
              </w:rPr>
              <w:t xml:space="preserve">Ablation study table</w:t>
            </w:r>
          </w:p>
          <w:p>
            <w:pPr>
              <w:pStyle w:val="ListParagraph"/>
              <w:numPr>
                <w:ilvl w:val="0"/>
                <w:numId w:val="2"/>
              </w:numPr>
              <w:spacing w:before="30" w:after="30"/>
            </w:pPr>
            <w:r>
              <w:rPr>
                <w:rFonts w:ascii="Arial" w:cs="Arial" w:eastAsia="Arial" w:hAnsi="Arial"/>
                <w:color w:val="222222"/>
                <w:sz w:val="20"/>
                <w:szCs w:val="20"/>
              </w:rPr>
              <w:t xml:space="preserve">Privacy-utility Pareto frontier plot</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Running 7+ experiments is time-consuming — batch on GPU overnight</w:t>
            </w:r>
          </w:p>
          <w:p>
            <w:pPr>
              <w:pStyle w:val="ListParagraph"/>
              <w:numPr>
                <w:ilvl w:val="0"/>
                <w:numId w:val="2"/>
              </w:numPr>
              <w:spacing w:before="30" w:after="30"/>
            </w:pPr>
            <w:r>
              <w:rPr>
                <w:rFonts w:ascii="Arial" w:cs="Arial" w:eastAsia="Arial" w:hAnsi="Arial"/>
                <w:color w:val="222222"/>
                <w:sz w:val="20"/>
                <w:szCs w:val="20"/>
              </w:rPr>
              <w:t xml:space="preserve">MIA implementation is non-trivial — use ART library's MembershipInferenceBlackBox</w:t>
            </w:r>
          </w:p>
          <w:p>
            <w:pPr>
              <w:pStyle w:val="ListParagraph"/>
              <w:numPr>
                <w:ilvl w:val="0"/>
                <w:numId w:val="2"/>
              </w:numPr>
              <w:spacing w:before="30" w:after="30"/>
            </w:pPr>
            <w:r>
              <w:rPr>
                <w:rFonts w:ascii="Arial" w:cs="Arial" w:eastAsia="Arial" w:hAnsi="Arial"/>
                <w:color w:val="222222"/>
                <w:sz w:val="20"/>
                <w:szCs w:val="20"/>
              </w:rPr>
              <w:t xml:space="preserve">Ensuring reproducibility — set all random seeds (torch, numpy, random)</w:t>
            </w:r>
          </w:p>
        </w:tc>
      </w:tr>
    </w:tbl>
    <w:p>
      <w:pPr>
        <w:spacing w:before="200" w:after="200"/>
      </w:pPr>
      <w:r>
        <w:t xml:space="preserve"/>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8</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Ablation Studies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Isolate the contribution of each system component to overall performance</w:t>
            </w:r>
          </w:p>
          <w:p>
            <w:pPr>
              <w:pStyle w:val="ListParagraph"/>
              <w:numPr>
                <w:ilvl w:val="0"/>
                <w:numId w:val="2"/>
              </w:numPr>
              <w:spacing w:before="30" w:after="30"/>
            </w:pPr>
            <w:r>
              <w:rPr>
                <w:rFonts w:ascii="Arial" w:cs="Arial" w:eastAsia="Arial" w:hAnsi="Arial"/>
                <w:color w:val="222222"/>
                <w:sz w:val="20"/>
                <w:szCs w:val="20"/>
              </w:rPr>
              <w:t xml:space="preserve">Provide evidence that each design choice (DP, SecAgg, XAI) is necessary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Ablation A1 — No DP: FL without Opacus; compare accuracy and MIA success rate</w:t>
            </w:r>
          </w:p>
          <w:p>
            <w:pPr>
              <w:pStyle w:val="ListParagraph"/>
              <w:numPr>
                <w:ilvl w:val="0"/>
                <w:numId w:val="2"/>
              </w:numPr>
              <w:spacing w:before="30" w:after="30"/>
            </w:pPr>
            <w:r>
              <w:rPr>
                <w:rFonts w:ascii="Arial" w:cs="Arial" w:eastAsia="Arial" w:hAnsi="Arial"/>
                <w:color w:val="222222"/>
                <w:sz w:val="20"/>
                <w:szCs w:val="20"/>
              </w:rPr>
              <w:t xml:space="preserve">Ablation A2 — No SecAgg: FL with standard FedAvg (no masking); security analysis</w:t>
            </w:r>
          </w:p>
          <w:p>
            <w:pPr>
              <w:pStyle w:val="ListParagraph"/>
              <w:numPr>
                <w:ilvl w:val="0"/>
                <w:numId w:val="2"/>
              </w:numPr>
              <w:spacing w:before="30" w:after="30"/>
            </w:pPr>
            <w:r>
              <w:rPr>
                <w:rFonts w:ascii="Arial" w:cs="Arial" w:eastAsia="Arial" w:hAnsi="Arial"/>
                <w:color w:val="222222"/>
                <w:sz w:val="20"/>
                <w:szCs w:val="20"/>
              </w:rPr>
              <w:t xml:space="preserve">Ablation A3 — No XAI: report model without Grad-CAM/SHAP; clinical trust impact</w:t>
            </w:r>
          </w:p>
          <w:p>
            <w:pPr>
              <w:pStyle w:val="ListParagraph"/>
              <w:numPr>
                <w:ilvl w:val="0"/>
                <w:numId w:val="2"/>
              </w:numPr>
              <w:spacing w:before="30" w:after="30"/>
            </w:pPr>
            <w:r>
              <w:rPr>
                <w:rFonts w:ascii="Arial" w:cs="Arial" w:eastAsia="Arial" w:hAnsi="Arial"/>
                <w:color w:val="222222"/>
                <w:sz w:val="20"/>
                <w:szCs w:val="20"/>
              </w:rPr>
              <w:t xml:space="preserve">Ablation A4 — Single model: VGG19 only vs ResNet50 only; justify architecture choice</w:t>
            </w:r>
          </w:p>
          <w:p>
            <w:pPr>
              <w:pStyle w:val="ListParagraph"/>
              <w:numPr>
                <w:ilvl w:val="0"/>
                <w:numId w:val="2"/>
              </w:numPr>
              <w:spacing w:before="30" w:after="30"/>
            </w:pPr>
            <w:r>
              <w:rPr>
                <w:rFonts w:ascii="Arial" w:cs="Arial" w:eastAsia="Arial" w:hAnsi="Arial"/>
                <w:color w:val="222222"/>
                <w:sz w:val="20"/>
                <w:szCs w:val="20"/>
              </w:rPr>
              <w:t xml:space="preserve">Ablation A5 — IID vs non-IID: compare performance at α=0.1, 0.5, 1.0, IID</w:t>
            </w:r>
          </w:p>
          <w:p>
            <w:pPr>
              <w:pStyle w:val="ListParagraph"/>
              <w:numPr>
                <w:ilvl w:val="0"/>
                <w:numId w:val="2"/>
              </w:numPr>
              <w:spacing w:before="30" w:after="30"/>
            </w:pPr>
            <w:r>
              <w:rPr>
                <w:rFonts w:ascii="Arial" w:cs="Arial" w:eastAsia="Arial" w:hAnsi="Arial"/>
                <w:color w:val="222222"/>
                <w:sz w:val="20"/>
                <w:szCs w:val="20"/>
              </w:rPr>
              <w:t xml:space="preserve">Ablation A6 — Number of clients: K=2, 4, 6 clients; scalability analysis</w:t>
            </w:r>
          </w:p>
          <w:p>
            <w:pPr>
              <w:pStyle w:val="ListParagraph"/>
              <w:numPr>
                <w:ilvl w:val="0"/>
                <w:numId w:val="2"/>
              </w:numPr>
              <w:spacing w:before="30" w:after="30"/>
            </w:pPr>
            <w:r>
              <w:rPr>
                <w:rFonts w:ascii="Arial" w:cs="Arial" w:eastAsia="Arial" w:hAnsi="Arial"/>
                <w:color w:val="222222"/>
                <w:sz w:val="20"/>
                <w:szCs w:val="20"/>
              </w:rPr>
              <w:t xml:space="preserve">Ablation A7 — Local epochs: E=1, 3, 5, 10 local epochs per round</w:t>
            </w:r>
          </w:p>
          <w:p>
            <w:pPr>
              <w:pStyle w:val="ListParagraph"/>
              <w:numPr>
                <w:ilvl w:val="0"/>
                <w:numId w:val="2"/>
              </w:numPr>
              <w:spacing w:before="30" w:after="30"/>
            </w:pPr>
            <w:r>
              <w:rPr>
                <w:rFonts w:ascii="Arial" w:cs="Arial" w:eastAsia="Arial" w:hAnsi="Arial"/>
                <w:color w:val="222222"/>
                <w:sz w:val="20"/>
                <w:szCs w:val="20"/>
              </w:rPr>
              <w:t xml:space="preserve">Compile results into a comprehensive ablation table for the paper</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Same as Phase 7 — modular code makes ablations easy (toggle flags)</w:t>
            </w:r>
          </w:p>
          <w:p>
            <w:pPr>
              <w:pStyle w:val="ListParagraph"/>
              <w:numPr>
                <w:ilvl w:val="0"/>
                <w:numId w:val="2"/>
              </w:numPr>
              <w:spacing w:before="30" w:after="30"/>
            </w:pPr>
            <w:r>
              <w:rPr>
                <w:rFonts w:ascii="Arial" w:cs="Arial" w:eastAsia="Arial" w:hAnsi="Arial"/>
                <w:color w:val="222222"/>
                <w:sz w:val="20"/>
                <w:szCs w:val="20"/>
              </w:rPr>
              <w:t xml:space="preserve">seaborn heatmap — ablation result visualisation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Ablation results table (to be inserted directly into the IEEE paper)</w:t>
            </w:r>
          </w:p>
          <w:p>
            <w:pPr>
              <w:pStyle w:val="ListParagraph"/>
              <w:numPr>
                <w:ilvl w:val="0"/>
                <w:numId w:val="2"/>
              </w:numPr>
              <w:spacing w:before="30" w:after="30"/>
            </w:pPr>
            <w:r>
              <w:rPr>
                <w:rFonts w:ascii="Arial" w:cs="Arial" w:eastAsia="Arial" w:hAnsi="Arial"/>
                <w:color w:val="222222"/>
                <w:sz w:val="20"/>
                <w:szCs w:val="20"/>
              </w:rPr>
              <w:t xml:space="preserve">2 ablation plots: accuracy vs K (clients), accuracy vs E (local epochs)</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Running 7 ablations × 2 models = 14 experiments — prioritise by paper narrative</w:t>
            </w:r>
          </w:p>
          <w:p>
            <w:pPr>
              <w:pStyle w:val="ListParagraph"/>
              <w:numPr>
                <w:ilvl w:val="0"/>
                <w:numId w:val="2"/>
              </w:numPr>
              <w:spacing w:before="30" w:after="30"/>
            </w:pPr>
            <w:r>
              <w:rPr>
                <w:rFonts w:ascii="Arial" w:cs="Arial" w:eastAsia="Arial" w:hAnsi="Arial"/>
                <w:color w:val="222222"/>
                <w:sz w:val="20"/>
                <w:szCs w:val="20"/>
              </w:rPr>
              <w:t xml:space="preserve">Ensure each ablation changes only one variable (controlled experiments)</w:t>
            </w:r>
          </w:p>
        </w:tc>
      </w:tr>
    </w:tbl>
    <w:p>
      <w:pPr>
        <w:spacing w:before="200" w:after="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26"/>
                <w:szCs w:val="26"/>
              </w:rPr>
              <w:t xml:space="preserve">Phase 9</w:t>
            </w:r>
          </w:p>
        </w:tc>
        <w:tc>
          <w:tcPr>
            <w:tcW w:type="dxa" w:w="7920"/>
            <w:tcBorders>
              <w:top w:val="none" w:color="FFFFFF" w:sz="0"/>
              <w:left w:val="none" w:color="FFFFFF" w:sz="0"/>
              <w:bottom w:val="none" w:color="FFFFFF" w:sz="0"/>
              <w:right w:val="none" w:color="FFFFFF" w:sz="0"/>
            </w:tcBorders>
            <w:shd w:fill="D4EDEA" w:val="clear"/>
            <w:tcMar>
              <w:top w:type="dxa" w:w="120"/>
              <w:left w:type="dxa" w:w="240"/>
              <w:bottom w:type="dxa" w:w="120"/>
              <w:right w:type="dxa" w:w="180"/>
            </w:tcMar>
          </w:tcPr>
          <w:p>
            <w:r>
              <w:rPr>
                <w:rFonts w:ascii="Arial" w:cs="Arial" w:eastAsia="Arial" w:hAnsi="Arial"/>
                <w:b/>
                <w:bCs/>
                <w:color w:val="1B3A6B"/>
                <w:sz w:val="28"/>
                <w:szCs w:val="28"/>
              </w:rPr>
              <w:t xml:space="preserve">Paper Results Generation &amp; Write-up</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Objectives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Compile all results into publication-ready tables and figures</w:t>
            </w:r>
          </w:p>
          <w:p>
            <w:pPr>
              <w:pStyle w:val="ListParagraph"/>
              <w:numPr>
                <w:ilvl w:val="0"/>
                <w:numId w:val="2"/>
              </w:numPr>
              <w:spacing w:before="30" w:after="30"/>
            </w:pPr>
            <w:r>
              <w:rPr>
                <w:rFonts w:ascii="Arial" w:cs="Arial" w:eastAsia="Arial" w:hAnsi="Arial"/>
                <w:color w:val="222222"/>
                <w:sz w:val="20"/>
                <w:szCs w:val="20"/>
              </w:rPr>
              <w:t xml:space="preserve">Complete the IEEE conference paper draft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Tasks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Generate all paper figures at 300 DPI (matplotlib savefig dpi=300)</w:t>
            </w:r>
          </w:p>
          <w:p>
            <w:pPr>
              <w:pStyle w:val="ListParagraph"/>
              <w:numPr>
                <w:ilvl w:val="0"/>
                <w:numId w:val="2"/>
              </w:numPr>
              <w:spacing w:before="30" w:after="30"/>
            </w:pPr>
            <w:r>
              <w:rPr>
                <w:rFonts w:ascii="Arial" w:cs="Arial" w:eastAsia="Arial" w:hAnsi="Arial"/>
                <w:color w:val="222222"/>
                <w:sz w:val="20"/>
                <w:szCs w:val="20"/>
              </w:rPr>
              <w:t xml:space="preserve">Complete the Results &amp; Discussion section with actual (not projected) values</w:t>
            </w:r>
          </w:p>
          <w:p>
            <w:pPr>
              <w:pStyle w:val="ListParagraph"/>
              <w:numPr>
                <w:ilvl w:val="0"/>
                <w:numId w:val="2"/>
              </w:numPr>
              <w:spacing w:before="30" w:after="30"/>
            </w:pPr>
            <w:r>
              <w:rPr>
                <w:rFonts w:ascii="Arial" w:cs="Arial" w:eastAsia="Arial" w:hAnsi="Arial"/>
                <w:color w:val="222222"/>
                <w:sz w:val="20"/>
                <w:szCs w:val="20"/>
              </w:rPr>
              <w:t xml:space="preserve">Update Table III (performance comparison) with real experiment numbers</w:t>
            </w:r>
          </w:p>
          <w:p>
            <w:pPr>
              <w:pStyle w:val="ListParagraph"/>
              <w:numPr>
                <w:ilvl w:val="0"/>
                <w:numId w:val="2"/>
              </w:numPr>
              <w:spacing w:before="30" w:after="30"/>
            </w:pPr>
            <w:r>
              <w:rPr>
                <w:rFonts w:ascii="Arial" w:cs="Arial" w:eastAsia="Arial" w:hAnsi="Arial"/>
                <w:color w:val="222222"/>
                <w:sz w:val="20"/>
                <w:szCs w:val="20"/>
              </w:rPr>
              <w:t xml:space="preserve">Write Privacy Analysis section with real MIA accuracy numbers</w:t>
            </w:r>
          </w:p>
          <w:p>
            <w:pPr>
              <w:pStyle w:val="ListParagraph"/>
              <w:numPr>
                <w:ilvl w:val="0"/>
                <w:numId w:val="2"/>
              </w:numPr>
              <w:spacing w:before="30" w:after="30"/>
            </w:pPr>
            <w:r>
              <w:rPr>
                <w:rFonts w:ascii="Arial" w:cs="Arial" w:eastAsia="Arial" w:hAnsi="Arial"/>
                <w:color w:val="222222"/>
                <w:sz w:val="20"/>
                <w:szCs w:val="20"/>
              </w:rPr>
              <w:t xml:space="preserve">Write Explainability Analysis with Grad-CAM and SHAP discussion</w:t>
            </w:r>
          </w:p>
          <w:p>
            <w:pPr>
              <w:pStyle w:val="ListParagraph"/>
              <w:numPr>
                <w:ilvl w:val="0"/>
                <w:numId w:val="2"/>
              </w:numPr>
              <w:spacing w:before="30" w:after="30"/>
            </w:pPr>
            <w:r>
              <w:rPr>
                <w:rFonts w:ascii="Arial" w:cs="Arial" w:eastAsia="Arial" w:hAnsi="Arial"/>
                <w:color w:val="222222"/>
                <w:sz w:val="20"/>
                <w:szCs w:val="20"/>
              </w:rPr>
              <w:t xml:space="preserve">Proofread all equations, citations, and formatting</w:t>
            </w:r>
          </w:p>
          <w:p>
            <w:pPr>
              <w:pStyle w:val="ListParagraph"/>
              <w:numPr>
                <w:ilvl w:val="0"/>
                <w:numId w:val="2"/>
              </w:numPr>
              <w:spacing w:before="30" w:after="30"/>
            </w:pPr>
            <w:r>
              <w:rPr>
                <w:rFonts w:ascii="Arial" w:cs="Arial" w:eastAsia="Arial" w:hAnsi="Arial"/>
                <w:color w:val="222222"/>
                <w:sz w:val="20"/>
                <w:szCs w:val="20"/>
              </w:rPr>
              <w:t xml:space="preserve">Compile on Overleaf — resolve any LaTeX warnings</w:t>
            </w:r>
          </w:p>
          <w:p>
            <w:pPr>
              <w:pStyle w:val="ListParagraph"/>
              <w:numPr>
                <w:ilvl w:val="0"/>
                <w:numId w:val="2"/>
              </w:numPr>
              <w:spacing w:before="30" w:after="30"/>
            </w:pPr>
            <w:r>
              <w:rPr>
                <w:rFonts w:ascii="Arial" w:cs="Arial" w:eastAsia="Arial" w:hAnsi="Arial"/>
                <w:color w:val="222222"/>
                <w:sz w:val="20"/>
                <w:szCs w:val="20"/>
              </w:rPr>
              <w:t xml:space="preserve">Target IEEE conference (e.g., EMBC, BIBM, ICCV Medical, or MICCAI workshop)</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Tools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Overleaf — LaTeX compilation</w:t>
            </w:r>
          </w:p>
          <w:p>
            <w:pPr>
              <w:pStyle w:val="ListParagraph"/>
              <w:numPr>
                <w:ilvl w:val="0"/>
                <w:numId w:val="2"/>
              </w:numPr>
              <w:spacing w:before="30" w:after="30"/>
            </w:pPr>
            <w:r>
              <w:rPr>
                <w:rFonts w:ascii="Arial" w:cs="Arial" w:eastAsia="Arial" w:hAnsi="Arial"/>
                <w:color w:val="222222"/>
                <w:sz w:val="20"/>
                <w:szCs w:val="20"/>
              </w:rPr>
              <w:t xml:space="preserve">matplotlib/seaborn — publication-quality figures</w:t>
            </w:r>
          </w:p>
          <w:p>
            <w:pPr>
              <w:pStyle w:val="ListParagraph"/>
              <w:numPr>
                <w:ilvl w:val="0"/>
                <w:numId w:val="2"/>
              </w:numPr>
              <w:spacing w:before="30" w:after="30"/>
            </w:pPr>
            <w:r>
              <w:rPr>
                <w:rFonts w:ascii="Arial" w:cs="Arial" w:eastAsia="Arial" w:hAnsi="Arial"/>
                <w:color w:val="222222"/>
                <w:sz w:val="20"/>
                <w:szCs w:val="20"/>
              </w:rPr>
              <w:t xml:space="preserve">Grammarly / language tools — academic writing QA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jc w:val="left"/>
            </w:pPr>
            <w:r>
              <w:rPr>
                <w:rFonts w:ascii="Arial" w:cs="Arial" w:eastAsia="Arial" w:hAnsi="Arial"/>
                <w:b/>
                <w:bCs/>
                <w:color w:val="1B3A6B"/>
                <w:sz w:val="20"/>
                <w:szCs w:val="20"/>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Complete IEEE paper PDF ready for submission</w:t>
            </w:r>
          </w:p>
          <w:p>
            <w:pPr>
              <w:pStyle w:val="ListParagraph"/>
              <w:numPr>
                <w:ilvl w:val="0"/>
                <w:numId w:val="2"/>
              </w:numPr>
              <w:spacing w:before="30" w:after="30"/>
            </w:pPr>
            <w:r>
              <w:rPr>
                <w:rFonts w:ascii="Arial" w:cs="Arial" w:eastAsia="Arial" w:hAnsi="Arial"/>
                <w:color w:val="222222"/>
                <w:sz w:val="20"/>
                <w:szCs w:val="20"/>
              </w:rPr>
              <w:t xml:space="preserve">All supplementary figures and tables</w:t>
            </w:r>
          </w:p>
          <w:p>
            <w:pPr>
              <w:pStyle w:val="ListParagraph"/>
              <w:numPr>
                <w:ilvl w:val="0"/>
                <w:numId w:val="2"/>
              </w:numPr>
              <w:spacing w:before="30" w:after="30"/>
            </w:pPr>
            <w:r>
              <w:rPr>
                <w:rFonts w:ascii="Arial" w:cs="Arial" w:eastAsia="Arial" w:hAnsi="Arial"/>
                <w:color w:val="222222"/>
                <w:sz w:val="20"/>
                <w:szCs w:val="20"/>
              </w:rPr>
              <w:t xml:space="preserve">Code repository with README (GitHub)</w:t>
            </w:r>
          </w:p>
        </w:tc>
      </w:tr>
      <w:tr>
        <w:tc>
          <w:tcPr>
            <w:tcW w:type="dxa" w:w="180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00"/>
            </w:tcMar>
          </w:tcPr>
          <w:p>
            <w:pPr>
              <w:jc w:val="left"/>
            </w:pPr>
            <w:r>
              <w:rPr>
                <w:rFonts w:ascii="Arial" w:cs="Arial" w:eastAsia="Arial" w:hAnsi="Arial"/>
                <w:b/>
                <w:bCs/>
                <w:color w:val="1B3A6B"/>
                <w:sz w:val="20"/>
                <w:szCs w:val="20"/>
              </w:rPr>
              <w:t xml:space="preserve">Challenges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pStyle w:val="ListParagraph"/>
              <w:numPr>
                <w:ilvl w:val="0"/>
                <w:numId w:val="2"/>
              </w:numPr>
              <w:spacing w:before="30" w:after="30"/>
            </w:pPr>
            <w:r>
              <w:rPr>
                <w:rFonts w:ascii="Arial" w:cs="Arial" w:eastAsia="Arial" w:hAnsi="Arial"/>
                <w:color w:val="222222"/>
                <w:sz w:val="20"/>
                <w:szCs w:val="20"/>
              </w:rPr>
              <w:t xml:space="preserve">Matching expected results from literature — iterate experiments if gap is large</w:t>
            </w:r>
          </w:p>
          <w:p>
            <w:pPr>
              <w:pStyle w:val="ListParagraph"/>
              <w:numPr>
                <w:ilvl w:val="0"/>
                <w:numId w:val="2"/>
              </w:numPr>
              <w:spacing w:before="30" w:after="30"/>
            </w:pPr>
            <w:r>
              <w:rPr>
                <w:rFonts w:ascii="Arial" w:cs="Arial" w:eastAsia="Arial" w:hAnsi="Arial"/>
                <w:color w:val="222222"/>
                <w:sz w:val="20"/>
                <w:szCs w:val="20"/>
              </w:rPr>
              <w:t xml:space="preserve">IEEE figure size constraints (single-column vs double-column figures)</w:t>
            </w:r>
          </w:p>
          <w:p>
            <w:pPr>
              <w:pStyle w:val="ListParagraph"/>
              <w:numPr>
                <w:ilvl w:val="0"/>
                <w:numId w:val="2"/>
              </w:numPr>
              <w:spacing w:before="30" w:after="30"/>
            </w:pPr>
            <w:r>
              <w:rPr>
                <w:rFonts w:ascii="Arial" w:cs="Arial" w:eastAsia="Arial" w:hAnsi="Arial"/>
                <w:color w:val="222222"/>
                <w:sz w:val="20"/>
                <w:szCs w:val="20"/>
              </w:rPr>
              <w:t xml:space="preserve">Camera-ready formatting compliance</w:t>
            </w:r>
          </w:p>
        </w:tc>
      </w:tr>
    </w:tbl>
    <w:p>
      <w:pPr>
        <w:spacing w:before="200" w:after="200"/>
      </w:pPr>
      <w:r>
        <w:t xml:space="preserve"/>
      </w:r>
    </w:p>
    <w:p>
      <w:pPr>
        <w:pStyle w:val="Heading1"/>
        <w:pBdr>
          <w:bottom w:val="single" w:color="1B3A6B" w:sz="8" w:space="4"/>
        </w:pBdr>
        <w:spacing w:before="360" w:after="160"/>
      </w:pPr>
      <w:r>
        <w:rPr>
          <w:rFonts w:ascii="Arial" w:cs="Arial" w:eastAsia="Arial" w:hAnsi="Arial"/>
          <w:b/>
          <w:bCs/>
          <w:color w:val="1B3A6B"/>
          <w:sz w:val="36"/>
          <w:szCs w:val="36"/>
        </w:rPr>
        <w:t xml:space="preserve">4. Recommended Experiment Design</w:t>
      </w:r>
    </w:p>
    <w:p>
      <w:pPr>
        <w:spacing w:before="80" w:after="80"/>
      </w:pPr>
      <w:r>
        <w:t xml:space="preserve"/>
      </w:r>
    </w:p>
    <w:p>
      <w:pPr>
        <w:pStyle w:val="Heading2"/>
        <w:spacing w:before="300" w:after="120"/>
      </w:pPr>
      <w:r>
        <w:rPr>
          <w:rFonts w:ascii="Arial" w:cs="Arial" w:eastAsia="Arial" w:hAnsi="Arial"/>
          <w:b/>
          <w:bCs/>
          <w:color w:val="1A7A6E"/>
          <w:sz w:val="28"/>
          <w:szCs w:val="28"/>
        </w:rPr>
        <w:t xml:space="preserve">4.1  Core Comparison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Setup</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E1: Centralised Baseline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Full ADNI on single GPU, VGG19 + ResNet50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Upper bound for utility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E2: Federated (FedAvg)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4 clients, non-IID, no privacy mechanisms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FL utility without privacy 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E3: DP-Federated (ε=2.0)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FedAvg + Opacus, σ tuned to ε=2.0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Primary proposed method — strong privacy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E4: DP-Federated (ε=1.5)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FedAvg + Opacus, σ tuned to ε=1.5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Stronger privacy, higher utility cost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E5: DP-Federated (ε=1.0)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FedAvg + Opacus, σ tuned to ε=1.0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Maximum privacy scenario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E6: DP-Federated (ε=10.0)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FedAvg + Opacus, σ tuned to ε=10.0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Weak privacy — near-FL baseline</w:t>
            </w:r>
          </w:p>
        </w:tc>
      </w:tr>
    </w:tbl>
    <w:p>
      <w:pPr>
        <w:spacing w:before="120" w:after="120"/>
      </w:pPr>
      <w:r>
        <w:t xml:space="preserve"/>
      </w:r>
    </w:p>
    <w:p>
      <w:pPr>
        <w:pStyle w:val="Heading2"/>
        <w:spacing w:before="300" w:after="120"/>
      </w:pPr>
      <w:r>
        <w:rPr>
          <w:rFonts w:ascii="Arial" w:cs="Arial" w:eastAsia="Arial" w:hAnsi="Arial"/>
          <w:b/>
          <w:bCs/>
          <w:color w:val="1A7A6E"/>
          <w:sz w:val="28"/>
          <w:szCs w:val="28"/>
        </w:rPr>
        <w:t xml:space="preserve">4.2  Privacy–Utility Trade-off Curve</w:t>
      </w:r>
    </w:p>
    <w:p>
      <w:pPr>
        <w:spacing w:before="60" w:after="60"/>
        <w:jc w:val="both"/>
      </w:pPr>
      <w:r>
        <w:rPr>
          <w:rFonts w:ascii="Arial" w:cs="Arial" w:eastAsia="Arial" w:hAnsi="Arial"/>
          <w:color w:val="222222"/>
          <w:sz w:val="22"/>
          <w:szCs w:val="22"/>
        </w:rPr>
        <w:t xml:space="preserve">Plot accuracy (y-axis) vs ε (x-axis) for ε ∈ {1.0, 1.5, 2.0, 5.0, 10.0, ∞ (no DP)}. This Pareto frontier curve is a key figure for the paper and directly demonstrates the cost of privacy.</w:t>
      </w:r>
    </w:p>
    <w:p>
      <w:pPr>
        <w:spacing w:before="80" w:after="80"/>
      </w:pPr>
      <w:r>
        <w:t xml:space="preserve"/>
      </w:r>
    </w:p>
    <w:p>
      <w:pPr>
        <w:pStyle w:val="Heading2"/>
        <w:spacing w:before="300" w:after="120"/>
      </w:pPr>
      <w:r>
        <w:rPr>
          <w:rFonts w:ascii="Arial" w:cs="Arial" w:eastAsia="Arial" w:hAnsi="Arial"/>
          <w:b/>
          <w:bCs/>
          <w:color w:val="1A7A6E"/>
          <w:sz w:val="28"/>
          <w:szCs w:val="28"/>
        </w:rPr>
        <w:t xml:space="preserve">4.3  Non-IID Heterogeneity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Dirichlet α</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Distribution Type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Effect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α = 0.1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Highly non-IID (extreme label skew)</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Lowest accuracy, slowest convergence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α = 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Moderately non-IID (proposed setting)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Balanced accuracy–heterogeneity trade-off</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α = 1.0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Mildly non-IID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Near-IID performance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IID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Perfectly uniform splits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Highest federated accuracy (theoretical upper bound)</w:t>
            </w:r>
          </w:p>
        </w:tc>
      </w:tr>
    </w:tbl>
    <w:p>
      <w:pPr>
        <w:spacing w:before="200" w:after="200"/>
      </w:pPr>
      <w:r>
        <w:t xml:space="preserve"/>
      </w:r>
    </w:p>
    <w:p>
      <w:r>
        <w:br w:type="page"/>
      </w:r>
    </w:p>
    <w:p>
      <w:pPr>
        <w:pStyle w:val="Heading1"/>
        <w:pBdr>
          <w:bottom w:val="single" w:color="1B3A6B" w:sz="8" w:space="4"/>
        </w:pBdr>
        <w:spacing w:before="360" w:after="160"/>
      </w:pPr>
      <w:r>
        <w:rPr>
          <w:rFonts w:ascii="Arial" w:cs="Arial" w:eastAsia="Arial" w:hAnsi="Arial"/>
          <w:b/>
          <w:bCs/>
          <w:color w:val="1B3A6B"/>
          <w:sz w:val="36"/>
          <w:szCs w:val="36"/>
        </w:rPr>
        <w:t xml:space="preserve">5. Evaluation Metrics</w:t>
      </w:r>
    </w:p>
    <w:p>
      <w:pPr>
        <w:spacing w:before="80" w:after="80"/>
      </w:pPr>
      <w:r>
        <w:t xml:space="preserve"/>
      </w:r>
    </w:p>
    <w:p>
      <w:pPr>
        <w:pStyle w:val="Heading2"/>
        <w:spacing w:before="300" w:after="120"/>
      </w:pPr>
      <w:r>
        <w:rPr>
          <w:rFonts w:ascii="Arial" w:cs="Arial" w:eastAsia="Arial" w:hAnsi="Arial"/>
          <w:b/>
          <w:bCs/>
          <w:color w:val="1A7A6E"/>
          <w:sz w:val="28"/>
          <w:szCs w:val="28"/>
        </w:rPr>
        <w:t xml:space="preserve">5.1  Classification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Range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Accuracy</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(TP+TN)/(TP+TN+FP+FN)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Overall correct classification rate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Precision (macro)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TP / (TP+FP), averaged over classes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Measures false positive rate per class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Recall (macro)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TP / (TP+FN), averaged over classes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Measures false negative rate per class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F1-Score (macro)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 · (Prec · Rec) / (Prec + Rec)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Harmonic mean — use for imbalanced classes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AUROC (macro OvR)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Area under ROC curve, One-vs-Rest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Discrimination ability, threshold-independent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Confusion Matrix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K×K matrix (K=3 classes)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Visualise per-class prediction errors</w:t>
            </w:r>
          </w:p>
        </w:tc>
      </w:tr>
    </w:tbl>
    <w:p>
      <w:pPr>
        <w:spacing w:before="120" w:after="120"/>
      </w:pPr>
      <w:r>
        <w:t xml:space="preserve"/>
      </w:r>
    </w:p>
    <w:p>
      <w:pPr>
        <w:pStyle w:val="Heading2"/>
        <w:spacing w:before="300" w:after="120"/>
      </w:pPr>
      <w:r>
        <w:rPr>
          <w:rFonts w:ascii="Arial" w:cs="Arial" w:eastAsia="Arial" w:hAnsi="Arial"/>
          <w:b/>
          <w:bCs/>
          <w:color w:val="1A7A6E"/>
          <w:sz w:val="28"/>
          <w:szCs w:val="28"/>
        </w:rPr>
        <w:t xml:space="preserve">5.2  Privacy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Range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ε (Privacy Budget)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Computed by Opacus moments accountant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Core DP guarantee — lower is stronger privacy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MIA Accuracy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Shadow model attack success rate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Empirical privacy: target ≈50% (random chance)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MIA Advantage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MIA accuracy − 50%</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Net information gain; target &lt; 5% with DP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Gradient Norm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‖g_i‖₂ before clipping, per-sample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Diagnose clipping behaviour and model stability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Noise-to-Signal</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σ / ‖Δθ‖₂</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Ratio of noise to useful gradient update</w:t>
            </w:r>
          </w:p>
        </w:tc>
      </w:tr>
    </w:tbl>
    <w:p>
      <w:pPr>
        <w:spacing w:before="120" w:after="120"/>
      </w:pPr>
      <w:r>
        <w:t xml:space="preserve"/>
      </w:r>
    </w:p>
    <w:p>
      <w:pPr>
        <w:pStyle w:val="Heading2"/>
        <w:spacing w:before="300" w:after="120"/>
      </w:pPr>
      <w:r>
        <w:rPr>
          <w:rFonts w:ascii="Arial" w:cs="Arial" w:eastAsia="Arial" w:hAnsi="Arial"/>
          <w:b/>
          <w:bCs/>
          <w:color w:val="1A7A6E"/>
          <w:sz w:val="28"/>
          <w:szCs w:val="28"/>
        </w:rPr>
        <w:t xml:space="preserve">5.3  Explainability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Formula / Range</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Grad-CAM Localisation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IoU of heatmap with hippocampal ROI mask</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Alignment with clinical anatomy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SHAP Feature Rank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Rank correlation with known AD biomarkers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Clinical validity of global attributions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Insertion/Deletion AUC</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Model confidence vs pixel insertion order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Faithfulness of Grad-CAM explanation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Explanation Consistency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SSIM between same-class heatmaps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Stability of model explanations</w:t>
            </w:r>
          </w:p>
        </w:tc>
      </w:tr>
    </w:tbl>
    <w:p>
      <w:pPr>
        <w:spacing w:before="200" w:after="200"/>
      </w:pPr>
      <w:r>
        <w:t xml:space="preserve"/>
      </w:r>
    </w:p>
    <w:p>
      <w:r>
        <w:br w:type="page"/>
      </w:r>
    </w:p>
    <w:p>
      <w:pPr>
        <w:pStyle w:val="Heading1"/>
        <w:pBdr>
          <w:bottom w:val="single" w:color="1B3A6B" w:sz="8" w:space="4"/>
        </w:pBdr>
        <w:spacing w:before="360" w:after="160"/>
      </w:pPr>
      <w:r>
        <w:rPr>
          <w:rFonts w:ascii="Arial" w:cs="Arial" w:eastAsia="Arial" w:hAnsi="Arial"/>
          <w:b/>
          <w:bCs/>
          <w:color w:val="1B3A6B"/>
          <w:sz w:val="36"/>
          <w:szCs w:val="36"/>
        </w:rPr>
        <w:t xml:space="preserve">6. Ablation Studies</w:t>
      </w:r>
    </w:p>
    <w:p>
      <w:pPr>
        <w:spacing w:before="80" w:after="80"/>
      </w:pPr>
      <w:r>
        <w:t xml:space="preserve"/>
      </w:r>
    </w:p>
    <w:p>
      <w:pPr>
        <w:spacing w:before="60" w:after="60"/>
        <w:jc w:val="both"/>
      </w:pPr>
      <w:r>
        <w:rPr>
          <w:rFonts w:ascii="Arial" w:cs="Arial" w:eastAsia="Arial" w:hAnsi="Arial"/>
          <w:color w:val="222222"/>
          <w:sz w:val="22"/>
          <w:szCs w:val="22"/>
        </w:rPr>
        <w:t xml:space="preserve">The following ablation experiments directly strengthen the paper by isolating the contribution of each system component. Each ablation changes exactly one variable.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Ablation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 Removed</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 to Compare</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Finding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A1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Differential Privacy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Accuracy ↑, MIA Accuracy ↑</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DP costs ~3-5% accuracy but reduces MIA by ~15%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Secure Aggregation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MIA Accuracy (server-side)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Without SecAgg, server can reconstruct client gradients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A3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Grad-CAM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Clinical alignment score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Without XAI, clinicians cannot validate model decisions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SHAP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Global feature rank correlation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Without SHAP, no global explanation of model bias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A5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FedAvg → FedProx</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Accuracy under non-IID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FedProx may outperform FedAvg at α=0.1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VGG19 → ResNet50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Accuracy, FLOPs, training 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Quantify accuracy–efficiency trade-off</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A7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K=4 → K=2, K=6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Accuracy, communication rounds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Scalability analysis of federated framework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A8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E=5 → E=1, E=10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Convergence speed, final accuracy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Optimal local epochs for non-IID setting</w:t>
            </w:r>
          </w:p>
        </w:tc>
      </w:tr>
    </w:tbl>
    <w:p>
      <w:pPr>
        <w:spacing w:before="200" w:after="200"/>
      </w:pPr>
      <w:r>
        <w:t xml:space="preserve"/>
      </w:r>
    </w:p>
    <w:p>
      <w:pPr>
        <w:pStyle w:val="Heading1"/>
        <w:pBdr>
          <w:bottom w:val="single" w:color="1B3A6B" w:sz="8" w:space="4"/>
        </w:pBdr>
        <w:spacing w:before="360" w:after="160"/>
      </w:pPr>
      <w:r>
        <w:rPr>
          <w:rFonts w:ascii="Arial" w:cs="Arial" w:eastAsia="Arial" w:hAnsi="Arial"/>
          <w:b/>
          <w:bCs/>
          <w:color w:val="1B3A6B"/>
          <w:sz w:val="36"/>
          <w:szCs w:val="36"/>
        </w:rPr>
        <w:t xml:space="preserve">7. Realistic Timeline (4–6 Months)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960"/>
        <w:gridCol w:w="2160"/>
      </w:tblGrid>
      <w:tr>
        <w:trPr>
          <w:tblHeader/>
        </w:trPr>
        <w:tc>
          <w:tcPr>
            <w:tcW w:type="dxa" w:w="14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Tasks</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Milestone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1–2</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Literature review, environment setup, ADNI access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Dev environment confirmed; ADNI downloaded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3–5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MRI preprocessing pipeline, client partitioning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4 client datasets ready; preprocessing script done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6–8</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Centralised VGG19 + ResNet50 training and evaluation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Baseline accuracy table populated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9–12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Flower FL setup, FedAvg across 4 clients, convergence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FedAvg model matches ~94% of centralised accuracy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13–16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Opacus DP-SGD, ε tracking, privacy experiments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DP-FL running; ε–accuracy curve generated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17–18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Grad-CAM and SHAP integration, heatmap validation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XAI figures ready; hippocampal activation confirmed</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19–21</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Full experiment suite (E1–E6), MIA evaluation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All comparison experiments complete; results CSV</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22–23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Ablation studies (A1–A8)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Ablation table for paper complete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Ph 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Weeks 24–26</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Paper write-up, figure generation, Overleaf compilation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IEEE paper PDF ready for submission</w:t>
            </w:r>
          </w:p>
        </w:tc>
      </w:tr>
    </w:tbl>
    <w:p>
      <w:pPr>
        <w:spacing w:before="160" w:after="160"/>
      </w:pPr>
      <w:r>
        <w:t xml:space="preserve"/>
      </w:r>
    </w:p>
    <w:p>
      <w:pPr>
        <w:pStyle w:val="Heading1"/>
        <w:pBdr>
          <w:bottom w:val="single" w:color="1B3A6B" w:sz="8" w:space="4"/>
        </w:pBdr>
        <w:spacing w:before="360" w:after="160"/>
      </w:pPr>
      <w:r>
        <w:rPr>
          <w:rFonts w:ascii="Arial" w:cs="Arial" w:eastAsia="Arial" w:hAnsi="Arial"/>
          <w:b/>
          <w:bCs/>
          <w:color w:val="1B3A6B"/>
          <w:sz w:val="36"/>
          <w:szCs w:val="36"/>
        </w:rPr>
        <w:t xml:space="preserve">8. Recommended Project Directory Structure</w:t>
      </w:r>
    </w:p>
    <w:p>
      <w:pPr>
        <w:spacing w:before="80" w:after="80"/>
      </w:pPr>
      <w:r>
        <w:t xml:space="preserve"/>
      </w:r>
    </w:p>
    <w:p>
      <w:pPr>
        <w:shd w:fill="F0F4F8" w:val="clear"/>
        <w:spacing w:before="80" w:after="80"/>
        <w:ind w:left="0"/>
      </w:pPr>
      <w:r>
        <w:rPr>
          <w:rFonts w:ascii="Courier New" w:cs="Courier New" w:eastAsia="Courier New" w:hAnsi="Courier New"/>
          <w:color w:val="1A1A1A"/>
          <w:sz w:val="18"/>
          <w:szCs w:val="18"/>
        </w:rPr>
        <w:t xml:space="preserve">ppxfl-alzheimer/
├── data/
│   ├── raw/                    # Original ADNI NIfTI files
│   ├── processed/              # Preprocessed 224×224 images
│   └── clients/
│       ├── client_1/           # CN / MCI / AD subfolders
│       ├── client_2/
│       ├── client_3/
│       └── client_4/
├── src/
│   ├── preprocess.py           # MRI preprocessing pipeline
│   ├── partition.py            # Dirichlet non-IID split
│   ├── models.py               # VGG19, ResNet50 definitions
│   ├── centralised_train.py    # Phase 3: centralised baseline
│   ├── fl_client.py            # Phase 4: Flower FlowerClient
│   ├── fl_server.py            # Phase 4: Flower server + FedAvg
│   ├── dp_train.py             # Phase 5: Opacus DP-SGD wrapper
│   ├── gradcam_analysis.py     # Phase 6: Grad-CAM heatmaps
│   ├── shap_analysis.py        # Phase 6: SHAP explanations
│   ├── evaluate.py             # Phase 7: metrics + MIA
│   └── ablations.py            # Phase 8: ablation runner
├── results/
│   ├── metrics/                # CSV files for all experiments
│   ├── figures/                # 300 DPI plots for paper
│   └── xai/                    # Grad-CAM and SHAP outputs
├── paper/                      # LaTeX source (Overleaf sync)
├── requirements.txt
└── README.md</w:t>
      </w:r>
    </w:p>
    <w:p>
      <w:pPr>
        <w:spacing w:before="160" w:after="160"/>
      </w:pPr>
      <w:r>
        <w:t xml:space="preserve"/>
      </w:r>
    </w:p>
    <w:p>
      <w:pPr>
        <w:pStyle w:val="Heading1"/>
        <w:pBdr>
          <w:bottom w:val="single" w:color="1B3A6B" w:sz="8" w:space="4"/>
        </w:pBdr>
        <w:spacing w:before="360" w:after="160"/>
      </w:pPr>
      <w:r>
        <w:rPr>
          <w:rFonts w:ascii="Arial" w:cs="Arial" w:eastAsia="Arial" w:hAnsi="Arial"/>
          <w:b/>
          <w:bCs/>
          <w:color w:val="1B3A6B"/>
          <w:sz w:val="36"/>
          <w:szCs w:val="36"/>
        </w:rPr>
        <w:t xml:space="preserve">9. Key Commands Quick Reference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Command</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Install all dependencies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pip install torch torchvision flwr opacus captum shap nibabel nilearn SimpleITK grad-cam scikit-learn pandas matplotlib seaborn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Run centralised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python src/centralised_train.py --model vgg19 --epochs 30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Start FL simulation (Flower)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python src/fl_server.py --rounds 50 --clients 4</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Run client (Flower)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python src/fl_client.py --client-id 1 --dp-epsilon 2.0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Track ε budget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epsilon = privacy_engine.get_epsilon(delta=1e-5)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Generate Grad-CAM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python src/gradcam_analysis.py --model-path results/global_model.pth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Generate SHAP</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python src/shap_analysis.py --model-path results/global_model.pth --samples 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22222"/>
                <w:sz w:val="20"/>
                <w:szCs w:val="20"/>
              </w:rPr>
              <w:t xml:space="preserve">Run MIA evaluation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22222"/>
                <w:sz w:val="20"/>
                <w:szCs w:val="20"/>
              </w:rPr>
              <w:t xml:space="preserve">python src/evaluate.py --experiment mia --model-path results/dp_fl_model.pth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color w:val="222222"/>
                <w:sz w:val="20"/>
                <w:szCs w:val="20"/>
              </w:rPr>
              <w:t xml:space="preserve">Run all ablations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color w:val="222222"/>
                <w:sz w:val="20"/>
                <w:szCs w:val="20"/>
              </w:rPr>
              <w:t xml:space="preserve">python src/ablations.py --config configs/ablation_all.yaml</w:t>
            </w:r>
          </w:p>
        </w:tc>
      </w:tr>
    </w:tbl>
    <w:p>
      <w:pPr>
        <w:spacing w:before="200" w:after="200"/>
      </w:pPr>
      <w:r>
        <w:t xml:space="preserve"/>
      </w:r>
    </w:p>
    <w:p>
      <w:r>
        <w:br w:type="page"/>
      </w:r>
    </w:p>
    <w:p>
      <w:pPr>
        <w:pBdr>
          <w:top w:val="single" w:color="2E75B6" w:sz="4" w:space="8"/>
        </w:pBdr>
        <w:spacing w:before="200" w:after="80"/>
        <w:jc w:val="center"/>
      </w:pPr>
      <w:r>
        <w:rPr>
          <w:rFonts w:ascii="Arial" w:cs="Arial" w:eastAsia="Arial" w:hAnsi="Arial"/>
          <w:color w:val="666666"/>
          <w:sz w:val="18"/>
          <w:szCs w:val="18"/>
        </w:rPr>
        <w:t xml:space="preserve">Document prepared for: UE23CS320B — Capstone Project Phase 2  |  PES University  |  Project PW_26_AAM_01</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before="0" w:after="80"/>
    </w:pPr>
    <w:r>
      <w:rPr>
        <w:rFonts w:ascii="Arial" w:cs="Arial" w:eastAsia="Arial" w:hAnsi="Arial"/>
        <w:color w:val="666666"/>
        <w:sz w:val="18"/>
        <w:szCs w:val="18"/>
      </w:rPr>
      <w:t xml:space="preserve">PPXFL Research Implementation Plan  |  PES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480" w:hanging="24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560" w:hanging="280"/>
      </w:pPr>
      <w:rPr>
        <w:rFonts w:ascii="Arial" w:cs="Arial" w:eastAsia="Arial" w:hAnsi="Arial"/>
        <w:sz w:val="22"/>
        <w:szCs w:val="22"/>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6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2026-03-12T12:48:50.810Z</dcterms:created>
  <dcterms:modified xsi:type="dcterms:W3CDTF">2026-03-12T12:48:50.811Z</dcterms:modified>
</cp:coreProperties>
</file>

<file path=docProps/custom.xml><?xml version="1.0" encoding="utf-8"?>
<Properties xmlns="http://schemas.openxmlformats.org/officeDocument/2006/custom-properties" xmlns:vt="http://schemas.openxmlformats.org/officeDocument/2006/docPropsVTypes"/>
</file>