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Response to Reviewers</w:t>
      </w:r>
    </w:p>
    <w:p>
      <w:pPr>
        <w:spacing w:after="300"/>
        <w:jc w:val="center"/>
      </w:pPr>
      <w:r>
        <w:rPr>
          <w:i/>
          <w:iCs/>
        </w:rPr>
        <w:t xml:space="preserve">pH Responsive Conformation, Plasticiser Interactions, and Film Formation in Eudragit L100</w:t>
      </w:r>
    </w:p>
    <w:p>
      <w:pPr>
        <w:spacing w:after="200"/>
      </w:pPr>
      <w:r>
        <w:t xml:space="preserve">This revision involved extensive re-verification of nearly every quantitative claim in the manuscript, beyond the points explicitly raised by both referees. Each comment is addressed below.</w:t>
      </w:r>
    </w:p>
    <w:p>
      <w:pPr>
        <w:pStyle w:val="Heading1"/>
        <w:spacing w:after="160" w:before="280"/>
      </w:pPr>
      <w:r>
        <w:rPr>
          <w:b/>
          <w:bCs/>
        </w:rPr>
        <w:t xml:space="preserve">Response to Referee 2</w:t>
      </w:r>
    </w:p>
    <w:p>
      <w:pPr>
        <w:spacing w:after="80" w:before="160"/>
      </w:pPr>
      <w:r>
        <w:rPr>
          <w:b/>
          <w:bCs/>
          <w:i/>
          <w:iCs/>
        </w:rPr>
        <w:t xml:space="preserve">1. Simulation timescales (1–2 ns) were too short to support the conclusions drawn.</w:t>
      </w:r>
    </w:p>
    <w:p>
      <w:pPr>
        <w:spacing w:after="200"/>
      </w:pPr>
      <w:r>
        <w:t xml:space="preserve">Simulation durations were substantially extended throughout. Phase 0 (deprotonation series) now uses 10–30 ns production trajectories (previously 1 ns); Phase 1 (TEC concentration), Phase 2 (multi-chain film), and Phase 3 (pH-switch) now use 30 ns (previously 1–2 ns); Phase 4 (counterion effects) now uses 10 ns (previously 1 ns); Phase 5 (concentration series) now uses 30–40 ns (previously 2 ns). Durations were extended per system based on convergence assessment of the relevant primary observable.</w:t>
      </w:r>
    </w:p>
    <w:p>
      <w:pPr>
        <w:spacing w:after="80" w:before="160"/>
      </w:pPr>
      <w:r>
        <w:rPr>
          <w:b/>
          <w:bCs/>
          <w:i/>
          <w:iCs/>
        </w:rPr>
        <w:t xml:space="preserve">2. Raw total-system potential energy is not a valid metric for plasticiser–polymer compatibility.</w:t>
      </w:r>
    </w:p>
    <w:p>
      <w:pPr>
        <w:spacing w:after="200"/>
      </w:pPr>
      <w:r>
        <w:t xml:space="preserve">Energy-group decomposition isolating the specific polymer–plasticiser interaction (rather than total system energy, which is dominated by solvent) was performed. This showed that the original claim — TEC “thermodynamically superior” to PEG400 by ~1,821 kJ/mol — did not hold once isolated to the specific interaction term. Total system energy and interaction-specific energy decomposition are now reported separately and distinguished explicitly throughout. Triplicate simulation (see point 4) confirmed both plasticisers are predominantly van der Waals-bound to the polymer, with PEG400 showing more consistent behaviour across independent replicates than TEC.</w:t>
      </w:r>
    </w:p>
    <w:p>
      <w:pPr>
        <w:spacing w:after="80" w:before="160"/>
      </w:pPr>
      <w:r>
        <w:rPr>
          <w:b/>
          <w:bCs/>
          <w:i/>
          <w:iCs/>
        </w:rPr>
        <w:t xml:space="preserve">3. A 20-mer fragment cannot fully represent commercial, polydisperse, high-molecular-weight L100.</w:t>
      </w:r>
    </w:p>
    <w:p>
      <w:pPr>
        <w:spacing w:after="200"/>
      </w:pPr>
      <w:r>
        <w:t xml:space="preserve">This is noted as a limitation in the revised Limitations section. The 20-mer captures the local chemistry and charge environment of the MAA–MMA copolymer at a computationally tractable scale but does not reproduce the full molecular weight distribution of the commercial polymer. This limitation was not addressed via new simulation in this revision and is flagged as a direction for future work.</w:t>
      </w:r>
    </w:p>
    <w:p>
      <w:pPr>
        <w:spacing w:after="80" w:before="160"/>
      </w:pPr>
      <w:r>
        <w:rPr>
          <w:b/>
          <w:bCs/>
          <w:i/>
          <w:iCs/>
        </w:rPr>
        <w:t xml:space="preserve">4. Fixed protonation states described as a “pH-switch” overstates what fixed-protonation MD can demonstrate without constant-pH methodology.</w:t>
      </w:r>
    </w:p>
    <w:p>
      <w:pPr>
        <w:spacing w:after="200"/>
      </w:pPr>
      <w:r>
        <w:t xml:space="preserve">The manuscript now consistently frames acid/intestinal comparisons as fixed-ionization-state endpoints representing gastric and intestinal conditions, rather than continuous pH titration. During this revision, a labeling error was identified and corrected in the original deprotonation series (Phase 0): structure files had been built using deprotonation percentages an order of magnitude lower than intended (e.g., the system labeled “1%” was actually 10% ionized). The corrected, relabeled series (0–100% ionization, matching the genuine extent of all simulated systems) is consistent with literature pKa-based estimates for poly(methacrylic acid) (pKa⁰ ≈ 5), placing the fully protonated and fully ionized endpoints in agreement with gastric (pH 1.2) and intestinal (pH 6.8) conditions respectively.</w:t>
      </w:r>
    </w:p>
    <w:p>
      <w:pPr>
        <w:pStyle w:val="Heading1"/>
        <w:spacing w:after="160" w:before="280"/>
      </w:pPr>
      <w:r>
        <w:rPr>
          <w:b/>
          <w:bCs/>
        </w:rPr>
        <w:t xml:space="preserve">Response to Referee 1</w:t>
      </w:r>
    </w:p>
    <w:p>
      <w:pPr>
        <w:spacing w:after="80" w:before="160"/>
      </w:pPr>
      <w:r>
        <w:rPr>
          <w:b/>
          <w:bCs/>
          <w:i/>
          <w:iCs/>
        </w:rPr>
        <w:t xml:space="preserve">General presentation comments (figure legibility, redundant panels, terminology consistency, page numbering, subscript/superscript formatting):</w:t>
      </w:r>
    </w:p>
    <w:p>
      <w:pPr>
        <w:spacing w:after="200"/>
      </w:pPr>
      <w:r>
        <w:t xml:space="preserve">All figures were regenerated with larger fonts and simplified content; redundant panels were removed or relocated to the Supplementary Information; terminology was standardized throughout (e.g., consistent labeling of single-chain vs. multi-chain systems); page numbering and chemical subscript/superscript rendering were corrected.</w:t>
      </w:r>
    </w:p>
    <w:p>
      <w:pPr>
        <w:spacing w:after="80" w:before="160"/>
      </w:pPr>
      <w:r>
        <w:rPr>
          <w:b/>
          <w:bCs/>
          <w:i/>
          <w:iCs/>
        </w:rPr>
        <w:t xml:space="preserve">Comment #2 (convergence criteria):</w:t>
      </w:r>
    </w:p>
    <w:p>
      <w:pPr>
        <w:spacing w:after="200"/>
      </w:pPr>
      <w:r>
        <w:t xml:space="preserve">All reported quantities are drawn from production trajectories assessed for convergence via running-average stabilization of the relevant primary observable, with extension where drift was evident; see revised Methods.</w:t>
      </w:r>
    </w:p>
    <w:p>
      <w:pPr>
        <w:spacing w:after="80" w:before="160"/>
      </w:pPr>
      <w:r>
        <w:rPr>
          <w:b/>
          <w:bCs/>
          <w:i/>
          <w:iCs/>
        </w:rPr>
        <w:t xml:space="preserve">Comment #3 (definitions table):</w:t>
      </w:r>
    </w:p>
    <w:p>
      <w:pPr>
        <w:spacing w:after="200"/>
      </w:pPr>
      <w:r>
        <w:t xml:space="preserve">A glossary of all primary observables (definition, units, computational method) was added to the Supplementary Information.</w:t>
      </w:r>
    </w:p>
    <w:p>
      <w:pPr>
        <w:spacing w:after="80" w:before="160"/>
      </w:pPr>
      <w:r>
        <w:rPr>
          <w:b/>
          <w:bCs/>
          <w:i/>
          <w:iCs/>
        </w:rPr>
        <w:t xml:space="preserve">Comment #8 (interaction energy metric and literature comparison):</w:t>
      </w:r>
    </w:p>
    <w:p>
      <w:pPr>
        <w:spacing w:after="200"/>
      </w:pPr>
      <w:r>
        <w:t xml:space="preserve">Addressed above under Referee 2, point 2.</w:t>
      </w:r>
    </w:p>
    <w:p>
      <w:pPr>
        <w:spacing w:after="80" w:before="160"/>
      </w:pPr>
      <w:r>
        <w:rPr>
          <w:b/>
          <w:bCs/>
          <w:i/>
          <w:iCs/>
        </w:rPr>
        <w:t xml:space="preserve">Comments #13, #19 (Phase 3 convergence):</w:t>
      </w:r>
    </w:p>
    <w:p>
      <w:pPr>
        <w:spacing w:after="200"/>
      </w:pPr>
      <w:r>
        <w:t xml:space="preserve">Both acid- and intestinal-condition films are now simulated for 30 ns and confirmed converged for chain Rg, water uptake, and inter-chain distance within this window.</w:t>
      </w:r>
    </w:p>
    <w:p>
      <w:pPr>
        <w:spacing w:after="80" w:before="160"/>
      </w:pPr>
      <w:r>
        <w:rPr>
          <w:b/>
          <w:bCs/>
          <w:i/>
          <w:iCs/>
        </w:rPr>
        <w:t xml:space="preserve">Comment #16 (entanglement/binding-energy discussion):</w:t>
      </w:r>
    </w:p>
    <w:p>
      <w:pPr>
        <w:spacing w:after="200"/>
      </w:pPr>
      <w:r>
        <w:t xml:space="preserve">The relationship between concentration, inter-chain hydrogen bonding, and bulk mechanical stability is discussed in Section 3.7, supported by independently re-verified bulk modulus and inter-chain contact analysis.</w:t>
      </w:r>
    </w:p>
    <w:p>
      <w:pPr>
        <w:spacing w:after="80" w:before="160"/>
      </w:pPr>
      <w:r>
        <w:rPr>
          <w:b/>
          <w:bCs/>
          <w:i/>
          <w:iCs/>
        </w:rPr>
        <w:t xml:space="preserve">Comment #18 (Conclusions/Discussion redundancy):</w:t>
      </w:r>
    </w:p>
    <w:p>
      <w:pPr>
        <w:spacing w:after="200"/>
      </w:pPr>
      <w:r>
        <w:t xml:space="preserve">The Conclusions and Integrated Discussion sections were revised to reduce overlap.</w:t>
      </w:r>
    </w:p>
    <w:p>
      <w:pPr>
        <w:pStyle w:val="Heading1"/>
        <w:spacing w:after="160" w:before="280"/>
      </w:pPr>
      <w:r>
        <w:rPr>
          <w:b/>
          <w:bCs/>
        </w:rPr>
        <w:t xml:space="preserve">Scope of This Revision</w:t>
      </w:r>
    </w:p>
    <w:p>
      <w:pPr>
        <w:spacing w:after="200"/>
      </w:pPr>
      <w:r>
        <w:t xml:space="preserve">In the course of addressing the referees’ comments, a comprehensive re-verification of essentially every quantitative claim in the manuscript and Supplementary Information was conducted. This process identified several additional issues not raised by either referee, including: a structural contamination in the Phase 1–3 plasticiser source file (acetyl triethyl citrate inadvertently substituted for plain triethyl citrate); a systematic over-counting bias in gmx hbond output on the custom-parameterised topology, requiring all hydrogen-bond quantities to be recomputed using a direct geometric criterion; and several placeholder or unverified values that had not been updated following earlier analysis. All identified issues were corrected and documented in the relevant Results sections and Supplementary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2026-06-30T16:01:17.098Z</dcterms:created>
  <dcterms:modified xsi:type="dcterms:W3CDTF">2026-06-30T16:01:17.099Z</dcterms:modified>
</cp:coreProperties>
</file>

<file path=docProps/custom.xml><?xml version="1.0" encoding="utf-8"?>
<Properties xmlns="http://schemas.openxmlformats.org/officeDocument/2006/custom-properties" xmlns:vt="http://schemas.openxmlformats.org/officeDocument/2006/docPropsVTypes"/>
</file>