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Methods</w:t>
      </w:r>
    </w:p>
    <w:p>
      <w:r>
        <w:rPr/>
        <w:t>The quantitative PCR (qPCR) analysis was conducted by R. Iyer on 21 March 2026, utilizing six clinical isolates. The experimental procedure was performed according to SOP-QP-004 v2. For the reverse transcription step, samples were incubated at 42 °C for 30 min. The qPCR amplification process was carried out for 40 cycles.</w:t>
      </w:r>
    </w:p>
    <w:p>
      <w:r>
        <w:rPr/>
        <w:t>Variations were noted in the recorded parameters for the annealing step. The experimental notebook dated 14 March 2026 recorded an annealing temperature of 58 °C, whereas the notebook entry from 21 March 2026 documented the annealing temperature as 60 °C. Other protocol details, including specific incubation times and thermal cycling parameters, were not explicitly recorded and were followed as per the defined SOP-QP-004 v2 protocol.</w:t>
      </w:r>
    </w:p>
    <w:p>
      <w:r>
        <w:rPr/>
        <w:t>Several data points were not captured during the experiment. The specific isolate identification numbers were not reported. Additionally, the polymerase lot number was not recorded, as the reagent tube was already in active 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