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0000"/>
        </w:rPr>
        <w:t>Data Visualization and Analytical Reporting Solutions</w:t>
      </w:r>
    </w:p>
    <w:p>
      <w:r>
        <w:rPr>
          <w:b/>
        </w:rPr>
        <w:t xml:space="preserve">Target Platform: </w:t>
      </w:r>
      <w:r>
        <w:t>Microsoft SQL Server (T-SQL) &amp; BI Visualization Tools</w:t>
      </w:r>
    </w:p>
    <w:p>
      <w:r>
        <w:rPr>
          <w:b/>
        </w:rPr>
        <w:t xml:space="preserve">Target Environment: </w:t>
      </w:r>
      <w:r>
        <w:t>GlobalTrade_Analytics System</w:t>
      </w:r>
    </w:p>
    <w:p>
      <w:r>
        <w:rPr>
          <w:b/>
        </w:rPr>
        <w:t xml:space="preserve">Analytical Framework: </w:t>
      </w:r>
      <w:r>
        <w:t>KPI Definition, Data Aggregation, and Visual Storytelling</w:t>
      </w:r>
    </w:p>
    <w:p>
      <w:r>
        <w:rPr>
          <w:b/>
        </w:rPr>
        <w:t xml:space="preserve">Author: </w:t>
      </w:r>
      <w:r>
        <w:t>Vaibhav</w:t>
      </w:r>
    </w:p>
    <w:p/>
    <w:p>
      <w:pPr>
        <w:pStyle w:val="Heading1"/>
      </w:pPr>
      <w:r>
        <w:rPr>
          <w:rFonts w:ascii="Calibri" w:hAnsi="Calibri"/>
          <w:b/>
          <w:color w:val="003366"/>
        </w:rPr>
        <w:t>SECTION 1: BUSINESS SCENARIO &amp; KPI DEFINITION</w:t>
      </w:r>
    </w:p>
    <w:p>
      <w:pPr>
        <w:pStyle w:val="Heading2"/>
      </w:pPr>
      <w:r>
        <w:rPr>
          <w:rFonts w:ascii="Calibri" w:hAnsi="Calibri"/>
          <w:b/>
          <w:color w:val="004C99"/>
        </w:rPr>
        <w:t>1.1 Analytical Objective</w:t>
      </w:r>
    </w:p>
    <w:p>
      <w:r>
        <w:t>This project focuses on establishing a business intelligence reporting layer for an international import-export enterprise. The objective is to extract raw transactional data regarding international trade shipments—specifically focusing on agricultural commodity exports—and transform this data into strategic visual dashboards that empower executive decision-making regarding supply chain efficiency and international market penetration.</w:t>
      </w:r>
    </w:p>
    <w:p>
      <w:pPr>
        <w:pStyle w:val="Heading2"/>
      </w:pPr>
      <w:r>
        <w:rPr>
          <w:rFonts w:ascii="Calibri" w:hAnsi="Calibri"/>
          <w:b/>
          <w:color w:val="004C99"/>
        </w:rPr>
        <w:t>1.2 Defined Key Performance Indicators (KPIs)</w:t>
      </w:r>
    </w:p>
    <w:p>
      <w:r>
        <w:rPr>
          <w:b/>
        </w:rPr>
        <w:t xml:space="preserve">1. Commodity Export Volume: </w:t>
      </w:r>
      <w:r>
        <w:t>Measures the total metric tonnage and revenue generated by specific product categories (e.g., Powder, Cubes, Liquid).</w:t>
        <w:br/>
      </w:r>
      <w:r>
        <w:rPr>
          <w:b/>
        </w:rPr>
        <w:t xml:space="preserve">2. Monthly Export Revenue Trend: </w:t>
      </w:r>
      <w:r>
        <w:t>Tracks financial growth and seasonal international demand spikes over a rolling period.</w:t>
        <w:br/>
      </w:r>
      <w:r>
        <w:rPr>
          <w:b/>
        </w:rPr>
        <w:t xml:space="preserve">3. Top International Markets: </w:t>
      </w:r>
      <w:r>
        <w:t>Identifies the most profitable destination countries to focus future marketing and compliance efforts.</w:t>
        <w:br/>
      </w:r>
      <w:r>
        <w:rPr>
          <w:b/>
        </w:rPr>
        <w:t xml:space="preserve">4. Shipping Incoterm Distribution: </w:t>
      </w:r>
      <w:r>
        <w:t>Evaluates the ratio of contracts negotiated under Free on Board (FOB) versus Cost, Insurance, and Freight (CIF) terms to assess logistical liability.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003366"/>
        </w:rPr>
        <w:t>SECTION 2: SQL DATA EXTRACTION METHODOLOGY</w:t>
      </w:r>
    </w:p>
    <w:p>
      <w:r>
        <w:t>To populate the reporting dashboards, targeted T-SQL aggregation queries were executed against the GlobalTrade_Analytics database.</w:t>
      </w:r>
    </w:p>
    <w:p>
      <w:pPr>
        <w:pStyle w:val="Heading2"/>
      </w:pPr>
      <w:r>
        <w:rPr>
          <w:rFonts w:ascii="Calibri" w:hAnsi="Calibri"/>
          <w:b/>
          <w:color w:val="004C99"/>
        </w:rPr>
        <w:t>2.1 Query 1: Commodity Export Volume (Revenue by Product)</w:t>
      </w:r>
    </w:p>
    <w:p>
      <w:pPr>
        <w:ind w:left="288" w:right="288"/>
      </w:pPr>
      <w:r>
        <w:rPr>
          <w:rFonts w:ascii="Consolas" w:hAnsi="Consolas"/>
          <w:color w:val="006400"/>
          <w:sz w:val="19"/>
        </w:rPr>
        <w:t xml:space="preserve">SELECT </w:t>
        <w:br/>
        <w:t xml:space="preserve">    p.ProductName,</w:t>
        <w:br/>
        <w:t xml:space="preserve">    SUM(s.MetricTons) AS TotalVolume_MT,</w:t>
        <w:br/>
        <w:t xml:space="preserve">    SUM(s.ContractValue) AS GrossRevenue</w:t>
        <w:br/>
        <w:t>FROM Trade.Shipments s</w:t>
        <w:br/>
        <w:t>INNER JOIN Trade.Products p ON s.ProductID = p.ProductID</w:t>
        <w:br/>
        <w:t>WHERE s.ShipmentStatus = 'Delivered'</w:t>
        <w:br/>
        <w:t>GROUP BY p.ProductName</w:t>
        <w:br/>
        <w:t>ORDER BY GrossRevenue DESC;</w:t>
      </w:r>
    </w:p>
    <w:p>
      <w:pPr>
        <w:pStyle w:val="Heading2"/>
      </w:pPr>
      <w:r>
        <w:rPr>
          <w:rFonts w:ascii="Calibri" w:hAnsi="Calibri"/>
          <w:b/>
          <w:color w:val="004C99"/>
        </w:rPr>
        <w:t>2.2 Query 2: Monthly Export Revenue Trend</w:t>
      </w:r>
    </w:p>
    <w:p>
      <w:pPr>
        <w:ind w:left="288" w:right="288"/>
      </w:pPr>
      <w:r>
        <w:rPr>
          <w:rFonts w:ascii="Consolas" w:hAnsi="Consolas"/>
          <w:color w:val="006400"/>
          <w:sz w:val="19"/>
        </w:rPr>
        <w:t xml:space="preserve">SELECT </w:t>
        <w:br/>
        <w:t xml:space="preserve">    YEAR(ShipmentDate) AS ExportYear,</w:t>
        <w:br/>
        <w:t xml:space="preserve">    MONTH(ShipmentDate) AS ExportMonth,</w:t>
        <w:br/>
        <w:t xml:space="preserve">    SUM(ContractValue) AS MonthlyRevenue</w:t>
        <w:br/>
        <w:t>FROM Trade.Shipments</w:t>
        <w:br/>
        <w:t>WHERE ShipmentStatus IN ('Shipped', 'Delivered')</w:t>
        <w:br/>
        <w:t>GROUP BY YEAR(ShipmentDate), MONTH(ShipmentDate)</w:t>
        <w:br/>
        <w:t>ORDER BY ExportYear ASC, ExportMonth ASC;</w:t>
      </w:r>
    </w:p>
    <w:p>
      <w:pPr>
        <w:pStyle w:val="Heading2"/>
      </w:pPr>
      <w:r>
        <w:rPr>
          <w:rFonts w:ascii="Calibri" w:hAnsi="Calibri"/>
          <w:b/>
          <w:color w:val="004C99"/>
        </w:rPr>
        <w:t>2.3 Query 3: Top International Markets</w:t>
      </w:r>
    </w:p>
    <w:p>
      <w:pPr>
        <w:ind w:left="288" w:right="288"/>
      </w:pPr>
      <w:r>
        <w:rPr>
          <w:rFonts w:ascii="Consolas" w:hAnsi="Consolas"/>
          <w:color w:val="006400"/>
          <w:sz w:val="19"/>
        </w:rPr>
        <w:t>SELECT TOP 5</w:t>
        <w:br/>
        <w:t xml:space="preserve">    c.Country,</w:t>
        <w:br/>
        <w:t xml:space="preserve">    COUNT(s.ShipmentID) AS TotalShipments,</w:t>
        <w:br/>
        <w:t xml:space="preserve">    SUM(s.ContractValue) AS TotalMarketValue</w:t>
        <w:br/>
        <w:t>FROM Trade.Shipments s</w:t>
        <w:br/>
        <w:t>INNER JOIN Trade.Clients c ON s.ClientID = c.ClientID</w:t>
        <w:br/>
        <w:t>WHERE s.ShipmentStatus = 'Delivered'</w:t>
        <w:br/>
        <w:t>GROUP BY c.Country</w:t>
        <w:br/>
        <w:t>ORDER BY TotalMarketValue DESC;</w:t>
      </w:r>
    </w:p>
    <w:p>
      <w:pPr>
        <w:pStyle w:val="Heading2"/>
      </w:pPr>
      <w:r>
        <w:rPr>
          <w:rFonts w:ascii="Calibri" w:hAnsi="Calibri"/>
          <w:b/>
          <w:color w:val="004C99"/>
        </w:rPr>
        <w:t>2.4 Query 4: Shipping Incoterm Distribution</w:t>
      </w:r>
    </w:p>
    <w:p>
      <w:pPr>
        <w:ind w:left="288" w:right="288"/>
      </w:pPr>
      <w:r>
        <w:rPr>
          <w:rFonts w:ascii="Consolas" w:hAnsi="Consolas"/>
          <w:color w:val="006400"/>
          <w:sz w:val="19"/>
        </w:rPr>
        <w:t xml:space="preserve">SELECT </w:t>
        <w:br/>
        <w:t xml:space="preserve">    Incoterms,</w:t>
        <w:br/>
        <w:t xml:space="preserve">    COUNT(ShipmentID) AS ContractCount,</w:t>
        <w:br/>
        <w:t xml:space="preserve">    SUM(ContractValue) AS TotalLiabilityValue</w:t>
        <w:br/>
        <w:t>FROM Trade.Shipments</w:t>
        <w:br/>
        <w:t>GROUP BY Incoterms;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003366"/>
        </w:rPr>
        <w:t>SECTION 3: VISUALIZATION DESIGN &amp; RATIONALE</w:t>
      </w:r>
    </w:p>
    <w:p>
      <w:r>
        <w:t>The extracted datasets were mapped to specific visual formats designed to minimize cognitive load and maximize insight clarity for stakeholders.</w:t>
      </w:r>
    </w:p>
    <w:p>
      <w:pPr>
        <w:pStyle w:val="Heading2"/>
      </w:pPr>
      <w:r>
        <w:rPr>
          <w:rFonts w:ascii="Calibri" w:hAnsi="Calibri"/>
          <w:b/>
          <w:color w:val="004C99"/>
        </w:rPr>
        <w:t>3.1 Commodity Export Volume (Clustered Bar Chart)</w:t>
      </w:r>
    </w:p>
    <w:p>
      <w:r>
        <w:t>[ PLACEHOLDER: Insert Clustered Bar Chart Screenshot Here ]</w:t>
      </w:r>
    </w:p>
    <w:p>
      <w:r>
        <w:rPr>
          <w:b/>
        </w:rPr>
        <w:t xml:space="preserve">Design Rationale: </w:t>
      </w:r>
      <w:r>
        <w:t>A horizontal clustered bar chart was selected because human vision easily compares relative lengths. The categorical nature of product types reads much more cleanly on a Y-axis than on an X-axis, immediately highlighting which product variant drives the most international demand.</w:t>
      </w:r>
    </w:p>
    <w:p>
      <w:pPr>
        <w:pStyle w:val="Heading2"/>
      </w:pPr>
      <w:r>
        <w:rPr>
          <w:rFonts w:ascii="Calibri" w:hAnsi="Calibri"/>
          <w:b/>
          <w:color w:val="004C99"/>
        </w:rPr>
        <w:t>3.2 Monthly Export Revenue Trend (Line Chart)</w:t>
      </w:r>
    </w:p>
    <w:p>
      <w:r>
        <w:t>[ PLACEHOLDER: Insert Line Chart Screenshot Here ]</w:t>
      </w:r>
    </w:p>
    <w:p>
      <w:r>
        <w:rPr>
          <w:b/>
        </w:rPr>
        <w:t xml:space="preserve">Design Rationale: </w:t>
      </w:r>
      <w:r>
        <w:t>Line charts are the universal standard for continuous time-series data. By plotting the ExportMonth on the X-axis and MonthlyRevenue on the Y-axis, stakeholders can instantly identify upward trajectories and seasonal trade fluctuations.</w:t>
      </w:r>
    </w:p>
    <w:p>
      <w:pPr>
        <w:pStyle w:val="Heading2"/>
      </w:pPr>
      <w:r>
        <w:rPr>
          <w:rFonts w:ascii="Calibri" w:hAnsi="Calibri"/>
          <w:b/>
          <w:color w:val="004C99"/>
        </w:rPr>
        <w:t>3.3 Top International Markets (Column Chart)</w:t>
      </w:r>
    </w:p>
    <w:p>
      <w:r>
        <w:t>[ PLACEHOLDER: Insert Column Chart Screenshot Here ]</w:t>
      </w:r>
    </w:p>
    <w:p>
      <w:r>
        <w:rPr>
          <w:b/>
        </w:rPr>
        <w:t xml:space="preserve">Design Rationale: </w:t>
      </w:r>
      <w:r>
        <w:t>To emphasize geographical ranking, a sorted column chart isolates the most profitable international markets. This allows the logistics and sales teams to visually calculate the market share gaps between primary and secondary export destinations.</w:t>
      </w:r>
    </w:p>
    <w:p>
      <w:pPr>
        <w:pStyle w:val="Heading2"/>
      </w:pPr>
      <w:r>
        <w:rPr>
          <w:rFonts w:ascii="Calibri" w:hAnsi="Calibri"/>
          <w:b/>
          <w:color w:val="004C99"/>
        </w:rPr>
        <w:t>3.4 Shipping Incoterm Distribution (Donut Chart)</w:t>
      </w:r>
    </w:p>
    <w:p>
      <w:r>
        <w:t>[ PLACEHOLDER: Insert Donut Chart Screenshot Here ]</w:t>
      </w:r>
    </w:p>
    <w:p>
      <w:r>
        <w:rPr>
          <w:b/>
        </w:rPr>
        <w:t xml:space="preserve">Design Rationale: </w:t>
      </w:r>
      <w:r>
        <w:t>A donut chart is highly effective for displaying simple part-to-whole relationships (specifically 2-3 categories). This chart shows the proportional ratio of FOB vs. CIF contracts, utilizing a central callout metric for total contract value, which is critical for assessing corporate insurance liabilities.</w:t>
      </w:r>
    </w:p>
    <w:p>
      <w:pPr>
        <w:pStyle w:val="Heading1"/>
      </w:pPr>
      <w:r>
        <w:rPr>
          <w:rFonts w:ascii="Calibri" w:hAnsi="Calibri"/>
          <w:b/>
          <w:color w:val="003366"/>
        </w:rPr>
        <w:t>SECTION 4: ANALYTICAL INSIGHTS &amp; REPORT CONCLUSION</w:t>
      </w:r>
    </w:p>
    <w:p>
      <w:r>
        <w:t>By bridging optimized SQL data extraction with targeted visual storytelling, several key operational insights were uncovered:</w:t>
      </w:r>
    </w:p>
    <w:p>
      <w:r>
        <w:rPr>
          <w:b/>
        </w:rPr>
        <w:t xml:space="preserve">1. Product Strategy: </w:t>
      </w:r>
      <w:r>
        <w:t>The data visualizations clearly indicate the strongest product lines, allowing the enterprise to streamline manufacturing and certification efforts toward the most profitable commodities.</w:t>
        <w:br/>
      </w:r>
      <w:r>
        <w:rPr>
          <w:b/>
        </w:rPr>
        <w:t xml:space="preserve">2. Logistical Liability: </w:t>
      </w:r>
      <w:r>
        <w:t>The Incoterm distribution chart immediately surfaces the volume of capital currently shipped under CIF terms versus FOB, dictating future negotiations to mitigate transit risks.</w:t>
        <w:br/>
      </w:r>
      <w:r>
        <w:rPr>
          <w:b/>
        </w:rPr>
        <w:t xml:space="preserve">3. Strategic Value: </w:t>
      </w:r>
      <w:r>
        <w:t>This end-to-end process demonstrates how raw logistical and sales data—when queried efficiently and mapped to the correct visual frameworks—transforms into immediate strategic intelligence for executive decision-making in international trade.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