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4E56E2" w:rsidRDefault="004E56E2" w14:paraId="70AEAA38" w14:textId="77777777">
      <w:pPr>
        <w:spacing w:before="400"/>
      </w:pP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9360"/>
      </w:tblGrid>
      <w:tr w:rsidR="004E56E2" w14:paraId="2FD5380F" w14:textId="77777777">
        <w:tc>
          <w:tcPr>
            <w:tcW w:w="9360" w:type="dxa"/>
            <w:shd w:val="clear" w:color="auto" w:fill="0F2027"/>
            <w:tcMar>
              <w:top w:w="560" w:type="dxa"/>
              <w:left w:w="400" w:type="dxa"/>
              <w:bottom w:w="560" w:type="dxa"/>
              <w:right w:w="400" w:type="dxa"/>
            </w:tcMar>
          </w:tcPr>
          <w:p w:rsidR="004E56E2" w:rsidRDefault="00000000" w14:paraId="77C50773" w14:textId="77777777">
            <w:pPr>
              <w:spacing w:after="60"/>
              <w:jc w:val="center"/>
            </w:pPr>
            <w:r>
              <w:rPr>
                <w:rFonts w:ascii="Arial" w:hAnsi="Arial" w:eastAsia="Arial" w:cs="Arial"/>
                <w:b/>
                <w:bCs/>
                <w:color w:val="FFFFFF"/>
                <w:sz w:val="52"/>
                <w:szCs w:val="52"/>
              </w:rPr>
              <w:t>SOC Executive Dashboard</w:t>
            </w:r>
          </w:p>
          <w:p w:rsidR="004E56E2" w:rsidRDefault="00000000" w14:paraId="5CBBB033" w14:textId="77777777">
            <w:pPr>
              <w:spacing w:after="40"/>
              <w:jc w:val="center"/>
            </w:pPr>
            <w:r>
              <w:rPr>
                <w:rFonts w:ascii="Arial" w:hAnsi="Arial" w:eastAsia="Arial" w:cs="Arial"/>
                <w:color w:val="99F6E4"/>
                <w:sz w:val="28"/>
                <w:szCs w:val="28"/>
              </w:rPr>
              <w:t>Hackathon Problem Brief</w:t>
            </w:r>
          </w:p>
          <w:p w:rsidR="004E56E2" w:rsidRDefault="00000000" w14:paraId="2763843F" w14:textId="77777777">
            <w:pPr>
              <w:jc w:val="center"/>
            </w:pPr>
            <w:r>
              <w:rPr>
                <w:rFonts w:ascii="Arial" w:hAnsi="Arial" w:eastAsia="Arial" w:cs="Arial"/>
                <w:color w:val="94A3B8"/>
              </w:rPr>
              <w:t>Security Operations  ·  Data &amp; Visualization</w:t>
            </w:r>
          </w:p>
        </w:tc>
      </w:tr>
    </w:tbl>
    <w:p w:rsidR="004E56E2" w:rsidRDefault="004E56E2" w14:paraId="21D462C1" w14:textId="77777777">
      <w:pPr>
        <w:spacing w:after="160"/>
      </w:pPr>
    </w:p>
    <w:tbl>
      <w:tblPr>
        <w:tblW w:w="7020" w:type="dxa"/>
        <w:tblBorders>
          <w:top w:val="none" w:color="FFFFFF" w:themeColor="background1" w:sz="0" w:space="0"/>
          <w:left w:val="none" w:color="FFFFFF" w:themeColor="background1" w:sz="0" w:space="0"/>
          <w:bottom w:val="none" w:color="FFFFFF" w:themeColor="background1" w:sz="0" w:space="0"/>
          <w:right w:val="none" w:color="FFFFFF" w:themeColor="background1" w:sz="0" w:space="0"/>
          <w:insideH w:val="none" w:color="FFFFFF" w:themeColor="background1" w:sz="0" w:space="0"/>
          <w:insideV w:val="none" w:color="FFFFFF" w:themeColor="background1" w:sz="0" w:space="0"/>
        </w:tblBorders>
        <w:tblCellMar>
          <w:left w:w="10" w:type="dxa"/>
          <w:right w:w="10" w:type="dxa"/>
        </w:tblCellMar>
        <w:tblLook w:val="0000" w:firstRow="0" w:lastRow="0" w:firstColumn="0" w:lastColumn="0" w:noHBand="0" w:noVBand="0"/>
      </w:tblPr>
      <w:tblGrid>
        <w:gridCol w:w="2340"/>
        <w:gridCol w:w="2340"/>
        <w:gridCol w:w="2340"/>
      </w:tblGrid>
      <w:tr w:rsidR="004E56E2" w:rsidTr="213A1E89" w14:paraId="779BB1EF" w14:textId="77777777">
        <w:trPr>
          <w:trHeight w:val="300"/>
        </w:trPr>
        <w:tc>
          <w:tcPr>
            <w:tcW w:w="2340" w:type="dxa"/>
            <w:tcBorders>
              <w:top w:val="single" w:color="E2E8F0" w:sz="4" w:space="0"/>
              <w:left w:val="single" w:color="E2E8F0" w:sz="4" w:space="0"/>
              <w:bottom w:val="single" w:color="E2E8F0" w:sz="4" w:space="0"/>
              <w:right w:val="single" w:color="E2E8F0" w:sz="4" w:space="0"/>
            </w:tcBorders>
            <w:shd w:val="clear" w:color="auto" w:fill="F8FAFC"/>
            <w:tcMar>
              <w:top w:w="120" w:type="dxa"/>
              <w:left w:w="160" w:type="dxa"/>
              <w:bottom w:w="120" w:type="dxa"/>
              <w:right w:w="120" w:type="dxa"/>
            </w:tcMar>
          </w:tcPr>
          <w:p w:rsidR="004E56E2" w:rsidRDefault="00000000" w14:paraId="6BDD4EA4" w14:textId="77777777">
            <w:pPr>
              <w:spacing w:after="30"/>
            </w:pPr>
            <w:r>
              <w:rPr>
                <w:rFonts w:ascii="Arial" w:hAnsi="Arial" w:eastAsia="Arial" w:cs="Arial"/>
                <w:b/>
                <w:bCs/>
                <w:color w:val="0F766E"/>
                <w:sz w:val="17"/>
                <w:szCs w:val="17"/>
              </w:rPr>
              <w:t>Problem ID</w:t>
            </w:r>
          </w:p>
          <w:p w:rsidR="004E56E2" w:rsidRDefault="00000000" w14:paraId="241EE330" w14:textId="77777777">
            <w:r>
              <w:rPr>
                <w:rFonts w:ascii="Arial" w:hAnsi="Arial" w:eastAsia="Arial" w:cs="Arial"/>
                <w:color w:val="111827"/>
              </w:rPr>
              <w:t>HACK-SOC-01</w:t>
            </w:r>
          </w:p>
        </w:tc>
        <w:tc>
          <w:tcPr>
            <w:tcW w:w="2340" w:type="dxa"/>
            <w:tcBorders>
              <w:top w:val="single" w:color="E2E8F0" w:sz="4" w:space="0"/>
              <w:left w:val="single" w:color="E2E8F0" w:sz="4" w:space="0"/>
              <w:bottom w:val="single" w:color="E2E8F0" w:sz="4" w:space="0"/>
              <w:right w:val="single" w:color="E2E8F0" w:sz="4" w:space="0"/>
            </w:tcBorders>
            <w:shd w:val="clear" w:color="auto" w:fill="F8FAFC"/>
            <w:tcMar>
              <w:top w:w="120" w:type="dxa"/>
              <w:left w:w="160" w:type="dxa"/>
              <w:bottom w:w="120" w:type="dxa"/>
              <w:right w:w="120" w:type="dxa"/>
            </w:tcMar>
          </w:tcPr>
          <w:p w:rsidR="004E56E2" w:rsidRDefault="00000000" w14:paraId="0D4EE48F" w14:textId="77777777">
            <w:pPr>
              <w:spacing w:after="30"/>
            </w:pPr>
            <w:r>
              <w:rPr>
                <w:rFonts w:ascii="Arial" w:hAnsi="Arial" w:eastAsia="Arial" w:cs="Arial"/>
                <w:b/>
                <w:bCs/>
                <w:color w:val="0F766E"/>
                <w:sz w:val="17"/>
                <w:szCs w:val="17"/>
              </w:rPr>
              <w:t>Format</w:t>
            </w:r>
          </w:p>
          <w:p w:rsidR="004E56E2" w:rsidRDefault="00000000" w14:paraId="26A2EAC9" w14:textId="77777777">
            <w:r>
              <w:rPr>
                <w:rFonts w:ascii="Arial" w:hAnsi="Arial" w:eastAsia="Arial" w:cs="Arial"/>
                <w:color w:val="111827"/>
              </w:rPr>
              <w:t>Individual</w:t>
            </w:r>
          </w:p>
        </w:tc>
        <w:tc>
          <w:tcPr>
            <w:tcW w:w="2340" w:type="dxa"/>
            <w:tcBorders>
              <w:top w:val="single" w:color="E2E8F0" w:sz="4" w:space="0"/>
              <w:left w:val="single" w:color="E2E8F0" w:sz="4" w:space="0"/>
              <w:bottom w:val="single" w:color="E2E8F0" w:sz="4" w:space="0"/>
              <w:right w:val="single" w:color="E2E8F0" w:sz="4" w:space="0"/>
            </w:tcBorders>
            <w:shd w:val="clear" w:color="auto" w:fill="F8FAFC"/>
            <w:tcMar>
              <w:top w:w="120" w:type="dxa"/>
              <w:left w:w="160" w:type="dxa"/>
              <w:bottom w:w="120" w:type="dxa"/>
              <w:right w:w="120" w:type="dxa"/>
            </w:tcMar>
          </w:tcPr>
          <w:p w:rsidR="004E56E2" w:rsidRDefault="00000000" w14:paraId="5315FAA2" w14:textId="77777777">
            <w:pPr>
              <w:spacing w:after="30"/>
            </w:pPr>
            <w:r>
              <w:rPr>
                <w:rFonts w:ascii="Arial" w:hAnsi="Arial" w:eastAsia="Arial" w:cs="Arial"/>
                <w:b/>
                <w:bCs/>
                <w:color w:val="0F766E"/>
                <w:sz w:val="17"/>
                <w:szCs w:val="17"/>
              </w:rPr>
              <w:t>Time limit</w:t>
            </w:r>
          </w:p>
          <w:p w:rsidR="004E56E2" w:rsidP="213A1E89" w:rsidRDefault="00000000" w14:paraId="0D3CFBFC" w14:textId="78292C95">
            <w:pPr>
              <w:rPr>
                <w:rFonts w:ascii="Arial" w:hAnsi="Arial" w:eastAsia="Arial" w:cs="Arial"/>
                <w:color w:val="111827"/>
              </w:rPr>
            </w:pPr>
            <w:r>
              <w:rPr>
                <w:rFonts w:ascii="Arial" w:hAnsi="Arial" w:eastAsia="Arial" w:cs="Arial"/>
                <w:color w:val="111827"/>
              </w:rPr>
              <w:t>4 – 5 hours</w:t>
            </w:r>
          </w:p>
        </w:tc>
      </w:tr>
    </w:tbl>
    <w:p w:rsidR="004E56E2" w:rsidRDefault="00000000" w14:paraId="22D21A47" w14:textId="77777777">
      <w:r>
        <w:br w:type="page"/>
      </w:r>
    </w:p>
    <w:p w:rsidR="004E56E2" w:rsidRDefault="004E56E2" w14:paraId="7146D9D3" w14:textId="77777777">
      <w:pPr>
        <w:spacing w:before="220"/>
      </w:pP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9360"/>
      </w:tblGrid>
      <w:tr w:rsidR="004E56E2" w14:paraId="3F44EEF6" w14:textId="77777777">
        <w:tc>
          <w:tcPr>
            <w:tcW w:w="9360" w:type="dxa"/>
            <w:shd w:val="clear" w:color="auto" w:fill="0F766E"/>
            <w:tcMar>
              <w:top w:w="160" w:type="dxa"/>
              <w:left w:w="280" w:type="dxa"/>
              <w:bottom w:w="160" w:type="dxa"/>
              <w:right w:w="280" w:type="dxa"/>
            </w:tcMar>
          </w:tcPr>
          <w:p w:rsidR="004E56E2" w:rsidRDefault="00000000" w14:paraId="461F7128" w14:textId="77777777">
            <w:r>
              <w:rPr>
                <w:rFonts w:ascii="Arial" w:hAnsi="Arial" w:eastAsia="Arial" w:cs="Arial"/>
                <w:b/>
                <w:bCs/>
                <w:color w:val="FFFFFF"/>
                <w:sz w:val="30"/>
                <w:szCs w:val="30"/>
              </w:rPr>
              <w:t>1.  Background</w:t>
            </w:r>
          </w:p>
        </w:tc>
      </w:tr>
    </w:tbl>
    <w:p w:rsidR="004E56E2" w:rsidRDefault="004E56E2" w14:paraId="52902EA1" w14:textId="77777777">
      <w:pPr>
        <w:spacing w:after="120"/>
      </w:pPr>
    </w:p>
    <w:p w:rsidR="004E56E2" w:rsidRDefault="00000000" w14:paraId="0059B979" w14:textId="77777777">
      <w:pPr>
        <w:spacing w:after="120" w:line="276" w:lineRule="auto"/>
      </w:pPr>
      <w:r>
        <w:rPr>
          <w:rFonts w:ascii="Arial" w:hAnsi="Arial" w:eastAsia="Arial" w:cs="Arial"/>
          <w:color w:val="111827"/>
          <w:sz w:val="21"/>
          <w:szCs w:val="21"/>
        </w:rPr>
        <w:t>We run a multi-tenant Security Operations Center (SOC) that serves many customers across multiple partners — an MSSP (Managed Security Service Provider) model. Each customer sends detections from its own SIEM: an “Offence” in IBM QRadar, or an “Issue” in Cortex XSIAM. Playbook automation turns every detection into an incident ticket inside our internal platform, SecurityHub. Analysts then triage, open, work, and close those tickets.</w:t>
      </w:r>
    </w:p>
    <w:p w:rsidR="004E56E2" w:rsidRDefault="00000000" w14:paraId="0D2D086A" w14:textId="77777777">
      <w:pPr>
        <w:spacing w:after="120" w:line="276" w:lineRule="auto"/>
      </w:pPr>
      <w:r>
        <w:rPr>
          <w:rFonts w:ascii="Arial" w:hAnsi="Arial" w:eastAsia="Arial" w:cs="Arial"/>
          <w:color w:val="111827"/>
          <w:sz w:val="21"/>
          <w:szCs w:val="21"/>
        </w:rPr>
        <w:t xml:space="preserve">Today, leadership and customers have </w:t>
      </w:r>
      <w:r>
        <w:rPr>
          <w:rFonts w:ascii="Arial" w:hAnsi="Arial" w:eastAsia="Arial" w:cs="Arial"/>
          <w:b/>
          <w:bCs/>
          <w:color w:val="111827"/>
          <w:sz w:val="21"/>
          <w:szCs w:val="21"/>
        </w:rPr>
        <w:t>no single place</w:t>
      </w:r>
      <w:r>
        <w:rPr>
          <w:rFonts w:ascii="Arial" w:hAnsi="Arial" w:eastAsia="Arial" w:cs="Arial"/>
          <w:color w:val="111827"/>
          <w:sz w:val="21"/>
          <w:szCs w:val="21"/>
        </w:rPr>
        <w:t xml:space="preserve"> to see how the SOC is performing — alert volume, how fast we detect and respond, whether we are meeting SLAs, and how much noise we absorb. The data already lives in SecurityHub; it simply isn’t surfaced.</w:t>
      </w:r>
    </w:p>
    <w:p w:rsidR="004E56E2" w:rsidRDefault="004E56E2" w14:paraId="13A8797E" w14:textId="77777777">
      <w:pPr>
        <w:spacing w:before="220"/>
      </w:pP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9360"/>
      </w:tblGrid>
      <w:tr w:rsidR="004E56E2" w14:paraId="3ECD3D7D" w14:textId="77777777">
        <w:tc>
          <w:tcPr>
            <w:tcW w:w="9360" w:type="dxa"/>
            <w:shd w:val="clear" w:color="auto" w:fill="0F766E"/>
            <w:tcMar>
              <w:top w:w="160" w:type="dxa"/>
              <w:left w:w="280" w:type="dxa"/>
              <w:bottom w:w="160" w:type="dxa"/>
              <w:right w:w="280" w:type="dxa"/>
            </w:tcMar>
          </w:tcPr>
          <w:p w:rsidR="004E56E2" w:rsidRDefault="00000000" w14:paraId="4149945B" w14:textId="77777777">
            <w:r>
              <w:rPr>
                <w:rFonts w:ascii="Arial" w:hAnsi="Arial" w:eastAsia="Arial" w:cs="Arial"/>
                <w:b/>
                <w:bCs/>
                <w:color w:val="FFFFFF"/>
                <w:sz w:val="30"/>
                <w:szCs w:val="30"/>
              </w:rPr>
              <w:t>2.  The challenge</w:t>
            </w:r>
          </w:p>
        </w:tc>
      </w:tr>
    </w:tbl>
    <w:p w:rsidR="004E56E2" w:rsidRDefault="004E56E2" w14:paraId="62BCBF26" w14:textId="77777777">
      <w:pPr>
        <w:spacing w:after="120"/>
      </w:pPr>
    </w:p>
    <w:p w:rsidR="004E56E2" w:rsidRDefault="00000000" w14:paraId="7DFDED5E" w14:textId="77777777">
      <w:pPr>
        <w:spacing w:after="120" w:line="276" w:lineRule="auto"/>
      </w:pPr>
      <w:r>
        <w:rPr>
          <w:rFonts w:ascii="Arial" w:hAnsi="Arial" w:eastAsia="Arial" w:cs="Arial"/>
          <w:color w:val="111827"/>
          <w:sz w:val="21"/>
          <w:szCs w:val="21"/>
        </w:rPr>
        <w:t xml:space="preserve">Build a </w:t>
      </w:r>
      <w:r>
        <w:rPr>
          <w:rFonts w:ascii="Arial" w:hAnsi="Arial" w:eastAsia="Arial" w:cs="Arial"/>
          <w:b/>
          <w:bCs/>
          <w:color w:val="111827"/>
          <w:sz w:val="21"/>
          <w:szCs w:val="21"/>
        </w:rPr>
        <w:t>SOC Executive Dashboard</w:t>
      </w:r>
      <w:r>
        <w:rPr>
          <w:rFonts w:ascii="Arial" w:hAnsi="Arial" w:eastAsia="Arial" w:cs="Arial"/>
          <w:color w:val="111827"/>
          <w:sz w:val="21"/>
          <w:szCs w:val="21"/>
        </w:rPr>
        <w:t>: a single-pane, multi-tenant view that summarises operational security metrics and their week-over-week trends, all driven by one shared set of filters. It reads from the SecurityHub incident data (plus a customer reference dataset) and computes the KPIs listed in Section 6.</w:t>
      </w:r>
    </w:p>
    <w:p w:rsidR="004E56E2" w:rsidRDefault="004E56E2" w14:paraId="118823D1" w14:textId="77777777">
      <w:pPr>
        <w:spacing w:before="40"/>
      </w:pPr>
    </w:p>
    <w:tbl>
      <w:tblPr>
        <w:tblW w:w="9360" w:type="dxa"/>
        <w:tblBorders>
          <w:top w:val="single" w:color="E2E8F0" w:sz="2" w:space="0"/>
          <w:left w:val="single" w:color="0F766E" w:sz="24" w:space="0"/>
          <w:bottom w:val="single" w:color="E2E8F0" w:sz="2" w:space="0"/>
          <w:right w:val="single" w:color="E2E8F0" w:sz="2"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9360"/>
      </w:tblGrid>
      <w:tr w:rsidR="004E56E2" w14:paraId="6484593F" w14:textId="77777777">
        <w:tc>
          <w:tcPr>
            <w:tcW w:w="9360" w:type="dxa"/>
            <w:shd w:val="clear" w:color="auto" w:fill="F0FDFA"/>
            <w:tcMar>
              <w:top w:w="120" w:type="dxa"/>
              <w:left w:w="220" w:type="dxa"/>
              <w:bottom w:w="120" w:type="dxa"/>
              <w:right w:w="200" w:type="dxa"/>
            </w:tcMar>
          </w:tcPr>
          <w:p w:rsidR="004E56E2" w:rsidRDefault="00000000" w14:paraId="2ED2B55C" w14:textId="77777777">
            <w:pPr>
              <w:spacing w:line="264" w:lineRule="auto"/>
            </w:pPr>
            <w:r>
              <w:rPr>
                <w:rFonts w:ascii="Arial" w:hAnsi="Arial" w:eastAsia="Arial" w:cs="Arial"/>
                <w:b/>
                <w:bCs/>
                <w:color w:val="0F4C3A"/>
              </w:rPr>
              <w:t xml:space="preserve">There’s no prescribed layout — design it your way. </w:t>
            </w:r>
            <w:r>
              <w:rPr>
                <w:rFonts w:ascii="Arial" w:hAnsi="Arial" w:eastAsia="Arial" w:cs="Arial"/>
                <w:color w:val="0F4C3A"/>
              </w:rPr>
              <w:t>What we care about is correct metrics and a clear, usable single-pane view. How it looks, and how a SOC leader reads it at a glance, is yours to invent.</w:t>
            </w:r>
          </w:p>
        </w:tc>
      </w:tr>
    </w:tbl>
    <w:p w:rsidR="004E56E2" w:rsidRDefault="004E56E2" w14:paraId="4460A306" w14:textId="77777777">
      <w:pPr>
        <w:spacing w:after="140"/>
      </w:pPr>
    </w:p>
    <w:p w:rsidR="004E56E2" w:rsidRDefault="004E56E2" w14:paraId="4A5AEE8D" w14:textId="77777777">
      <w:pPr>
        <w:spacing w:before="220"/>
      </w:pP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9360"/>
      </w:tblGrid>
      <w:tr w:rsidR="004E56E2" w14:paraId="18457328" w14:textId="77777777">
        <w:tc>
          <w:tcPr>
            <w:tcW w:w="9360" w:type="dxa"/>
            <w:shd w:val="clear" w:color="auto" w:fill="0F766E"/>
            <w:tcMar>
              <w:top w:w="160" w:type="dxa"/>
              <w:left w:w="280" w:type="dxa"/>
              <w:bottom w:w="160" w:type="dxa"/>
              <w:right w:w="280" w:type="dxa"/>
            </w:tcMar>
          </w:tcPr>
          <w:p w:rsidR="004E56E2" w:rsidRDefault="00000000" w14:paraId="1D7E7B1B" w14:textId="77777777">
            <w:r>
              <w:rPr>
                <w:rFonts w:ascii="Arial" w:hAnsi="Arial" w:eastAsia="Arial" w:cs="Arial"/>
                <w:b/>
                <w:bCs/>
                <w:color w:val="FFFFFF"/>
                <w:sz w:val="30"/>
                <w:szCs w:val="30"/>
              </w:rPr>
              <w:t>3.  What to build</w:t>
            </w:r>
          </w:p>
        </w:tc>
      </w:tr>
    </w:tbl>
    <w:p w:rsidR="004E56E2" w:rsidRDefault="004E56E2" w14:paraId="3B5F8FC9" w14:textId="77777777">
      <w:pPr>
        <w:spacing w:after="120"/>
      </w:pPr>
    </w:p>
    <w:p w:rsidR="004E56E2" w:rsidRDefault="00000000" w14:paraId="5C1BEC15" w14:textId="77777777">
      <w:pPr>
        <w:spacing w:before="200" w:after="80"/>
      </w:pPr>
      <w:r>
        <w:rPr>
          <w:rFonts w:ascii="Arial" w:hAnsi="Arial" w:eastAsia="Arial" w:cs="Arial"/>
          <w:b/>
          <w:bCs/>
          <w:color w:val="0F766E"/>
          <w:sz w:val="24"/>
          <w:szCs w:val="24"/>
        </w:rPr>
        <w:t>3.1  Global filter bar</w:t>
      </w:r>
    </w:p>
    <w:p w:rsidR="004E56E2" w:rsidRDefault="00000000" w14:paraId="363CC835" w14:textId="77777777">
      <w:pPr>
        <w:spacing w:after="120" w:line="276" w:lineRule="auto"/>
      </w:pPr>
      <w:r>
        <w:rPr>
          <w:rFonts w:ascii="Arial" w:hAnsi="Arial" w:eastAsia="Arial" w:cs="Arial"/>
          <w:color w:val="111827"/>
          <w:sz w:val="21"/>
          <w:szCs w:val="21"/>
        </w:rPr>
        <w:t>Users need to slice every card and chart through one shared set of filters. The dataset in Section 4 supports filtering by customer, SIEM, SOAR, service tier and time range. Decide which of these matter to a SOC leader, how the bar should behave, what the sensible defaults are, and how to reset it — the design is yours.</w:t>
      </w:r>
    </w:p>
    <w:p w:rsidR="004E56E2" w:rsidRDefault="00000000" w14:paraId="572E6B2D" w14:textId="77777777">
      <w:pPr>
        <w:spacing w:before="200" w:after="80"/>
      </w:pPr>
      <w:r>
        <w:rPr>
          <w:rFonts w:ascii="Arial" w:hAnsi="Arial" w:eastAsia="Arial" w:cs="Arial"/>
          <w:b/>
          <w:bCs/>
          <w:color w:val="0F766E"/>
          <w:sz w:val="24"/>
          <w:szCs w:val="24"/>
        </w:rPr>
        <w:t>3.2  KPI cards</w:t>
      </w:r>
    </w:p>
    <w:p w:rsidR="004E56E2" w:rsidRDefault="00000000" w14:paraId="2AD28487" w14:textId="77777777">
      <w:pPr>
        <w:spacing w:after="120" w:line="276" w:lineRule="auto"/>
      </w:pPr>
      <w:r>
        <w:rPr>
          <w:rFonts w:ascii="Arial" w:hAnsi="Arial" w:eastAsia="Arial" w:cs="Arial"/>
          <w:color w:val="111827"/>
          <w:sz w:val="21"/>
          <w:szCs w:val="21"/>
        </w:rPr>
        <w:t>Surface the metrics listed in Section 6 as an at-a-glance summary, each with a sense of how it has moved week over week. Which metrics deserve the most emphasis, how you group them, and how you convey a delta or supporting context is a design decision we want to see you make.</w:t>
      </w:r>
    </w:p>
    <w:p w:rsidR="004E56E2" w:rsidRDefault="00000000" w14:paraId="1B7611CB" w14:textId="77777777">
      <w:pPr>
        <w:spacing w:before="200" w:after="80"/>
      </w:pPr>
      <w:r>
        <w:rPr>
          <w:rFonts w:ascii="Arial" w:hAnsi="Arial" w:eastAsia="Arial" w:cs="Arial"/>
          <w:b/>
          <w:bCs/>
          <w:color w:val="0F766E"/>
          <w:sz w:val="24"/>
          <w:szCs w:val="24"/>
        </w:rPr>
        <w:t>3.3  Trend charts</w:t>
      </w:r>
    </w:p>
    <w:p w:rsidR="004E56E2" w:rsidRDefault="00000000" w14:paraId="1B95476E" w14:textId="77777777">
      <w:pPr>
        <w:spacing w:after="120" w:line="276" w:lineRule="auto"/>
      </w:pPr>
      <w:r>
        <w:rPr>
          <w:rFonts w:ascii="Arial" w:hAnsi="Arial" w:eastAsia="Arial" w:cs="Arial"/>
          <w:color w:val="111827"/>
          <w:sz w:val="21"/>
          <w:szCs w:val="21"/>
        </w:rPr>
        <w:t>Show how the key metrics move over the selected window in weekly buckets — at a minimum, volume (alerts and incidents) and responsiveness (MTTR against SLA). Choose the visual encodings you think communicate these trends best.</w:t>
      </w:r>
    </w:p>
    <w:p w:rsidR="004E56E2" w:rsidRDefault="004E56E2" w14:paraId="6BC2BFED" w14:textId="77777777">
      <w:pPr>
        <w:spacing w:before="220"/>
      </w:pP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9360"/>
      </w:tblGrid>
      <w:tr w:rsidR="004E56E2" w:rsidTr="7F26F1F0" w14:paraId="0ED75937" w14:textId="77777777">
        <w:tc>
          <w:tcPr>
            <w:tcW w:w="9360" w:type="dxa"/>
            <w:shd w:val="clear" w:color="auto" w:fill="0F766E"/>
            <w:tcMar>
              <w:top w:w="160" w:type="dxa"/>
              <w:left w:w="280" w:type="dxa"/>
              <w:bottom w:w="160" w:type="dxa"/>
              <w:right w:w="280" w:type="dxa"/>
            </w:tcMar>
          </w:tcPr>
          <w:p w:rsidR="004E56E2" w:rsidRDefault="00000000" w14:paraId="2949CA01" w14:textId="3FDED4D1">
            <w:r w:rsidRPr="7F26F1F0" w:rsidR="4198FB9E">
              <w:rPr>
                <w:rFonts w:ascii="Arial" w:hAnsi="Arial" w:eastAsia="Arial" w:cs="Arial"/>
                <w:b w:val="1"/>
                <w:bCs w:val="1"/>
                <w:color w:val="FFFFFF" w:themeColor="background1" w:themeTint="FF" w:themeShade="FF"/>
                <w:sz w:val="30"/>
                <w:szCs w:val="30"/>
              </w:rPr>
              <w:t xml:space="preserve">4.  Provided </w:t>
            </w:r>
            <w:r w:rsidRPr="7F26F1F0" w:rsidR="7FBC2228">
              <w:rPr>
                <w:rFonts w:ascii="Arial" w:hAnsi="Arial" w:eastAsia="Arial" w:cs="Arial"/>
                <w:b w:val="1"/>
                <w:bCs w:val="1"/>
                <w:color w:val="FFFFFF" w:themeColor="background1" w:themeTint="FF" w:themeShade="FF"/>
                <w:sz w:val="30"/>
                <w:szCs w:val="30"/>
              </w:rPr>
              <w:t>Field Info</w:t>
            </w:r>
          </w:p>
        </w:tc>
      </w:tr>
    </w:tbl>
    <w:p w:rsidR="004E56E2" w:rsidRDefault="004E56E2" w14:paraId="76864614" w14:textId="77777777">
      <w:pPr>
        <w:spacing w:after="120"/>
      </w:pPr>
    </w:p>
    <w:p w:rsidR="004E56E2" w:rsidRDefault="00000000" w14:paraId="3A312E5C" w14:textId="319D5215">
      <w:pPr>
        <w:spacing w:before="200" w:after="80"/>
      </w:pPr>
      <w:r w:rsidRPr="7F26F1F0" w:rsidR="4198FB9E">
        <w:rPr>
          <w:rFonts w:ascii="Arial" w:hAnsi="Arial" w:eastAsia="Arial" w:cs="Arial"/>
          <w:b w:val="1"/>
          <w:bCs w:val="1"/>
          <w:color w:val="0F766E"/>
          <w:sz w:val="24"/>
          <w:szCs w:val="24"/>
        </w:rPr>
        <w:t>4.1 Incident</w:t>
      </w:r>
      <w:r w:rsidRPr="7F26F1F0" w:rsidR="4198FB9E">
        <w:rPr>
          <w:rFonts w:ascii="Arial" w:hAnsi="Arial" w:eastAsia="Arial" w:cs="Arial"/>
          <w:b w:val="1"/>
          <w:bCs w:val="1"/>
          <w:color w:val="0F766E"/>
          <w:sz w:val="24"/>
          <w:szCs w:val="24"/>
        </w:rPr>
        <w:t xml:space="preserve"> fields</w:t>
      </w:r>
    </w:p>
    <w:p w:rsidR="004E56E2" w:rsidP="7F26F1F0" w:rsidRDefault="00000000" w14:paraId="0BCC52BF" w14:textId="264883B9">
      <w:pPr>
        <w:spacing w:after="120" w:line="276" w:lineRule="auto"/>
        <w:rPr>
          <w:rFonts w:ascii="Arial" w:hAnsi="Arial" w:eastAsia="Arial" w:cs="Arial"/>
          <w:color w:val="111827"/>
          <w:sz w:val="21"/>
          <w:szCs w:val="21"/>
        </w:rPr>
      </w:pPr>
      <w:r w:rsidRPr="7F26F1F0" w:rsidR="4198FB9E">
        <w:rPr>
          <w:rFonts w:ascii="Arial" w:hAnsi="Arial" w:eastAsia="Arial" w:cs="Arial"/>
          <w:color w:val="111827"/>
          <w:sz w:val="21"/>
          <w:szCs w:val="21"/>
        </w:rPr>
        <w:t>These fields drive the KPIs and filters — the core of the problem</w:t>
      </w:r>
      <w:r w:rsidRPr="7F26F1F0" w:rsidR="21489C77">
        <w:rPr>
          <w:rFonts w:ascii="Arial" w:hAnsi="Arial" w:eastAsia="Arial" w:cs="Arial"/>
          <w:color w:val="111827"/>
          <w:sz w:val="21"/>
          <w:szCs w:val="21"/>
        </w:rPr>
        <w:t>, this are given as a reference only.</w:t>
      </w:r>
    </w:p>
    <w:tbl>
      <w:tblPr>
        <w:tblW w:w="9360" w:type="dxa"/>
        <w:tblBorders>
          <w:top w:val="single" w:color="E2E8F0" w:sz="4" w:space="0"/>
          <w:left w:val="single" w:color="E2E8F0" w:sz="4" w:space="0"/>
          <w:bottom w:val="single" w:color="E2E8F0" w:sz="4" w:space="0"/>
          <w:right w:val="single" w:color="E2E8F0" w:sz="4" w:space="0"/>
          <w:insideH w:val="single" w:color="E2E8F0" w:sz="4" w:space="0"/>
          <w:insideV w:val="single" w:color="E2E8F0" w:sz="4" w:space="0"/>
        </w:tblBorders>
        <w:tblCellMar>
          <w:left w:w="10" w:type="dxa"/>
          <w:right w:w="10" w:type="dxa"/>
        </w:tblCellMar>
        <w:tblLook w:val="0000" w:firstRow="0" w:lastRow="0" w:firstColumn="0" w:lastColumn="0" w:noHBand="0" w:noVBand="0"/>
      </w:tblPr>
      <w:tblGrid>
        <w:gridCol w:w="2200"/>
        <w:gridCol w:w="3060"/>
        <w:gridCol w:w="4100"/>
      </w:tblGrid>
      <w:tr w:rsidR="004E56E2" w14:paraId="4B49F24B" w14:textId="77777777">
        <w:trPr>
          <w:cantSplit/>
          <w:tblHeader/>
        </w:trPr>
        <w:tc>
          <w:tcPr>
            <w:tcW w:w="2200" w:type="dxa"/>
            <w:shd w:val="clear" w:color="auto" w:fill="0F766E"/>
            <w:tcMar>
              <w:top w:w="50" w:type="dxa"/>
              <w:left w:w="100" w:type="dxa"/>
              <w:bottom w:w="50" w:type="dxa"/>
              <w:right w:w="100" w:type="dxa"/>
            </w:tcMar>
            <w:vAlign w:val="center"/>
          </w:tcPr>
          <w:p w:rsidR="004E56E2" w:rsidRDefault="00000000" w14:paraId="388F1C44" w14:textId="77777777">
            <w:pPr>
              <w:spacing w:before="20" w:after="20"/>
            </w:pPr>
            <w:r>
              <w:rPr>
                <w:rFonts w:ascii="Arial" w:hAnsi="Arial" w:eastAsia="Arial" w:cs="Arial"/>
                <w:b/>
                <w:bCs/>
                <w:color w:val="FFFFFF"/>
                <w:sz w:val="19"/>
                <w:szCs w:val="19"/>
              </w:rPr>
              <w:t>Field</w:t>
            </w:r>
          </w:p>
        </w:tc>
        <w:tc>
          <w:tcPr>
            <w:tcW w:w="3060" w:type="dxa"/>
            <w:shd w:val="clear" w:color="auto" w:fill="0F766E"/>
            <w:tcMar>
              <w:top w:w="50" w:type="dxa"/>
              <w:left w:w="100" w:type="dxa"/>
              <w:bottom w:w="50" w:type="dxa"/>
              <w:right w:w="100" w:type="dxa"/>
            </w:tcMar>
            <w:vAlign w:val="center"/>
          </w:tcPr>
          <w:p w:rsidR="004E56E2" w:rsidRDefault="00000000" w14:paraId="653C1CFD" w14:textId="77777777">
            <w:pPr>
              <w:spacing w:before="20" w:after="20"/>
            </w:pPr>
            <w:r>
              <w:rPr>
                <w:rFonts w:ascii="Arial" w:hAnsi="Arial" w:eastAsia="Arial" w:cs="Arial"/>
                <w:b/>
                <w:bCs/>
                <w:color w:val="FFFFFF"/>
                <w:sz w:val="19"/>
                <w:szCs w:val="19"/>
              </w:rPr>
              <w:t>Values</w:t>
            </w:r>
          </w:p>
        </w:tc>
        <w:tc>
          <w:tcPr>
            <w:tcW w:w="4100" w:type="dxa"/>
            <w:shd w:val="clear" w:color="auto" w:fill="0F766E"/>
            <w:tcMar>
              <w:top w:w="50" w:type="dxa"/>
              <w:left w:w="100" w:type="dxa"/>
              <w:bottom w:w="50" w:type="dxa"/>
              <w:right w:w="100" w:type="dxa"/>
            </w:tcMar>
            <w:vAlign w:val="center"/>
          </w:tcPr>
          <w:p w:rsidR="004E56E2" w:rsidRDefault="00000000" w14:paraId="4E311044" w14:textId="77777777">
            <w:pPr>
              <w:spacing w:before="20" w:after="20"/>
            </w:pPr>
            <w:r>
              <w:rPr>
                <w:rFonts w:ascii="Arial" w:hAnsi="Arial" w:eastAsia="Arial" w:cs="Arial"/>
                <w:b/>
                <w:bCs/>
                <w:color w:val="FFFFFF"/>
                <w:sz w:val="19"/>
                <w:szCs w:val="19"/>
              </w:rPr>
              <w:t>Drives</w:t>
            </w:r>
          </w:p>
        </w:tc>
      </w:tr>
      <w:tr w:rsidR="004E56E2" w14:paraId="22985727" w14:textId="77777777">
        <w:trPr>
          <w:cantSplit/>
        </w:trPr>
        <w:tc>
          <w:tcPr>
            <w:tcW w:w="2200" w:type="dxa"/>
            <w:shd w:val="clear" w:color="auto" w:fill="FFFFFF"/>
            <w:tcMar>
              <w:top w:w="50" w:type="dxa"/>
              <w:left w:w="100" w:type="dxa"/>
              <w:bottom w:w="50" w:type="dxa"/>
              <w:right w:w="100" w:type="dxa"/>
            </w:tcMar>
            <w:vAlign w:val="center"/>
          </w:tcPr>
          <w:p w:rsidR="004E56E2" w:rsidRDefault="00000000" w14:paraId="6EE10F2B" w14:textId="77777777">
            <w:pPr>
              <w:spacing w:before="20" w:after="20"/>
            </w:pPr>
            <w:r>
              <w:rPr>
                <w:rFonts w:ascii="Arial" w:hAnsi="Arial" w:eastAsia="Arial" w:cs="Arial"/>
                <w:b/>
                <w:bCs/>
                <w:color w:val="111827"/>
                <w:sz w:val="19"/>
                <w:szCs w:val="19"/>
              </w:rPr>
              <w:t>Severity</w:t>
            </w:r>
          </w:p>
        </w:tc>
        <w:tc>
          <w:tcPr>
            <w:tcW w:w="3060" w:type="dxa"/>
            <w:shd w:val="clear" w:color="auto" w:fill="FFFFFF"/>
            <w:tcMar>
              <w:top w:w="50" w:type="dxa"/>
              <w:left w:w="100" w:type="dxa"/>
              <w:bottom w:w="50" w:type="dxa"/>
              <w:right w:w="100" w:type="dxa"/>
            </w:tcMar>
            <w:vAlign w:val="center"/>
          </w:tcPr>
          <w:p w:rsidR="004E56E2" w:rsidRDefault="00000000" w14:paraId="4B0FE25A" w14:textId="77777777">
            <w:pPr>
              <w:spacing w:before="20" w:after="20"/>
            </w:pPr>
            <w:r>
              <w:rPr>
                <w:rFonts w:ascii="Arial" w:hAnsi="Arial" w:eastAsia="Arial" w:cs="Arial"/>
                <w:color w:val="111827"/>
                <w:sz w:val="19"/>
                <w:szCs w:val="19"/>
              </w:rPr>
              <w:t>Critical | Major | Minor | Informational</w:t>
            </w:r>
          </w:p>
        </w:tc>
        <w:tc>
          <w:tcPr>
            <w:tcW w:w="4100" w:type="dxa"/>
            <w:shd w:val="clear" w:color="auto" w:fill="FFFFFF"/>
            <w:tcMar>
              <w:top w:w="50" w:type="dxa"/>
              <w:left w:w="100" w:type="dxa"/>
              <w:bottom w:w="50" w:type="dxa"/>
              <w:right w:w="100" w:type="dxa"/>
            </w:tcMar>
            <w:vAlign w:val="center"/>
          </w:tcPr>
          <w:p w:rsidR="004E56E2" w:rsidRDefault="00000000" w14:paraId="3B6B6898" w14:textId="77777777">
            <w:pPr>
              <w:spacing w:before="20" w:after="20"/>
            </w:pPr>
            <w:r>
              <w:rPr>
                <w:rFonts w:ascii="Arial" w:hAnsi="Arial" w:eastAsia="Arial" w:cs="Arial"/>
                <w:color w:val="111827"/>
                <w:sz w:val="19"/>
                <w:szCs w:val="19"/>
              </w:rPr>
              <w:t>Critical Alerts; P1/P2/P3 grouping</w:t>
            </w:r>
          </w:p>
        </w:tc>
      </w:tr>
      <w:tr w:rsidR="004E56E2" w14:paraId="123E0BC2" w14:textId="77777777">
        <w:trPr>
          <w:cantSplit/>
        </w:trPr>
        <w:tc>
          <w:tcPr>
            <w:tcW w:w="2200" w:type="dxa"/>
            <w:shd w:val="clear" w:color="auto" w:fill="F8FAFC"/>
            <w:tcMar>
              <w:top w:w="50" w:type="dxa"/>
              <w:left w:w="100" w:type="dxa"/>
              <w:bottom w:w="50" w:type="dxa"/>
              <w:right w:w="100" w:type="dxa"/>
            </w:tcMar>
            <w:vAlign w:val="center"/>
          </w:tcPr>
          <w:p w:rsidR="004E56E2" w:rsidRDefault="00000000" w14:paraId="49543508" w14:textId="77777777">
            <w:pPr>
              <w:spacing w:before="20" w:after="20"/>
            </w:pPr>
            <w:r>
              <w:rPr>
                <w:rFonts w:ascii="Arial" w:hAnsi="Arial" w:eastAsia="Arial" w:cs="Arial"/>
                <w:b/>
                <w:bCs/>
                <w:color w:val="111827"/>
                <w:sz w:val="19"/>
                <w:szCs w:val="19"/>
              </w:rPr>
              <w:t>Status</w:t>
            </w:r>
          </w:p>
        </w:tc>
        <w:tc>
          <w:tcPr>
            <w:tcW w:w="3060" w:type="dxa"/>
            <w:shd w:val="clear" w:color="auto" w:fill="F8FAFC"/>
            <w:tcMar>
              <w:top w:w="50" w:type="dxa"/>
              <w:left w:w="100" w:type="dxa"/>
              <w:bottom w:w="50" w:type="dxa"/>
              <w:right w:w="100" w:type="dxa"/>
            </w:tcMar>
            <w:vAlign w:val="center"/>
          </w:tcPr>
          <w:p w:rsidR="004E56E2" w:rsidRDefault="00000000" w14:paraId="3E8340C8" w14:textId="77777777">
            <w:pPr>
              <w:spacing w:before="20" w:after="20"/>
            </w:pPr>
            <w:r>
              <w:rPr>
                <w:rFonts w:ascii="Arial" w:hAnsi="Arial" w:eastAsia="Arial" w:cs="Arial"/>
                <w:color w:val="111827"/>
                <w:sz w:val="19"/>
                <w:szCs w:val="19"/>
              </w:rPr>
              <w:t>lifecycle status (see 4.3)</w:t>
            </w:r>
          </w:p>
        </w:tc>
        <w:tc>
          <w:tcPr>
            <w:tcW w:w="4100" w:type="dxa"/>
            <w:shd w:val="clear" w:color="auto" w:fill="F8FAFC"/>
            <w:tcMar>
              <w:top w:w="50" w:type="dxa"/>
              <w:left w:w="100" w:type="dxa"/>
              <w:bottom w:w="50" w:type="dxa"/>
              <w:right w:w="100" w:type="dxa"/>
            </w:tcMar>
            <w:vAlign w:val="center"/>
          </w:tcPr>
          <w:p w:rsidR="004E56E2" w:rsidRDefault="00000000" w14:paraId="4C59206E" w14:textId="77777777">
            <w:pPr>
              <w:spacing w:before="20" w:after="20"/>
            </w:pPr>
            <w:r>
              <w:rPr>
                <w:rFonts w:ascii="Arial" w:hAnsi="Arial" w:eastAsia="Arial" w:cs="Arial"/>
                <w:color w:val="111827"/>
                <w:sz w:val="19"/>
                <w:szCs w:val="19"/>
              </w:rPr>
              <w:t>Funnel: alert vs incident</w:t>
            </w:r>
          </w:p>
        </w:tc>
      </w:tr>
      <w:tr w:rsidR="004E56E2" w14:paraId="6105F52D" w14:textId="77777777">
        <w:trPr>
          <w:cantSplit/>
        </w:trPr>
        <w:tc>
          <w:tcPr>
            <w:tcW w:w="2200" w:type="dxa"/>
            <w:shd w:val="clear" w:color="auto" w:fill="FFFFFF"/>
            <w:tcMar>
              <w:top w:w="50" w:type="dxa"/>
              <w:left w:w="100" w:type="dxa"/>
              <w:bottom w:w="50" w:type="dxa"/>
              <w:right w:w="100" w:type="dxa"/>
            </w:tcMar>
            <w:vAlign w:val="center"/>
          </w:tcPr>
          <w:p w:rsidR="004E56E2" w:rsidRDefault="00000000" w14:paraId="7155C540" w14:textId="77777777">
            <w:pPr>
              <w:spacing w:before="20" w:after="20"/>
            </w:pPr>
            <w:r>
              <w:rPr>
                <w:rFonts w:ascii="Arial" w:hAnsi="Arial" w:eastAsia="Arial" w:cs="Arial"/>
                <w:b/>
                <w:bCs/>
                <w:color w:val="111827"/>
                <w:sz w:val="19"/>
                <w:szCs w:val="19"/>
              </w:rPr>
              <w:t>Service type</w:t>
            </w:r>
          </w:p>
        </w:tc>
        <w:tc>
          <w:tcPr>
            <w:tcW w:w="3060" w:type="dxa"/>
            <w:shd w:val="clear" w:color="auto" w:fill="FFFFFF"/>
            <w:tcMar>
              <w:top w:w="50" w:type="dxa"/>
              <w:left w:w="100" w:type="dxa"/>
              <w:bottom w:w="50" w:type="dxa"/>
              <w:right w:w="100" w:type="dxa"/>
            </w:tcMar>
            <w:vAlign w:val="center"/>
          </w:tcPr>
          <w:p w:rsidR="004E56E2" w:rsidRDefault="00000000" w14:paraId="027D15CD" w14:textId="77777777">
            <w:pPr>
              <w:spacing w:before="20" w:after="20"/>
            </w:pPr>
            <w:r>
              <w:rPr>
                <w:rFonts w:ascii="Arial" w:hAnsi="Arial" w:eastAsia="Arial" w:cs="Arial"/>
                <w:color w:val="111827"/>
                <w:sz w:val="19"/>
                <w:szCs w:val="19"/>
              </w:rPr>
              <w:t>e.g. SOC Monitoring</w:t>
            </w:r>
          </w:p>
        </w:tc>
        <w:tc>
          <w:tcPr>
            <w:tcW w:w="4100" w:type="dxa"/>
            <w:shd w:val="clear" w:color="auto" w:fill="FFFFFF"/>
            <w:tcMar>
              <w:top w:w="50" w:type="dxa"/>
              <w:left w:w="100" w:type="dxa"/>
              <w:bottom w:w="50" w:type="dxa"/>
              <w:right w:w="100" w:type="dxa"/>
            </w:tcMar>
            <w:vAlign w:val="center"/>
          </w:tcPr>
          <w:p w:rsidR="004E56E2" w:rsidRDefault="00000000" w14:paraId="13B9FC05" w14:textId="77777777">
            <w:pPr>
              <w:spacing w:before="20" w:after="20"/>
            </w:pPr>
            <w:r>
              <w:rPr>
                <w:rFonts w:ascii="Arial" w:hAnsi="Arial" w:eastAsia="Arial" w:cs="Arial"/>
                <w:color w:val="111827"/>
                <w:sz w:val="19"/>
                <w:szCs w:val="19"/>
              </w:rPr>
              <w:t>Tier filter</w:t>
            </w:r>
          </w:p>
        </w:tc>
      </w:tr>
      <w:tr w:rsidR="004E56E2" w14:paraId="4C83835D" w14:textId="77777777">
        <w:trPr>
          <w:cantSplit/>
        </w:trPr>
        <w:tc>
          <w:tcPr>
            <w:tcW w:w="2200" w:type="dxa"/>
            <w:shd w:val="clear" w:color="auto" w:fill="F8FAFC"/>
            <w:tcMar>
              <w:top w:w="50" w:type="dxa"/>
              <w:left w:w="100" w:type="dxa"/>
              <w:bottom w:w="50" w:type="dxa"/>
              <w:right w:w="100" w:type="dxa"/>
            </w:tcMar>
            <w:vAlign w:val="center"/>
          </w:tcPr>
          <w:p w:rsidR="004E56E2" w:rsidRDefault="00000000" w14:paraId="3C9BBA61" w14:textId="77777777">
            <w:pPr>
              <w:spacing w:before="20" w:after="20"/>
            </w:pPr>
            <w:r>
              <w:rPr>
                <w:rFonts w:ascii="Arial" w:hAnsi="Arial" w:eastAsia="Arial" w:cs="Arial"/>
                <w:b/>
                <w:bCs/>
                <w:color w:val="111827"/>
                <w:sz w:val="19"/>
                <w:szCs w:val="19"/>
              </w:rPr>
              <w:t>SIEM</w:t>
            </w:r>
          </w:p>
        </w:tc>
        <w:tc>
          <w:tcPr>
            <w:tcW w:w="3060" w:type="dxa"/>
            <w:shd w:val="clear" w:color="auto" w:fill="F8FAFC"/>
            <w:tcMar>
              <w:top w:w="50" w:type="dxa"/>
              <w:left w:w="100" w:type="dxa"/>
              <w:bottom w:w="50" w:type="dxa"/>
              <w:right w:w="100" w:type="dxa"/>
            </w:tcMar>
            <w:vAlign w:val="center"/>
          </w:tcPr>
          <w:p w:rsidR="004E56E2" w:rsidRDefault="00000000" w14:paraId="3D49FED2" w14:textId="77777777">
            <w:pPr>
              <w:spacing w:before="20" w:after="20"/>
            </w:pPr>
            <w:r>
              <w:rPr>
                <w:rFonts w:ascii="Arial" w:hAnsi="Arial" w:eastAsia="Arial" w:cs="Arial"/>
                <w:color w:val="111827"/>
                <w:sz w:val="19"/>
                <w:szCs w:val="19"/>
              </w:rPr>
              <w:t>QRADAR | XSIAM</w:t>
            </w:r>
          </w:p>
        </w:tc>
        <w:tc>
          <w:tcPr>
            <w:tcW w:w="4100" w:type="dxa"/>
            <w:shd w:val="clear" w:color="auto" w:fill="F8FAFC"/>
            <w:tcMar>
              <w:top w:w="50" w:type="dxa"/>
              <w:left w:w="100" w:type="dxa"/>
              <w:bottom w:w="50" w:type="dxa"/>
              <w:right w:w="100" w:type="dxa"/>
            </w:tcMar>
            <w:vAlign w:val="center"/>
          </w:tcPr>
          <w:p w:rsidR="004E56E2" w:rsidRDefault="00000000" w14:paraId="5AC18120" w14:textId="77777777">
            <w:pPr>
              <w:spacing w:before="20" w:after="20"/>
            </w:pPr>
            <w:r>
              <w:rPr>
                <w:rFonts w:ascii="Arial" w:hAnsi="Arial" w:eastAsia="Arial" w:cs="Arial"/>
                <w:color w:val="111827"/>
                <w:sz w:val="19"/>
                <w:szCs w:val="19"/>
              </w:rPr>
              <w:t>SIEM filter — recorded at creation, never changes</w:t>
            </w:r>
          </w:p>
        </w:tc>
      </w:tr>
      <w:tr w:rsidR="004E56E2" w14:paraId="031CAB27" w14:textId="77777777">
        <w:trPr>
          <w:cantSplit/>
        </w:trPr>
        <w:tc>
          <w:tcPr>
            <w:tcW w:w="2200" w:type="dxa"/>
            <w:shd w:val="clear" w:color="auto" w:fill="FFFFFF"/>
            <w:tcMar>
              <w:top w:w="50" w:type="dxa"/>
              <w:left w:w="100" w:type="dxa"/>
              <w:bottom w:w="50" w:type="dxa"/>
              <w:right w:w="100" w:type="dxa"/>
            </w:tcMar>
            <w:vAlign w:val="center"/>
          </w:tcPr>
          <w:p w:rsidR="004E56E2" w:rsidRDefault="00000000" w14:paraId="6C535F59" w14:textId="77777777">
            <w:pPr>
              <w:spacing w:before="20" w:after="20"/>
            </w:pPr>
            <w:r>
              <w:rPr>
                <w:rFonts w:ascii="Arial" w:hAnsi="Arial" w:eastAsia="Arial" w:cs="Arial"/>
                <w:b/>
                <w:bCs/>
                <w:color w:val="111827"/>
                <w:sz w:val="19"/>
                <w:szCs w:val="19"/>
              </w:rPr>
              <w:t>SOAR</w:t>
            </w:r>
          </w:p>
        </w:tc>
        <w:tc>
          <w:tcPr>
            <w:tcW w:w="3060" w:type="dxa"/>
            <w:shd w:val="clear" w:color="auto" w:fill="FFFFFF"/>
            <w:tcMar>
              <w:top w:w="50" w:type="dxa"/>
              <w:left w:w="100" w:type="dxa"/>
              <w:bottom w:w="50" w:type="dxa"/>
              <w:right w:w="100" w:type="dxa"/>
            </w:tcMar>
            <w:vAlign w:val="center"/>
          </w:tcPr>
          <w:p w:rsidR="004E56E2" w:rsidRDefault="00000000" w14:paraId="557DCDFF" w14:textId="77777777">
            <w:pPr>
              <w:spacing w:before="20" w:after="20"/>
            </w:pPr>
            <w:r>
              <w:rPr>
                <w:rFonts w:ascii="Arial" w:hAnsi="Arial" w:eastAsia="Arial" w:cs="Arial"/>
                <w:color w:val="111827"/>
                <w:sz w:val="19"/>
                <w:szCs w:val="19"/>
              </w:rPr>
              <w:t>e.g. XSOAR, Resilient</w:t>
            </w:r>
          </w:p>
        </w:tc>
        <w:tc>
          <w:tcPr>
            <w:tcW w:w="4100" w:type="dxa"/>
            <w:shd w:val="clear" w:color="auto" w:fill="FFFFFF"/>
            <w:tcMar>
              <w:top w:w="50" w:type="dxa"/>
              <w:left w:w="100" w:type="dxa"/>
              <w:bottom w:w="50" w:type="dxa"/>
              <w:right w:w="100" w:type="dxa"/>
            </w:tcMar>
            <w:vAlign w:val="center"/>
          </w:tcPr>
          <w:p w:rsidR="004E56E2" w:rsidRDefault="00000000" w14:paraId="5654826E" w14:textId="77777777">
            <w:pPr>
              <w:spacing w:before="20" w:after="20"/>
            </w:pPr>
            <w:r>
              <w:rPr>
                <w:rFonts w:ascii="Arial" w:hAnsi="Arial" w:eastAsia="Arial" w:cs="Arial"/>
                <w:color w:val="111827"/>
                <w:sz w:val="19"/>
                <w:szCs w:val="19"/>
              </w:rPr>
              <w:t>SOAR filter — recorded at creation, never changes</w:t>
            </w:r>
          </w:p>
        </w:tc>
      </w:tr>
      <w:tr w:rsidR="004E56E2" w14:paraId="3763DA2C" w14:textId="77777777">
        <w:trPr>
          <w:cantSplit/>
        </w:trPr>
        <w:tc>
          <w:tcPr>
            <w:tcW w:w="2200" w:type="dxa"/>
            <w:shd w:val="clear" w:color="auto" w:fill="F8FAFC"/>
            <w:tcMar>
              <w:top w:w="50" w:type="dxa"/>
              <w:left w:w="100" w:type="dxa"/>
              <w:bottom w:w="50" w:type="dxa"/>
              <w:right w:w="100" w:type="dxa"/>
            </w:tcMar>
            <w:vAlign w:val="center"/>
          </w:tcPr>
          <w:p w:rsidR="004E56E2" w:rsidRDefault="00000000" w14:paraId="7DDEADF0" w14:textId="77777777">
            <w:pPr>
              <w:spacing w:before="20" w:after="20"/>
            </w:pPr>
            <w:r>
              <w:rPr>
                <w:rFonts w:ascii="Arial" w:hAnsi="Arial" w:eastAsia="Arial" w:cs="Arial"/>
                <w:b/>
                <w:bCs/>
                <w:color w:val="111827"/>
                <w:sz w:val="19"/>
                <w:szCs w:val="19"/>
              </w:rPr>
              <w:t>SLA result</w:t>
            </w:r>
          </w:p>
        </w:tc>
        <w:tc>
          <w:tcPr>
            <w:tcW w:w="3060" w:type="dxa"/>
            <w:shd w:val="clear" w:color="auto" w:fill="F8FAFC"/>
            <w:tcMar>
              <w:top w:w="50" w:type="dxa"/>
              <w:left w:w="100" w:type="dxa"/>
              <w:bottom w:w="50" w:type="dxa"/>
              <w:right w:w="100" w:type="dxa"/>
            </w:tcMar>
            <w:vAlign w:val="center"/>
          </w:tcPr>
          <w:p w:rsidR="004E56E2" w:rsidRDefault="00000000" w14:paraId="62C3C7EC" w14:textId="77777777">
            <w:pPr>
              <w:spacing w:before="20" w:after="20"/>
            </w:pPr>
            <w:r>
              <w:rPr>
                <w:rFonts w:ascii="Arial" w:hAnsi="Arial" w:eastAsia="Arial" w:cs="Arial"/>
                <w:color w:val="111827"/>
                <w:sz w:val="19"/>
                <w:szCs w:val="19"/>
              </w:rPr>
              <w:t>Matched | Breached | none</w:t>
            </w:r>
          </w:p>
        </w:tc>
        <w:tc>
          <w:tcPr>
            <w:tcW w:w="4100" w:type="dxa"/>
            <w:shd w:val="clear" w:color="auto" w:fill="F8FAFC"/>
            <w:tcMar>
              <w:top w:w="50" w:type="dxa"/>
              <w:left w:w="100" w:type="dxa"/>
              <w:bottom w:w="50" w:type="dxa"/>
              <w:right w:w="100" w:type="dxa"/>
            </w:tcMar>
            <w:vAlign w:val="center"/>
          </w:tcPr>
          <w:p w:rsidR="004E56E2" w:rsidRDefault="00000000" w14:paraId="0BD9A38C" w14:textId="77777777">
            <w:pPr>
              <w:spacing w:before="20" w:after="20"/>
            </w:pPr>
            <w:r>
              <w:rPr>
                <w:rFonts w:ascii="Arial" w:hAnsi="Arial" w:eastAsia="Arial" w:cs="Arial"/>
                <w:color w:val="111827"/>
                <w:sz w:val="19"/>
                <w:szCs w:val="19"/>
              </w:rPr>
              <w:t>SLA Compliance &amp; Breaches (none if never opened)</w:t>
            </w:r>
          </w:p>
        </w:tc>
      </w:tr>
      <w:tr w:rsidR="004E56E2" w14:paraId="144AC9EE" w14:textId="77777777">
        <w:trPr>
          <w:cantSplit/>
        </w:trPr>
        <w:tc>
          <w:tcPr>
            <w:tcW w:w="2200" w:type="dxa"/>
            <w:shd w:val="clear" w:color="auto" w:fill="FFFFFF"/>
            <w:tcMar>
              <w:top w:w="50" w:type="dxa"/>
              <w:left w:w="100" w:type="dxa"/>
              <w:bottom w:w="50" w:type="dxa"/>
              <w:right w:w="100" w:type="dxa"/>
            </w:tcMar>
            <w:vAlign w:val="center"/>
          </w:tcPr>
          <w:p w:rsidR="004E56E2" w:rsidRDefault="00000000" w14:paraId="0CB59930" w14:textId="77777777">
            <w:pPr>
              <w:spacing w:before="20" w:after="20"/>
            </w:pPr>
            <w:r>
              <w:rPr>
                <w:rFonts w:ascii="Arial" w:hAnsi="Arial" w:eastAsia="Arial" w:cs="Arial"/>
                <w:b/>
                <w:bCs/>
                <w:color w:val="111827"/>
                <w:sz w:val="19"/>
                <w:szCs w:val="19"/>
              </w:rPr>
              <w:t>Event time</w:t>
            </w:r>
          </w:p>
        </w:tc>
        <w:tc>
          <w:tcPr>
            <w:tcW w:w="3060" w:type="dxa"/>
            <w:shd w:val="clear" w:color="auto" w:fill="FFFFFF"/>
            <w:tcMar>
              <w:top w:w="50" w:type="dxa"/>
              <w:left w:w="100" w:type="dxa"/>
              <w:bottom w:w="50" w:type="dxa"/>
              <w:right w:w="100" w:type="dxa"/>
            </w:tcMar>
            <w:vAlign w:val="center"/>
          </w:tcPr>
          <w:p w:rsidR="004E56E2" w:rsidRDefault="00000000" w14:paraId="2DC279B1" w14:textId="77777777">
            <w:pPr>
              <w:spacing w:before="20" w:after="20"/>
            </w:pPr>
            <w:r>
              <w:rPr>
                <w:rFonts w:ascii="Arial" w:hAnsi="Arial" w:eastAsia="Arial" w:cs="Arial"/>
                <w:color w:val="111827"/>
                <w:sz w:val="19"/>
                <w:szCs w:val="19"/>
              </w:rPr>
              <w:t>date &amp; time</w:t>
            </w:r>
          </w:p>
        </w:tc>
        <w:tc>
          <w:tcPr>
            <w:tcW w:w="4100" w:type="dxa"/>
            <w:shd w:val="clear" w:color="auto" w:fill="FFFFFF"/>
            <w:tcMar>
              <w:top w:w="50" w:type="dxa"/>
              <w:left w:w="100" w:type="dxa"/>
              <w:bottom w:w="50" w:type="dxa"/>
              <w:right w:w="100" w:type="dxa"/>
            </w:tcMar>
            <w:vAlign w:val="center"/>
          </w:tcPr>
          <w:p w:rsidR="004E56E2" w:rsidRDefault="00000000" w14:paraId="18C33812" w14:textId="77777777">
            <w:pPr>
              <w:spacing w:before="20" w:after="20"/>
            </w:pPr>
            <w:r>
              <w:rPr>
                <w:rFonts w:ascii="Arial" w:hAnsi="Arial" w:eastAsia="Arial" w:cs="Arial"/>
                <w:color w:val="111827"/>
                <w:sz w:val="19"/>
                <w:szCs w:val="19"/>
              </w:rPr>
              <w:t>Detection latency start (event seen in the SIEM)</w:t>
            </w:r>
          </w:p>
        </w:tc>
      </w:tr>
      <w:tr w:rsidR="004E56E2" w14:paraId="0432CFA3" w14:textId="77777777">
        <w:trPr>
          <w:cantSplit/>
        </w:trPr>
        <w:tc>
          <w:tcPr>
            <w:tcW w:w="2200" w:type="dxa"/>
            <w:shd w:val="clear" w:color="auto" w:fill="F8FAFC"/>
            <w:tcMar>
              <w:top w:w="50" w:type="dxa"/>
              <w:left w:w="100" w:type="dxa"/>
              <w:bottom w:w="50" w:type="dxa"/>
              <w:right w:w="100" w:type="dxa"/>
            </w:tcMar>
            <w:vAlign w:val="center"/>
          </w:tcPr>
          <w:p w:rsidR="004E56E2" w:rsidRDefault="00000000" w14:paraId="14317C91" w14:textId="77777777">
            <w:pPr>
              <w:spacing w:before="20" w:after="20"/>
            </w:pPr>
            <w:r>
              <w:rPr>
                <w:rFonts w:ascii="Arial" w:hAnsi="Arial" w:eastAsia="Arial" w:cs="Arial"/>
                <w:b/>
                <w:bCs/>
                <w:color w:val="111827"/>
                <w:sz w:val="19"/>
                <w:szCs w:val="19"/>
              </w:rPr>
              <w:t>Created time</w:t>
            </w:r>
          </w:p>
        </w:tc>
        <w:tc>
          <w:tcPr>
            <w:tcW w:w="3060" w:type="dxa"/>
            <w:shd w:val="clear" w:color="auto" w:fill="F8FAFC"/>
            <w:tcMar>
              <w:top w:w="50" w:type="dxa"/>
              <w:left w:w="100" w:type="dxa"/>
              <w:bottom w:w="50" w:type="dxa"/>
              <w:right w:w="100" w:type="dxa"/>
            </w:tcMar>
            <w:vAlign w:val="center"/>
          </w:tcPr>
          <w:p w:rsidR="004E56E2" w:rsidRDefault="00000000" w14:paraId="498476A1" w14:textId="77777777">
            <w:pPr>
              <w:spacing w:before="20" w:after="20"/>
            </w:pPr>
            <w:r>
              <w:rPr>
                <w:rFonts w:ascii="Arial" w:hAnsi="Arial" w:eastAsia="Arial" w:cs="Arial"/>
                <w:color w:val="111827"/>
                <w:sz w:val="19"/>
                <w:szCs w:val="19"/>
              </w:rPr>
              <w:t>date &amp; time</w:t>
            </w:r>
          </w:p>
        </w:tc>
        <w:tc>
          <w:tcPr>
            <w:tcW w:w="4100" w:type="dxa"/>
            <w:shd w:val="clear" w:color="auto" w:fill="F8FAFC"/>
            <w:tcMar>
              <w:top w:w="50" w:type="dxa"/>
              <w:left w:w="100" w:type="dxa"/>
              <w:bottom w:w="50" w:type="dxa"/>
              <w:right w:w="100" w:type="dxa"/>
            </w:tcMar>
            <w:vAlign w:val="center"/>
          </w:tcPr>
          <w:p w:rsidR="004E56E2" w:rsidRDefault="00000000" w14:paraId="79C7E1EA" w14:textId="77777777">
            <w:pPr>
              <w:spacing w:before="20" w:after="20"/>
            </w:pPr>
            <w:r>
              <w:rPr>
                <w:rFonts w:ascii="Arial" w:hAnsi="Arial" w:eastAsia="Arial" w:cs="Arial"/>
                <w:color w:val="111827"/>
                <w:sz w:val="19"/>
                <w:szCs w:val="19"/>
              </w:rPr>
              <w:t>Alert count; detection latency end</w:t>
            </w:r>
          </w:p>
        </w:tc>
      </w:tr>
      <w:tr w:rsidR="004E56E2" w14:paraId="6E765ECB" w14:textId="77777777">
        <w:trPr>
          <w:cantSplit/>
        </w:trPr>
        <w:tc>
          <w:tcPr>
            <w:tcW w:w="2200" w:type="dxa"/>
            <w:shd w:val="clear" w:color="auto" w:fill="FFFFFF"/>
            <w:tcMar>
              <w:top w:w="50" w:type="dxa"/>
              <w:left w:w="100" w:type="dxa"/>
              <w:bottom w:w="50" w:type="dxa"/>
              <w:right w:w="100" w:type="dxa"/>
            </w:tcMar>
            <w:vAlign w:val="center"/>
          </w:tcPr>
          <w:p w:rsidR="004E56E2" w:rsidRDefault="00000000" w14:paraId="2C545CD5" w14:textId="77777777">
            <w:pPr>
              <w:spacing w:before="20" w:after="20"/>
            </w:pPr>
            <w:r>
              <w:rPr>
                <w:rFonts w:ascii="Arial" w:hAnsi="Arial" w:eastAsia="Arial" w:cs="Arial"/>
                <w:b/>
                <w:bCs/>
                <w:color w:val="111827"/>
                <w:sz w:val="19"/>
                <w:szCs w:val="19"/>
              </w:rPr>
              <w:t>Opened time</w:t>
            </w:r>
          </w:p>
        </w:tc>
        <w:tc>
          <w:tcPr>
            <w:tcW w:w="3060" w:type="dxa"/>
            <w:shd w:val="clear" w:color="auto" w:fill="FFFFFF"/>
            <w:tcMar>
              <w:top w:w="50" w:type="dxa"/>
              <w:left w:w="100" w:type="dxa"/>
              <w:bottom w:w="50" w:type="dxa"/>
              <w:right w:w="100" w:type="dxa"/>
            </w:tcMar>
            <w:vAlign w:val="center"/>
          </w:tcPr>
          <w:p w:rsidR="004E56E2" w:rsidRDefault="00000000" w14:paraId="3B7A2F32" w14:textId="77777777">
            <w:pPr>
              <w:spacing w:before="20" w:after="20"/>
            </w:pPr>
            <w:r>
              <w:rPr>
                <w:rFonts w:ascii="Arial" w:hAnsi="Arial" w:eastAsia="Arial" w:cs="Arial"/>
                <w:color w:val="111827"/>
                <w:sz w:val="19"/>
                <w:szCs w:val="19"/>
              </w:rPr>
              <w:t>date &amp; time, or none</w:t>
            </w:r>
          </w:p>
        </w:tc>
        <w:tc>
          <w:tcPr>
            <w:tcW w:w="4100" w:type="dxa"/>
            <w:shd w:val="clear" w:color="auto" w:fill="FFFFFF"/>
            <w:tcMar>
              <w:top w:w="50" w:type="dxa"/>
              <w:left w:w="100" w:type="dxa"/>
              <w:bottom w:w="50" w:type="dxa"/>
              <w:right w:w="100" w:type="dxa"/>
            </w:tcMar>
            <w:vAlign w:val="center"/>
          </w:tcPr>
          <w:p w:rsidR="004E56E2" w:rsidRDefault="00000000" w14:paraId="59716682" w14:textId="77777777">
            <w:pPr>
              <w:spacing w:before="20" w:after="20"/>
            </w:pPr>
            <w:r>
              <w:rPr>
                <w:rFonts w:ascii="Arial" w:hAnsi="Arial" w:eastAsia="Arial" w:cs="Arial"/>
                <w:color w:val="111827"/>
                <w:sz w:val="19"/>
                <w:szCs w:val="19"/>
              </w:rPr>
              <w:t>Funnel &amp; resolution-time start (none if never opened)</w:t>
            </w:r>
          </w:p>
        </w:tc>
      </w:tr>
      <w:tr w:rsidR="004E56E2" w14:paraId="67ED7C6F" w14:textId="77777777">
        <w:trPr>
          <w:cantSplit/>
        </w:trPr>
        <w:tc>
          <w:tcPr>
            <w:tcW w:w="2200" w:type="dxa"/>
            <w:shd w:val="clear" w:color="auto" w:fill="F8FAFC"/>
            <w:tcMar>
              <w:top w:w="50" w:type="dxa"/>
              <w:left w:w="100" w:type="dxa"/>
              <w:bottom w:w="50" w:type="dxa"/>
              <w:right w:w="100" w:type="dxa"/>
            </w:tcMar>
            <w:vAlign w:val="center"/>
          </w:tcPr>
          <w:p w:rsidR="004E56E2" w:rsidRDefault="00000000" w14:paraId="4E1F7C38" w14:textId="77777777">
            <w:pPr>
              <w:spacing w:before="20" w:after="20"/>
            </w:pPr>
            <w:r>
              <w:rPr>
                <w:rFonts w:ascii="Arial" w:hAnsi="Arial" w:eastAsia="Arial" w:cs="Arial"/>
                <w:b/>
                <w:bCs/>
                <w:color w:val="111827"/>
                <w:sz w:val="19"/>
                <w:szCs w:val="19"/>
              </w:rPr>
              <w:t>First response time</w:t>
            </w:r>
          </w:p>
        </w:tc>
        <w:tc>
          <w:tcPr>
            <w:tcW w:w="3060" w:type="dxa"/>
            <w:shd w:val="clear" w:color="auto" w:fill="F8FAFC"/>
            <w:tcMar>
              <w:top w:w="50" w:type="dxa"/>
              <w:left w:w="100" w:type="dxa"/>
              <w:bottom w:w="50" w:type="dxa"/>
              <w:right w:w="100" w:type="dxa"/>
            </w:tcMar>
            <w:vAlign w:val="center"/>
          </w:tcPr>
          <w:p w:rsidR="004E56E2" w:rsidRDefault="00000000" w14:paraId="28ED4E88" w14:textId="77777777">
            <w:pPr>
              <w:spacing w:before="20" w:after="20"/>
            </w:pPr>
            <w:r>
              <w:rPr>
                <w:rFonts w:ascii="Arial" w:hAnsi="Arial" w:eastAsia="Arial" w:cs="Arial"/>
                <w:color w:val="111827"/>
                <w:sz w:val="19"/>
                <w:szCs w:val="19"/>
              </w:rPr>
              <w:t>date &amp; time, or none</w:t>
            </w:r>
          </w:p>
        </w:tc>
        <w:tc>
          <w:tcPr>
            <w:tcW w:w="4100" w:type="dxa"/>
            <w:shd w:val="clear" w:color="auto" w:fill="F8FAFC"/>
            <w:tcMar>
              <w:top w:w="50" w:type="dxa"/>
              <w:left w:w="100" w:type="dxa"/>
              <w:bottom w:w="50" w:type="dxa"/>
              <w:right w:w="100" w:type="dxa"/>
            </w:tcMar>
            <w:vAlign w:val="center"/>
          </w:tcPr>
          <w:p w:rsidR="004E56E2" w:rsidRDefault="00000000" w14:paraId="32EA773F" w14:textId="77777777">
            <w:pPr>
              <w:spacing w:before="20" w:after="20"/>
            </w:pPr>
            <w:r>
              <w:rPr>
                <w:rFonts w:ascii="Arial" w:hAnsi="Arial" w:eastAsia="Arial" w:cs="Arial"/>
                <w:color w:val="111827"/>
                <w:sz w:val="19"/>
                <w:szCs w:val="19"/>
              </w:rPr>
              <w:t>P1/P2/P3 response time</w:t>
            </w:r>
          </w:p>
        </w:tc>
      </w:tr>
      <w:tr w:rsidR="004E56E2" w14:paraId="5863FFCB" w14:textId="77777777">
        <w:trPr>
          <w:cantSplit/>
        </w:trPr>
        <w:tc>
          <w:tcPr>
            <w:tcW w:w="2200" w:type="dxa"/>
            <w:shd w:val="clear" w:color="auto" w:fill="FFFFFF"/>
            <w:tcMar>
              <w:top w:w="50" w:type="dxa"/>
              <w:left w:w="100" w:type="dxa"/>
              <w:bottom w:w="50" w:type="dxa"/>
              <w:right w:w="100" w:type="dxa"/>
            </w:tcMar>
            <w:vAlign w:val="center"/>
          </w:tcPr>
          <w:p w:rsidR="004E56E2" w:rsidRDefault="00000000" w14:paraId="1CCB9248" w14:textId="77777777">
            <w:pPr>
              <w:spacing w:before="20" w:after="20"/>
            </w:pPr>
            <w:r>
              <w:rPr>
                <w:rFonts w:ascii="Arial" w:hAnsi="Arial" w:eastAsia="Arial" w:cs="Arial"/>
                <w:b/>
                <w:bCs/>
                <w:color w:val="111827"/>
                <w:sz w:val="19"/>
                <w:szCs w:val="19"/>
              </w:rPr>
              <w:t>Closed time</w:t>
            </w:r>
          </w:p>
        </w:tc>
        <w:tc>
          <w:tcPr>
            <w:tcW w:w="3060" w:type="dxa"/>
            <w:shd w:val="clear" w:color="auto" w:fill="FFFFFF"/>
            <w:tcMar>
              <w:top w:w="50" w:type="dxa"/>
              <w:left w:w="100" w:type="dxa"/>
              <w:bottom w:w="50" w:type="dxa"/>
              <w:right w:w="100" w:type="dxa"/>
            </w:tcMar>
            <w:vAlign w:val="center"/>
          </w:tcPr>
          <w:p w:rsidR="004E56E2" w:rsidRDefault="00000000" w14:paraId="48B79378" w14:textId="77777777">
            <w:pPr>
              <w:spacing w:before="20" w:after="20"/>
            </w:pPr>
            <w:r>
              <w:rPr>
                <w:rFonts w:ascii="Arial" w:hAnsi="Arial" w:eastAsia="Arial" w:cs="Arial"/>
                <w:color w:val="111827"/>
                <w:sz w:val="19"/>
                <w:szCs w:val="19"/>
              </w:rPr>
              <w:t>date &amp; time, or none</w:t>
            </w:r>
          </w:p>
        </w:tc>
        <w:tc>
          <w:tcPr>
            <w:tcW w:w="4100" w:type="dxa"/>
            <w:shd w:val="clear" w:color="auto" w:fill="FFFFFF"/>
            <w:tcMar>
              <w:top w:w="50" w:type="dxa"/>
              <w:left w:w="100" w:type="dxa"/>
              <w:bottom w:w="50" w:type="dxa"/>
              <w:right w:w="100" w:type="dxa"/>
            </w:tcMar>
            <w:vAlign w:val="center"/>
          </w:tcPr>
          <w:p w:rsidR="004E56E2" w:rsidRDefault="00000000" w14:paraId="45A14F17" w14:textId="77777777">
            <w:pPr>
              <w:spacing w:before="20" w:after="20"/>
            </w:pPr>
            <w:r>
              <w:rPr>
                <w:rFonts w:ascii="Arial" w:hAnsi="Arial" w:eastAsia="Arial" w:cs="Arial"/>
                <w:color w:val="111827"/>
                <w:sz w:val="19"/>
                <w:szCs w:val="19"/>
              </w:rPr>
              <w:t>Resolution-time end (none if still open)</w:t>
            </w:r>
          </w:p>
        </w:tc>
      </w:tr>
      <w:tr w:rsidR="004E56E2" w14:paraId="69EB7F78" w14:textId="77777777">
        <w:trPr>
          <w:cantSplit/>
        </w:trPr>
        <w:tc>
          <w:tcPr>
            <w:tcW w:w="2200" w:type="dxa"/>
            <w:shd w:val="clear" w:color="auto" w:fill="F8FAFC"/>
            <w:tcMar>
              <w:top w:w="50" w:type="dxa"/>
              <w:left w:w="100" w:type="dxa"/>
              <w:bottom w:w="50" w:type="dxa"/>
              <w:right w:w="100" w:type="dxa"/>
            </w:tcMar>
            <w:vAlign w:val="center"/>
          </w:tcPr>
          <w:p w:rsidR="004E56E2" w:rsidRDefault="00000000" w14:paraId="0F58F1CE" w14:textId="77777777">
            <w:pPr>
              <w:spacing w:before="20" w:after="20"/>
            </w:pPr>
            <w:r>
              <w:rPr>
                <w:rFonts w:ascii="Arial" w:hAnsi="Arial" w:eastAsia="Arial" w:cs="Arial"/>
                <w:b/>
                <w:bCs/>
                <w:color w:val="111827"/>
                <w:sz w:val="19"/>
                <w:szCs w:val="19"/>
              </w:rPr>
              <w:t>Partner</w:t>
            </w:r>
          </w:p>
        </w:tc>
        <w:tc>
          <w:tcPr>
            <w:tcW w:w="3060" w:type="dxa"/>
            <w:shd w:val="clear" w:color="auto" w:fill="F8FAFC"/>
            <w:tcMar>
              <w:top w:w="50" w:type="dxa"/>
              <w:left w:w="100" w:type="dxa"/>
              <w:bottom w:w="50" w:type="dxa"/>
              <w:right w:w="100" w:type="dxa"/>
            </w:tcMar>
            <w:vAlign w:val="center"/>
          </w:tcPr>
          <w:p w:rsidR="004E56E2" w:rsidRDefault="00000000" w14:paraId="62412441" w14:textId="77777777">
            <w:pPr>
              <w:spacing w:before="20" w:after="20"/>
            </w:pPr>
            <w:r>
              <w:rPr>
                <w:rFonts w:ascii="Arial" w:hAnsi="Arial" w:eastAsia="Arial" w:cs="Arial"/>
                <w:color w:val="111827"/>
                <w:sz w:val="19"/>
                <w:szCs w:val="19"/>
              </w:rPr>
              <w:t>identifier</w:t>
            </w:r>
          </w:p>
        </w:tc>
        <w:tc>
          <w:tcPr>
            <w:tcW w:w="4100" w:type="dxa"/>
            <w:shd w:val="clear" w:color="auto" w:fill="F8FAFC"/>
            <w:tcMar>
              <w:top w:w="50" w:type="dxa"/>
              <w:left w:w="100" w:type="dxa"/>
              <w:bottom w:w="50" w:type="dxa"/>
              <w:right w:w="100" w:type="dxa"/>
            </w:tcMar>
            <w:vAlign w:val="center"/>
          </w:tcPr>
          <w:p w:rsidR="004E56E2" w:rsidRDefault="00000000" w14:paraId="7818C932" w14:textId="77777777">
            <w:pPr>
              <w:spacing w:before="20" w:after="20"/>
            </w:pPr>
            <w:r>
              <w:rPr>
                <w:rFonts w:ascii="Arial" w:hAnsi="Arial" w:eastAsia="Arial" w:cs="Arial"/>
                <w:color w:val="111827"/>
                <w:sz w:val="19"/>
                <w:szCs w:val="19"/>
              </w:rPr>
              <w:t>Tenancy scope</w:t>
            </w:r>
          </w:p>
        </w:tc>
      </w:tr>
      <w:tr w:rsidR="004E56E2" w14:paraId="70D5F174" w14:textId="77777777">
        <w:trPr>
          <w:cantSplit/>
        </w:trPr>
        <w:tc>
          <w:tcPr>
            <w:tcW w:w="2200" w:type="dxa"/>
            <w:shd w:val="clear" w:color="auto" w:fill="FFFFFF"/>
            <w:tcMar>
              <w:top w:w="50" w:type="dxa"/>
              <w:left w:w="100" w:type="dxa"/>
              <w:bottom w:w="50" w:type="dxa"/>
              <w:right w:w="100" w:type="dxa"/>
            </w:tcMar>
            <w:vAlign w:val="center"/>
          </w:tcPr>
          <w:p w:rsidR="004E56E2" w:rsidRDefault="00000000" w14:paraId="0A8605A0" w14:textId="77777777">
            <w:pPr>
              <w:spacing w:before="20" w:after="20"/>
            </w:pPr>
            <w:r>
              <w:rPr>
                <w:rFonts w:ascii="Arial" w:hAnsi="Arial" w:eastAsia="Arial" w:cs="Arial"/>
                <w:b/>
                <w:bCs/>
                <w:color w:val="111827"/>
                <w:sz w:val="19"/>
                <w:szCs w:val="19"/>
              </w:rPr>
              <w:t>Customer</w:t>
            </w:r>
          </w:p>
        </w:tc>
        <w:tc>
          <w:tcPr>
            <w:tcW w:w="3060" w:type="dxa"/>
            <w:shd w:val="clear" w:color="auto" w:fill="FFFFFF"/>
            <w:tcMar>
              <w:top w:w="50" w:type="dxa"/>
              <w:left w:w="100" w:type="dxa"/>
              <w:bottom w:w="50" w:type="dxa"/>
              <w:right w:w="100" w:type="dxa"/>
            </w:tcMar>
            <w:vAlign w:val="center"/>
          </w:tcPr>
          <w:p w:rsidR="004E56E2" w:rsidRDefault="00000000" w14:paraId="5292753C" w14:textId="77777777">
            <w:pPr>
              <w:spacing w:before="20" w:after="20"/>
            </w:pPr>
            <w:r>
              <w:rPr>
                <w:rFonts w:ascii="Arial" w:hAnsi="Arial" w:eastAsia="Arial" w:cs="Arial"/>
                <w:color w:val="111827"/>
                <w:sz w:val="19"/>
                <w:szCs w:val="19"/>
              </w:rPr>
              <w:t>identifier</w:t>
            </w:r>
          </w:p>
        </w:tc>
        <w:tc>
          <w:tcPr>
            <w:tcW w:w="4100" w:type="dxa"/>
            <w:shd w:val="clear" w:color="auto" w:fill="FFFFFF"/>
            <w:tcMar>
              <w:top w:w="50" w:type="dxa"/>
              <w:left w:w="100" w:type="dxa"/>
              <w:bottom w:w="50" w:type="dxa"/>
              <w:right w:w="100" w:type="dxa"/>
            </w:tcMar>
            <w:vAlign w:val="center"/>
          </w:tcPr>
          <w:p w:rsidR="004E56E2" w:rsidRDefault="00000000" w14:paraId="57A85BC8" w14:textId="77777777">
            <w:pPr>
              <w:spacing w:before="20" w:after="20"/>
            </w:pPr>
            <w:r>
              <w:rPr>
                <w:rFonts w:ascii="Arial" w:hAnsi="Arial" w:eastAsia="Arial" w:cs="Arial"/>
                <w:color w:val="111827"/>
                <w:sz w:val="19"/>
                <w:szCs w:val="19"/>
              </w:rPr>
              <w:t>Links the incident to a customer</w:t>
            </w:r>
          </w:p>
        </w:tc>
      </w:tr>
    </w:tbl>
    <w:p w:rsidR="004E56E2" w:rsidRDefault="00000000" w14:paraId="5A9CDB43" w14:textId="77777777">
      <w:pPr>
        <w:spacing w:before="60" w:after="160"/>
      </w:pPr>
      <w:r w:rsidRPr="7F26F1F0" w:rsidR="4198FB9E">
        <w:rPr>
          <w:rFonts w:ascii="Arial" w:hAnsi="Arial" w:eastAsia="Arial" w:cs="Arial"/>
          <w:i w:val="1"/>
          <w:iCs w:val="1"/>
          <w:color w:val="6B7280"/>
          <w:sz w:val="19"/>
          <w:szCs w:val="19"/>
        </w:rPr>
        <w:t xml:space="preserve">Descriptive context — for display and drill-down only, not metrics: </w:t>
      </w:r>
      <w:r w:rsidRPr="7F26F1F0" w:rsidR="4198FB9E">
        <w:rPr>
          <w:rFonts w:ascii="Arial" w:hAnsi="Arial" w:eastAsia="Arial" w:cs="Arial"/>
          <w:color w:val="6B7280"/>
          <w:sz w:val="19"/>
          <w:szCs w:val="19"/>
        </w:rPr>
        <w:t>ticket number, summary, category, analysis, recommendation, assigned analyst, MITRE techniques, and affected assets.</w:t>
      </w:r>
    </w:p>
    <w:p w:rsidR="004E56E2" w:rsidRDefault="004E56E2" w14:paraId="027EB7A9" w14:textId="77777777">
      <w:pPr>
        <w:spacing w:before="220"/>
      </w:pP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9360"/>
      </w:tblGrid>
      <w:tr w:rsidR="004E56E2" w14:paraId="26E2EC0D" w14:textId="77777777">
        <w:tc>
          <w:tcPr>
            <w:tcW w:w="9360" w:type="dxa"/>
            <w:shd w:val="clear" w:color="auto" w:fill="0F766E"/>
            <w:tcMar>
              <w:top w:w="160" w:type="dxa"/>
              <w:left w:w="280" w:type="dxa"/>
              <w:bottom w:w="160" w:type="dxa"/>
              <w:right w:w="280" w:type="dxa"/>
            </w:tcMar>
          </w:tcPr>
          <w:p w:rsidR="004E56E2" w:rsidRDefault="00000000" w14:paraId="5258773B" w14:textId="77777777">
            <w:r>
              <w:rPr>
                <w:rFonts w:ascii="Arial" w:hAnsi="Arial" w:eastAsia="Arial" w:cs="Arial"/>
                <w:b/>
                <w:bCs/>
                <w:color w:val="FFFFFF"/>
                <w:sz w:val="30"/>
                <w:szCs w:val="30"/>
              </w:rPr>
              <w:t>5.  Filters &amp; dimensions</w:t>
            </w:r>
          </w:p>
        </w:tc>
      </w:tr>
    </w:tbl>
    <w:p w:rsidR="004E56E2" w:rsidRDefault="004E56E2" w14:paraId="6A86827D" w14:textId="77777777">
      <w:pPr>
        <w:spacing w:after="120"/>
      </w:pPr>
    </w:p>
    <w:tbl>
      <w:tblPr>
        <w:tblW w:w="9360" w:type="dxa"/>
        <w:tblBorders>
          <w:top w:val="single" w:color="E2E8F0" w:sz="4" w:space="0"/>
          <w:left w:val="single" w:color="E2E8F0" w:sz="4" w:space="0"/>
          <w:bottom w:val="single" w:color="E2E8F0" w:sz="4" w:space="0"/>
          <w:right w:val="single" w:color="E2E8F0" w:sz="4" w:space="0"/>
          <w:insideH w:val="single" w:color="E2E8F0" w:sz="4" w:space="0"/>
          <w:insideV w:val="single" w:color="E2E8F0" w:sz="4" w:space="0"/>
        </w:tblBorders>
        <w:tblCellMar>
          <w:left w:w="10" w:type="dxa"/>
          <w:right w:w="10" w:type="dxa"/>
        </w:tblCellMar>
        <w:tblLook w:val="0000" w:firstRow="0" w:lastRow="0" w:firstColumn="0" w:lastColumn="0" w:noHBand="0" w:noVBand="0"/>
      </w:tblPr>
      <w:tblGrid>
        <w:gridCol w:w="2700"/>
        <w:gridCol w:w="6660"/>
      </w:tblGrid>
      <w:tr w:rsidR="004E56E2" w14:paraId="490905FD" w14:textId="77777777">
        <w:trPr>
          <w:cantSplit/>
          <w:tblHeader/>
        </w:trPr>
        <w:tc>
          <w:tcPr>
            <w:tcW w:w="2700" w:type="dxa"/>
            <w:shd w:val="clear" w:color="auto" w:fill="0F766E"/>
            <w:tcMar>
              <w:top w:w="50" w:type="dxa"/>
              <w:left w:w="100" w:type="dxa"/>
              <w:bottom w:w="50" w:type="dxa"/>
              <w:right w:w="100" w:type="dxa"/>
            </w:tcMar>
            <w:vAlign w:val="center"/>
          </w:tcPr>
          <w:p w:rsidR="004E56E2" w:rsidRDefault="00000000" w14:paraId="4548F876" w14:textId="77777777">
            <w:pPr>
              <w:spacing w:before="20" w:after="20"/>
            </w:pPr>
            <w:r>
              <w:rPr>
                <w:rFonts w:ascii="Arial" w:hAnsi="Arial" w:eastAsia="Arial" w:cs="Arial"/>
                <w:b/>
                <w:bCs/>
                <w:color w:val="FFFFFF"/>
                <w:sz w:val="19"/>
                <w:szCs w:val="19"/>
              </w:rPr>
              <w:t>Filter</w:t>
            </w:r>
          </w:p>
        </w:tc>
        <w:tc>
          <w:tcPr>
            <w:tcW w:w="6660" w:type="dxa"/>
            <w:shd w:val="clear" w:color="auto" w:fill="0F766E"/>
            <w:tcMar>
              <w:top w:w="50" w:type="dxa"/>
              <w:left w:w="100" w:type="dxa"/>
              <w:bottom w:w="50" w:type="dxa"/>
              <w:right w:w="100" w:type="dxa"/>
            </w:tcMar>
            <w:vAlign w:val="center"/>
          </w:tcPr>
          <w:p w:rsidR="004E56E2" w:rsidRDefault="00000000" w14:paraId="1B7094CC" w14:textId="77777777">
            <w:pPr>
              <w:spacing w:before="20" w:after="20"/>
            </w:pPr>
            <w:r>
              <w:rPr>
                <w:rFonts w:ascii="Arial" w:hAnsi="Arial" w:eastAsia="Arial" w:cs="Arial"/>
                <w:b/>
                <w:bCs/>
                <w:color w:val="FFFFFF"/>
                <w:sz w:val="19"/>
                <w:szCs w:val="19"/>
              </w:rPr>
              <w:t>Source</w:t>
            </w:r>
          </w:p>
        </w:tc>
      </w:tr>
      <w:tr w:rsidR="004E56E2" w14:paraId="232A91E0" w14:textId="77777777">
        <w:trPr>
          <w:cantSplit/>
        </w:trPr>
        <w:tc>
          <w:tcPr>
            <w:tcW w:w="2700" w:type="dxa"/>
            <w:shd w:val="clear" w:color="auto" w:fill="FFFFFF"/>
            <w:tcMar>
              <w:top w:w="50" w:type="dxa"/>
              <w:left w:w="100" w:type="dxa"/>
              <w:bottom w:w="50" w:type="dxa"/>
              <w:right w:w="100" w:type="dxa"/>
            </w:tcMar>
            <w:vAlign w:val="center"/>
          </w:tcPr>
          <w:p w:rsidR="004E56E2" w:rsidRDefault="00000000" w14:paraId="7A37975E" w14:textId="77777777">
            <w:pPr>
              <w:spacing w:before="20" w:after="20"/>
            </w:pPr>
            <w:r>
              <w:rPr>
                <w:rFonts w:ascii="Arial" w:hAnsi="Arial" w:eastAsia="Arial" w:cs="Arial"/>
                <w:color w:val="111827"/>
                <w:sz w:val="19"/>
                <w:szCs w:val="19"/>
              </w:rPr>
              <w:t>Customer</w:t>
            </w:r>
          </w:p>
        </w:tc>
        <w:tc>
          <w:tcPr>
            <w:tcW w:w="6660" w:type="dxa"/>
            <w:shd w:val="clear" w:color="auto" w:fill="FFFFFF"/>
            <w:tcMar>
              <w:top w:w="50" w:type="dxa"/>
              <w:left w:w="100" w:type="dxa"/>
              <w:bottom w:w="50" w:type="dxa"/>
              <w:right w:w="100" w:type="dxa"/>
            </w:tcMar>
            <w:vAlign w:val="center"/>
          </w:tcPr>
          <w:p w:rsidR="004E56E2" w:rsidRDefault="00000000" w14:paraId="41B6F6E5" w14:textId="77777777">
            <w:pPr>
              <w:spacing w:before="20" w:after="20"/>
            </w:pPr>
            <w:r>
              <w:rPr>
                <w:rFonts w:ascii="Arial" w:hAnsi="Arial" w:eastAsia="Arial" w:cs="Arial"/>
                <w:color w:val="111827"/>
                <w:sz w:val="19"/>
                <w:szCs w:val="19"/>
              </w:rPr>
              <w:t>Customer on the incident, scoped within its partner</w:t>
            </w:r>
          </w:p>
        </w:tc>
      </w:tr>
      <w:tr w:rsidR="004E56E2" w14:paraId="17D520B0" w14:textId="77777777">
        <w:trPr>
          <w:cantSplit/>
        </w:trPr>
        <w:tc>
          <w:tcPr>
            <w:tcW w:w="2700" w:type="dxa"/>
            <w:shd w:val="clear" w:color="auto" w:fill="F8FAFC"/>
            <w:tcMar>
              <w:top w:w="50" w:type="dxa"/>
              <w:left w:w="100" w:type="dxa"/>
              <w:bottom w:w="50" w:type="dxa"/>
              <w:right w:w="100" w:type="dxa"/>
            </w:tcMar>
            <w:vAlign w:val="center"/>
          </w:tcPr>
          <w:p w:rsidR="004E56E2" w:rsidRDefault="00000000" w14:paraId="332AFA52" w14:textId="77777777">
            <w:pPr>
              <w:spacing w:before="20" w:after="20"/>
            </w:pPr>
            <w:r>
              <w:rPr>
                <w:rFonts w:ascii="Arial" w:hAnsi="Arial" w:eastAsia="Arial" w:cs="Arial"/>
                <w:color w:val="111827"/>
                <w:sz w:val="19"/>
                <w:szCs w:val="19"/>
              </w:rPr>
              <w:t>SIEM</w:t>
            </w:r>
          </w:p>
        </w:tc>
        <w:tc>
          <w:tcPr>
            <w:tcW w:w="6660" w:type="dxa"/>
            <w:shd w:val="clear" w:color="auto" w:fill="F8FAFC"/>
            <w:tcMar>
              <w:top w:w="50" w:type="dxa"/>
              <w:left w:w="100" w:type="dxa"/>
              <w:bottom w:w="50" w:type="dxa"/>
              <w:right w:w="100" w:type="dxa"/>
            </w:tcMar>
            <w:vAlign w:val="center"/>
          </w:tcPr>
          <w:p w:rsidR="004E56E2" w:rsidRDefault="00000000" w14:paraId="12D1DB42" w14:textId="77777777">
            <w:pPr>
              <w:spacing w:before="20" w:after="20"/>
            </w:pPr>
            <w:r>
              <w:rPr>
                <w:rFonts w:ascii="Arial" w:hAnsi="Arial" w:eastAsia="Arial" w:cs="Arial"/>
                <w:color w:val="111827"/>
                <w:sz w:val="19"/>
                <w:szCs w:val="19"/>
              </w:rPr>
              <w:t>SIEM recorded on the incident (at creation)</w:t>
            </w:r>
          </w:p>
        </w:tc>
      </w:tr>
      <w:tr w:rsidR="004E56E2" w14:paraId="77097C40" w14:textId="77777777">
        <w:trPr>
          <w:cantSplit/>
        </w:trPr>
        <w:tc>
          <w:tcPr>
            <w:tcW w:w="2700" w:type="dxa"/>
            <w:shd w:val="clear" w:color="auto" w:fill="FFFFFF"/>
            <w:tcMar>
              <w:top w:w="50" w:type="dxa"/>
              <w:left w:w="100" w:type="dxa"/>
              <w:bottom w:w="50" w:type="dxa"/>
              <w:right w:w="100" w:type="dxa"/>
            </w:tcMar>
            <w:vAlign w:val="center"/>
          </w:tcPr>
          <w:p w:rsidR="004E56E2" w:rsidRDefault="00000000" w14:paraId="6653ABC5" w14:textId="77777777">
            <w:pPr>
              <w:spacing w:before="20" w:after="20"/>
            </w:pPr>
            <w:r>
              <w:rPr>
                <w:rFonts w:ascii="Arial" w:hAnsi="Arial" w:eastAsia="Arial" w:cs="Arial"/>
                <w:color w:val="111827"/>
                <w:sz w:val="19"/>
                <w:szCs w:val="19"/>
              </w:rPr>
              <w:t>SOAR</w:t>
            </w:r>
          </w:p>
        </w:tc>
        <w:tc>
          <w:tcPr>
            <w:tcW w:w="6660" w:type="dxa"/>
            <w:shd w:val="clear" w:color="auto" w:fill="FFFFFF"/>
            <w:tcMar>
              <w:top w:w="50" w:type="dxa"/>
              <w:left w:w="100" w:type="dxa"/>
              <w:bottom w:w="50" w:type="dxa"/>
              <w:right w:w="100" w:type="dxa"/>
            </w:tcMar>
            <w:vAlign w:val="center"/>
          </w:tcPr>
          <w:p w:rsidR="004E56E2" w:rsidRDefault="00000000" w14:paraId="32F1885F" w14:textId="77777777">
            <w:pPr>
              <w:spacing w:before="20" w:after="20"/>
            </w:pPr>
            <w:r>
              <w:rPr>
                <w:rFonts w:ascii="Arial" w:hAnsi="Arial" w:eastAsia="Arial" w:cs="Arial"/>
                <w:color w:val="111827"/>
                <w:sz w:val="19"/>
                <w:szCs w:val="19"/>
              </w:rPr>
              <w:t>SOAR recorded on the incident (at creation)</w:t>
            </w:r>
          </w:p>
        </w:tc>
      </w:tr>
      <w:tr w:rsidR="004E56E2" w14:paraId="13E83DAF" w14:textId="77777777">
        <w:trPr>
          <w:cantSplit/>
        </w:trPr>
        <w:tc>
          <w:tcPr>
            <w:tcW w:w="2700" w:type="dxa"/>
            <w:shd w:val="clear" w:color="auto" w:fill="F8FAFC"/>
            <w:tcMar>
              <w:top w:w="50" w:type="dxa"/>
              <w:left w:w="100" w:type="dxa"/>
              <w:bottom w:w="50" w:type="dxa"/>
              <w:right w:w="100" w:type="dxa"/>
            </w:tcMar>
            <w:vAlign w:val="center"/>
          </w:tcPr>
          <w:p w:rsidR="004E56E2" w:rsidRDefault="00000000" w14:paraId="41F097FD" w14:textId="77777777">
            <w:pPr>
              <w:spacing w:before="20" w:after="20"/>
            </w:pPr>
            <w:r>
              <w:rPr>
                <w:rFonts w:ascii="Arial" w:hAnsi="Arial" w:eastAsia="Arial" w:cs="Arial"/>
                <w:color w:val="111827"/>
                <w:sz w:val="19"/>
                <w:szCs w:val="19"/>
              </w:rPr>
              <w:t>Tier</w:t>
            </w:r>
          </w:p>
        </w:tc>
        <w:tc>
          <w:tcPr>
            <w:tcW w:w="6660" w:type="dxa"/>
            <w:shd w:val="clear" w:color="auto" w:fill="F8FAFC"/>
            <w:tcMar>
              <w:top w:w="50" w:type="dxa"/>
              <w:left w:w="100" w:type="dxa"/>
              <w:bottom w:w="50" w:type="dxa"/>
              <w:right w:w="100" w:type="dxa"/>
            </w:tcMar>
            <w:vAlign w:val="center"/>
          </w:tcPr>
          <w:p w:rsidR="004E56E2" w:rsidRDefault="00000000" w14:paraId="46039E99" w14:textId="77777777">
            <w:pPr>
              <w:spacing w:before="20" w:after="20"/>
            </w:pPr>
            <w:r>
              <w:rPr>
                <w:rFonts w:ascii="Arial" w:hAnsi="Arial" w:eastAsia="Arial" w:cs="Arial"/>
                <w:color w:val="111827"/>
                <w:sz w:val="19"/>
                <w:szCs w:val="19"/>
              </w:rPr>
              <w:t>Service type on the incident</w:t>
            </w:r>
          </w:p>
        </w:tc>
      </w:tr>
      <w:tr w:rsidR="004E56E2" w14:paraId="68E67AB5" w14:textId="77777777">
        <w:trPr>
          <w:cantSplit/>
        </w:trPr>
        <w:tc>
          <w:tcPr>
            <w:tcW w:w="2700" w:type="dxa"/>
            <w:shd w:val="clear" w:color="auto" w:fill="FFFFFF"/>
            <w:tcMar>
              <w:top w:w="50" w:type="dxa"/>
              <w:left w:w="100" w:type="dxa"/>
              <w:bottom w:w="50" w:type="dxa"/>
              <w:right w:w="100" w:type="dxa"/>
            </w:tcMar>
            <w:vAlign w:val="center"/>
          </w:tcPr>
          <w:p w:rsidR="004E56E2" w:rsidRDefault="00000000" w14:paraId="4F931DD8" w14:textId="77777777">
            <w:pPr>
              <w:spacing w:before="20" w:after="20"/>
            </w:pPr>
            <w:r>
              <w:rPr>
                <w:rFonts w:ascii="Arial" w:hAnsi="Arial" w:eastAsia="Arial" w:cs="Arial"/>
                <w:color w:val="111827"/>
                <w:sz w:val="19"/>
                <w:szCs w:val="19"/>
              </w:rPr>
              <w:t>Range</w:t>
            </w:r>
          </w:p>
        </w:tc>
        <w:tc>
          <w:tcPr>
            <w:tcW w:w="6660" w:type="dxa"/>
            <w:shd w:val="clear" w:color="auto" w:fill="FFFFFF"/>
            <w:tcMar>
              <w:top w:w="50" w:type="dxa"/>
              <w:left w:w="100" w:type="dxa"/>
              <w:bottom w:w="50" w:type="dxa"/>
              <w:right w:w="100" w:type="dxa"/>
            </w:tcMar>
            <w:vAlign w:val="center"/>
          </w:tcPr>
          <w:p w:rsidR="004E56E2" w:rsidRDefault="00000000" w14:paraId="59ECB4F1" w14:textId="77777777">
            <w:pPr>
              <w:spacing w:before="20" w:after="20"/>
            </w:pPr>
            <w:r>
              <w:rPr>
                <w:rFonts w:ascii="Arial" w:hAnsi="Arial" w:eastAsia="Arial" w:cs="Arial"/>
                <w:color w:val="111827"/>
                <w:sz w:val="19"/>
                <w:szCs w:val="19"/>
              </w:rPr>
              <w:t>Time window over the relevant date</w:t>
            </w:r>
          </w:p>
        </w:tc>
      </w:tr>
    </w:tbl>
    <w:p w:rsidR="004E56E2" w:rsidRDefault="004E56E2" w14:paraId="6CFE66F0" w14:textId="77777777">
      <w:pPr>
        <w:spacing w:before="220"/>
      </w:pP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9360"/>
      </w:tblGrid>
      <w:tr w:rsidR="004E56E2" w14:paraId="401A1963" w14:textId="77777777">
        <w:tc>
          <w:tcPr>
            <w:tcW w:w="9360" w:type="dxa"/>
            <w:shd w:val="clear" w:color="auto" w:fill="0F766E"/>
            <w:tcMar>
              <w:top w:w="160" w:type="dxa"/>
              <w:left w:w="280" w:type="dxa"/>
              <w:bottom w:w="160" w:type="dxa"/>
              <w:right w:w="280" w:type="dxa"/>
            </w:tcMar>
          </w:tcPr>
          <w:p w:rsidR="004E56E2" w:rsidRDefault="00000000" w14:paraId="76C008AF" w14:textId="77777777">
            <w:r>
              <w:rPr>
                <w:rFonts w:ascii="Arial" w:hAnsi="Arial" w:eastAsia="Arial" w:cs="Arial"/>
                <w:b/>
                <w:bCs/>
                <w:color w:val="FFFFFF"/>
                <w:sz w:val="30"/>
                <w:szCs w:val="30"/>
              </w:rPr>
              <w:t>6.  KPIs to surface</w:t>
            </w:r>
          </w:p>
        </w:tc>
      </w:tr>
    </w:tbl>
    <w:p w:rsidR="004E56E2" w:rsidRDefault="004E56E2" w14:paraId="444CAF86" w14:textId="77777777">
      <w:pPr>
        <w:spacing w:after="120"/>
      </w:pPr>
    </w:p>
    <w:p w:rsidR="004E56E2" w:rsidRDefault="00000000" w14:paraId="4CF6893C" w14:textId="77777777">
      <w:pPr>
        <w:spacing w:after="120" w:line="276" w:lineRule="auto"/>
      </w:pPr>
      <w:r>
        <w:rPr>
          <w:rFonts w:ascii="Arial" w:hAnsi="Arial" w:eastAsia="Arial" w:cs="Arial"/>
          <w:color w:val="111827"/>
          <w:sz w:val="21"/>
          <w:szCs w:val="21"/>
        </w:rPr>
        <w:t>The dashboard should surface the KPIs below. Working out how to compute each one from the data — and documenting the assumptions you make — is part of the challenge.</w:t>
      </w:r>
    </w:p>
    <w:p w:rsidR="004E56E2" w:rsidRDefault="00000000" w14:paraId="7A000020" w14:textId="77777777">
      <w:pPr>
        <w:pStyle w:val="ListParagraph"/>
        <w:numPr>
          <w:ilvl w:val="0"/>
          <w:numId w:val="2"/>
        </w:numPr>
        <w:spacing w:after="60" w:line="268" w:lineRule="auto"/>
      </w:pPr>
      <w:r>
        <w:rPr>
          <w:rFonts w:ascii="Arial" w:hAnsi="Arial" w:eastAsia="Arial" w:cs="Arial"/>
          <w:color w:val="111827"/>
          <w:sz w:val="21"/>
          <w:szCs w:val="21"/>
        </w:rPr>
        <w:t>Alerts</w:t>
      </w:r>
    </w:p>
    <w:p w:rsidR="004E56E2" w:rsidRDefault="00000000" w14:paraId="3282EA58" w14:textId="77777777">
      <w:pPr>
        <w:pStyle w:val="ListParagraph"/>
        <w:numPr>
          <w:ilvl w:val="0"/>
          <w:numId w:val="2"/>
        </w:numPr>
        <w:spacing w:after="60" w:line="268" w:lineRule="auto"/>
      </w:pPr>
      <w:r>
        <w:rPr>
          <w:rFonts w:ascii="Arial" w:hAnsi="Arial" w:eastAsia="Arial" w:cs="Arial"/>
          <w:color w:val="111827"/>
          <w:sz w:val="21"/>
          <w:szCs w:val="21"/>
        </w:rPr>
        <w:t>Critical Alerts</w:t>
      </w:r>
    </w:p>
    <w:p w:rsidR="004E56E2" w:rsidRDefault="00000000" w14:paraId="6364FF4B" w14:textId="77777777">
      <w:pPr>
        <w:pStyle w:val="ListParagraph"/>
        <w:numPr>
          <w:ilvl w:val="0"/>
          <w:numId w:val="2"/>
        </w:numPr>
        <w:spacing w:after="60" w:line="268" w:lineRule="auto"/>
      </w:pPr>
      <w:r>
        <w:rPr>
          <w:rFonts w:ascii="Arial" w:hAnsi="Arial" w:eastAsia="Arial" w:cs="Arial"/>
          <w:color w:val="111827"/>
          <w:sz w:val="21"/>
          <w:szCs w:val="21"/>
        </w:rPr>
        <w:t>Incidents</w:t>
      </w:r>
    </w:p>
    <w:p w:rsidR="004E56E2" w:rsidRDefault="00000000" w14:paraId="34A2CB78" w14:textId="77777777">
      <w:pPr>
        <w:pStyle w:val="ListParagraph"/>
        <w:numPr>
          <w:ilvl w:val="0"/>
          <w:numId w:val="2"/>
        </w:numPr>
        <w:spacing w:after="60" w:line="268" w:lineRule="auto"/>
      </w:pPr>
      <w:r>
        <w:rPr>
          <w:rFonts w:ascii="Arial" w:hAnsi="Arial" w:eastAsia="Arial" w:cs="Arial"/>
          <w:color w:val="111827"/>
          <w:sz w:val="21"/>
          <w:szCs w:val="21"/>
        </w:rPr>
        <w:t>Avg MTTD</w:t>
      </w:r>
    </w:p>
    <w:p w:rsidR="004E56E2" w:rsidRDefault="00000000" w14:paraId="646491A9" w14:textId="77777777">
      <w:pPr>
        <w:pStyle w:val="ListParagraph"/>
        <w:numPr>
          <w:ilvl w:val="0"/>
          <w:numId w:val="2"/>
        </w:numPr>
        <w:spacing w:after="60" w:line="268" w:lineRule="auto"/>
      </w:pPr>
      <w:r>
        <w:rPr>
          <w:rFonts w:ascii="Arial" w:hAnsi="Arial" w:eastAsia="Arial" w:cs="Arial"/>
          <w:color w:val="111827"/>
          <w:sz w:val="21"/>
          <w:szCs w:val="21"/>
        </w:rPr>
        <w:t>Avg MTTR</w:t>
      </w:r>
    </w:p>
    <w:p w:rsidR="004E56E2" w:rsidRDefault="00000000" w14:paraId="0134DCC9" w14:textId="77777777">
      <w:pPr>
        <w:pStyle w:val="ListParagraph"/>
        <w:numPr>
          <w:ilvl w:val="0"/>
          <w:numId w:val="2"/>
        </w:numPr>
        <w:spacing w:after="60" w:line="268" w:lineRule="auto"/>
      </w:pPr>
      <w:r>
        <w:rPr>
          <w:rFonts w:ascii="Arial" w:hAnsi="Arial" w:eastAsia="Arial" w:cs="Arial"/>
          <w:color w:val="111827"/>
          <w:sz w:val="21"/>
          <w:szCs w:val="21"/>
        </w:rPr>
        <w:t>SLA Compliance</w:t>
      </w:r>
    </w:p>
    <w:p w:rsidR="004E56E2" w:rsidRDefault="00000000" w14:paraId="6406BD12" w14:textId="77777777">
      <w:pPr>
        <w:pStyle w:val="ListParagraph"/>
        <w:numPr>
          <w:ilvl w:val="0"/>
          <w:numId w:val="2"/>
        </w:numPr>
        <w:spacing w:after="60" w:line="268" w:lineRule="auto"/>
      </w:pPr>
      <w:r>
        <w:rPr>
          <w:rFonts w:ascii="Arial" w:hAnsi="Arial" w:eastAsia="Arial" w:cs="Arial"/>
          <w:color w:val="111827"/>
          <w:sz w:val="21"/>
          <w:szCs w:val="21"/>
        </w:rPr>
        <w:t>SLA Breaches</w:t>
      </w:r>
    </w:p>
    <w:p w:rsidR="004E56E2" w:rsidRDefault="00000000" w14:paraId="71904244" w14:textId="77777777">
      <w:pPr>
        <w:pStyle w:val="ListParagraph"/>
        <w:numPr>
          <w:ilvl w:val="0"/>
          <w:numId w:val="2"/>
        </w:numPr>
        <w:spacing w:after="60" w:line="268" w:lineRule="auto"/>
      </w:pPr>
      <w:r>
        <w:rPr>
          <w:rFonts w:ascii="Arial" w:hAnsi="Arial" w:eastAsia="Arial" w:cs="Arial"/>
          <w:color w:val="111827"/>
          <w:sz w:val="21"/>
          <w:szCs w:val="21"/>
        </w:rPr>
        <w:t>False-Positive Rate</w:t>
      </w:r>
    </w:p>
    <w:p w:rsidR="004E56E2" w:rsidRDefault="00000000" w14:paraId="464B1121" w14:textId="77777777">
      <w:pPr>
        <w:pStyle w:val="ListParagraph"/>
        <w:numPr>
          <w:ilvl w:val="0"/>
          <w:numId w:val="2"/>
        </w:numPr>
        <w:spacing w:after="60" w:line="268" w:lineRule="auto"/>
      </w:pPr>
      <w:r>
        <w:rPr>
          <w:rFonts w:ascii="Arial" w:hAnsi="Arial" w:eastAsia="Arial" w:cs="Arial"/>
          <w:color w:val="111827"/>
          <w:sz w:val="21"/>
          <w:szCs w:val="21"/>
        </w:rPr>
        <w:t>P1 / P2 / P3 Avg Response</w:t>
      </w:r>
    </w:p>
    <w:p w:rsidR="004E56E2" w:rsidRDefault="004E56E2" w14:paraId="36AAC964" w14:textId="77777777">
      <w:pPr>
        <w:spacing w:before="220"/>
      </w:pP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9360"/>
      </w:tblGrid>
      <w:tr w:rsidR="004E56E2" w14:paraId="6C799A6E" w14:textId="77777777">
        <w:tc>
          <w:tcPr>
            <w:tcW w:w="9360" w:type="dxa"/>
            <w:shd w:val="clear" w:color="auto" w:fill="0F766E"/>
            <w:tcMar>
              <w:top w:w="160" w:type="dxa"/>
              <w:left w:w="280" w:type="dxa"/>
              <w:bottom w:w="160" w:type="dxa"/>
              <w:right w:w="280" w:type="dxa"/>
            </w:tcMar>
          </w:tcPr>
          <w:p w:rsidR="004E56E2" w:rsidRDefault="00000000" w14:paraId="31A39AE2" w14:textId="77777777">
            <w:r>
              <w:rPr>
                <w:rFonts w:ascii="Arial" w:hAnsi="Arial" w:eastAsia="Arial" w:cs="Arial"/>
                <w:b/>
                <w:bCs/>
                <w:color w:val="FFFFFF"/>
                <w:sz w:val="30"/>
                <w:szCs w:val="30"/>
              </w:rPr>
              <w:t>7.  Deliverables</w:t>
            </w:r>
          </w:p>
        </w:tc>
      </w:tr>
    </w:tbl>
    <w:p w:rsidR="004E56E2" w:rsidRDefault="004E56E2" w14:paraId="10264EFF" w14:textId="77777777">
      <w:pPr>
        <w:spacing w:after="120"/>
      </w:pPr>
    </w:p>
    <w:p w:rsidR="004E56E2" w:rsidRDefault="00000000" w14:paraId="28B148CE" w14:textId="77777777">
      <w:pPr>
        <w:pStyle w:val="ListParagraph"/>
        <w:numPr>
          <w:ilvl w:val="0"/>
          <w:numId w:val="2"/>
        </w:numPr>
        <w:spacing w:after="60" w:line="268" w:lineRule="auto"/>
      </w:pPr>
      <w:r>
        <w:rPr>
          <w:rFonts w:ascii="Arial" w:hAnsi="Arial" w:eastAsia="Arial" w:cs="Arial"/>
          <w:color w:val="111827"/>
          <w:sz w:val="21"/>
          <w:szCs w:val="21"/>
        </w:rPr>
        <w:t>A working dashboard — filter bar, KPI cards, and both trend charts — running against the provided data.</w:t>
      </w:r>
    </w:p>
    <w:p w:rsidR="004E56E2" w:rsidRDefault="00000000" w14:paraId="3442DB35" w14:textId="77777777">
      <w:pPr>
        <w:pStyle w:val="ListParagraph"/>
        <w:numPr>
          <w:ilvl w:val="0"/>
          <w:numId w:val="2"/>
        </w:numPr>
        <w:spacing w:after="60" w:line="268" w:lineRule="auto"/>
      </w:pPr>
      <w:r>
        <w:rPr>
          <w:rFonts w:ascii="Arial" w:hAnsi="Arial" w:eastAsia="Arial" w:cs="Arial"/>
          <w:color w:val="111827"/>
          <w:sz w:val="21"/>
          <w:szCs w:val="21"/>
        </w:rPr>
        <w:lastRenderedPageBreak/>
        <w:t>The API / aggregation layer that computes the KPIs.</w:t>
      </w:r>
    </w:p>
    <w:p w:rsidR="004E56E2" w:rsidRDefault="00000000" w14:paraId="03E047F7" w14:textId="77777777">
      <w:pPr>
        <w:pStyle w:val="ListParagraph"/>
        <w:numPr>
          <w:ilvl w:val="0"/>
          <w:numId w:val="2"/>
        </w:numPr>
        <w:spacing w:after="60" w:line="268" w:lineRule="auto"/>
      </w:pPr>
      <w:r>
        <w:rPr>
          <w:rFonts w:ascii="Arial" w:hAnsi="Arial" w:eastAsia="Arial" w:cs="Arial"/>
          <w:color w:val="111827"/>
          <w:sz w:val="21"/>
          <w:szCs w:val="21"/>
        </w:rPr>
        <w:t>Source code with a short README: how to run it, and any assumptions made.</w:t>
      </w:r>
    </w:p>
    <w:p w:rsidR="004E56E2" w:rsidRDefault="00000000" w14:paraId="4E357BB0" w14:textId="77777777">
      <w:pPr>
        <w:pStyle w:val="ListParagraph"/>
        <w:numPr>
          <w:ilvl w:val="0"/>
          <w:numId w:val="2"/>
        </w:numPr>
        <w:spacing w:after="60" w:line="268" w:lineRule="auto"/>
      </w:pPr>
      <w:r>
        <w:rPr>
          <w:rFonts w:ascii="Arial" w:hAnsi="Arial" w:eastAsia="Arial" w:cs="Arial"/>
          <w:color w:val="111827"/>
          <w:sz w:val="21"/>
          <w:szCs w:val="21"/>
        </w:rPr>
        <w:t>A 3–5 minute demo.</w:t>
      </w:r>
    </w:p>
    <w:p w:rsidR="004E56E2" w:rsidRDefault="004E56E2" w14:paraId="74D6E82D" w14:textId="77777777">
      <w:pPr>
        <w:spacing w:before="220"/>
      </w:pP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9360"/>
      </w:tblGrid>
      <w:tr w:rsidR="004E56E2" w14:paraId="59B1ECFE" w14:textId="77777777">
        <w:tc>
          <w:tcPr>
            <w:tcW w:w="9360" w:type="dxa"/>
            <w:shd w:val="clear" w:color="auto" w:fill="0F766E"/>
            <w:tcMar>
              <w:top w:w="160" w:type="dxa"/>
              <w:left w:w="280" w:type="dxa"/>
              <w:bottom w:w="160" w:type="dxa"/>
              <w:right w:w="280" w:type="dxa"/>
            </w:tcMar>
          </w:tcPr>
          <w:p w:rsidR="004E56E2" w:rsidRDefault="00000000" w14:paraId="7395ECFF" w14:textId="77777777">
            <w:r>
              <w:rPr>
                <w:rFonts w:ascii="Arial" w:hAnsi="Arial" w:eastAsia="Arial" w:cs="Arial"/>
                <w:b/>
                <w:bCs/>
                <w:color w:val="FFFFFF"/>
                <w:sz w:val="30"/>
                <w:szCs w:val="30"/>
              </w:rPr>
              <w:t>8.  Stretch goals (bonus)</w:t>
            </w:r>
          </w:p>
        </w:tc>
      </w:tr>
    </w:tbl>
    <w:p w:rsidR="004E56E2" w:rsidRDefault="004E56E2" w14:paraId="19DDBDF1" w14:textId="77777777">
      <w:pPr>
        <w:spacing w:after="120"/>
      </w:pPr>
    </w:p>
    <w:p w:rsidR="004E56E2" w:rsidRDefault="00000000" w14:paraId="7F000010" w14:textId="77777777">
      <w:pPr>
        <w:spacing w:after="120" w:line="276" w:lineRule="auto"/>
      </w:pPr>
      <w:r>
        <w:rPr>
          <w:rFonts w:ascii="Arial" w:hAnsi="Arial" w:eastAsia="Arial" w:cs="Arial"/>
          <w:color w:val="111827"/>
          <w:sz w:val="21"/>
          <w:szCs w:val="21"/>
        </w:rPr>
        <w:t>Surprise us. Anything beyond the core that makes this genuinely useful to a SOC leader — a way to investigate an incident in depth, an early warning before things breach, a sharper way to frame the data — is where your creativity counts. Pick a direction and run with it.</w:t>
      </w:r>
    </w:p>
    <w:sectPr w:rsidR="004E56E2">
      <w:pgSz w:w="12240" w:h="15840" w:orient="portrait"/>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572F91"/>
    <w:multiLevelType w:val="hybridMultilevel"/>
    <w:tmpl w:val="BC96710A"/>
    <w:lvl w:ilvl="0" w:tplc="171C06C0">
      <w:start w:val="1"/>
      <w:numFmt w:val="bullet"/>
      <w:lvlText w:val="●"/>
      <w:lvlJc w:val="left"/>
      <w:pPr>
        <w:ind w:left="720" w:hanging="360"/>
      </w:pPr>
    </w:lvl>
    <w:lvl w:ilvl="1" w:tplc="57888230">
      <w:start w:val="1"/>
      <w:numFmt w:val="bullet"/>
      <w:lvlText w:val="○"/>
      <w:lvlJc w:val="left"/>
      <w:pPr>
        <w:ind w:left="1440" w:hanging="360"/>
      </w:pPr>
    </w:lvl>
    <w:lvl w:ilvl="2" w:tplc="E88E22D2">
      <w:start w:val="1"/>
      <w:numFmt w:val="bullet"/>
      <w:lvlText w:val="■"/>
      <w:lvlJc w:val="left"/>
      <w:pPr>
        <w:ind w:left="2160" w:hanging="360"/>
      </w:pPr>
    </w:lvl>
    <w:lvl w:ilvl="3" w:tplc="52D4FC96">
      <w:start w:val="1"/>
      <w:numFmt w:val="bullet"/>
      <w:lvlText w:val="●"/>
      <w:lvlJc w:val="left"/>
      <w:pPr>
        <w:ind w:left="2880" w:hanging="360"/>
      </w:pPr>
    </w:lvl>
    <w:lvl w:ilvl="4" w:tplc="B5ECC36E">
      <w:start w:val="1"/>
      <w:numFmt w:val="bullet"/>
      <w:lvlText w:val="○"/>
      <w:lvlJc w:val="left"/>
      <w:pPr>
        <w:ind w:left="3600" w:hanging="360"/>
      </w:pPr>
    </w:lvl>
    <w:lvl w:ilvl="5" w:tplc="090677E0">
      <w:start w:val="1"/>
      <w:numFmt w:val="bullet"/>
      <w:lvlText w:val="■"/>
      <w:lvlJc w:val="left"/>
      <w:pPr>
        <w:ind w:left="4320" w:hanging="360"/>
      </w:pPr>
    </w:lvl>
    <w:lvl w:ilvl="6" w:tplc="6E0C4DF6">
      <w:start w:val="1"/>
      <w:numFmt w:val="bullet"/>
      <w:lvlText w:val="●"/>
      <w:lvlJc w:val="left"/>
      <w:pPr>
        <w:ind w:left="5040" w:hanging="360"/>
      </w:pPr>
    </w:lvl>
    <w:lvl w:ilvl="7" w:tplc="39584614">
      <w:start w:val="1"/>
      <w:numFmt w:val="bullet"/>
      <w:lvlText w:val="●"/>
      <w:lvlJc w:val="left"/>
      <w:pPr>
        <w:ind w:left="5760" w:hanging="360"/>
      </w:pPr>
    </w:lvl>
    <w:lvl w:ilvl="8" w:tplc="C24C786C">
      <w:start w:val="1"/>
      <w:numFmt w:val="bullet"/>
      <w:lvlText w:val="●"/>
      <w:lvlJc w:val="left"/>
      <w:pPr>
        <w:ind w:left="6480" w:hanging="360"/>
      </w:pPr>
    </w:lvl>
  </w:abstractNum>
  <w:abstractNum w:abstractNumId="1" w15:restartNumberingAfterBreak="0">
    <w:nsid w:val="4D8770EE"/>
    <w:multiLevelType w:val="hybridMultilevel"/>
    <w:tmpl w:val="41FCB05C"/>
    <w:lvl w:ilvl="0" w:tplc="31284596">
      <w:start w:val="1"/>
      <w:numFmt w:val="bullet"/>
      <w:lvlText w:val="•"/>
      <w:lvlJc w:val="left"/>
      <w:pPr>
        <w:ind w:left="460" w:hanging="260"/>
      </w:pPr>
      <w:rPr>
        <w:color w:val="0F766E"/>
      </w:rPr>
    </w:lvl>
    <w:lvl w:ilvl="1" w:tplc="F1586C62">
      <w:start w:val="1"/>
      <w:numFmt w:val="bullet"/>
      <w:lvlText w:val="–"/>
      <w:lvlJc w:val="left"/>
      <w:pPr>
        <w:ind w:left="900" w:hanging="260"/>
      </w:pPr>
    </w:lvl>
    <w:lvl w:ilvl="2" w:tplc="6C882D9C">
      <w:numFmt w:val="decimal"/>
      <w:lvlText w:val=""/>
      <w:lvlJc w:val="left"/>
    </w:lvl>
    <w:lvl w:ilvl="3" w:tplc="3CB429C6">
      <w:numFmt w:val="decimal"/>
      <w:lvlText w:val=""/>
      <w:lvlJc w:val="left"/>
    </w:lvl>
    <w:lvl w:ilvl="4" w:tplc="E93AF948">
      <w:numFmt w:val="decimal"/>
      <w:lvlText w:val=""/>
      <w:lvlJc w:val="left"/>
    </w:lvl>
    <w:lvl w:ilvl="5" w:tplc="C032B1C0">
      <w:numFmt w:val="decimal"/>
      <w:lvlText w:val=""/>
      <w:lvlJc w:val="left"/>
    </w:lvl>
    <w:lvl w:ilvl="6" w:tplc="811439DC">
      <w:numFmt w:val="decimal"/>
      <w:lvlText w:val=""/>
      <w:lvlJc w:val="left"/>
    </w:lvl>
    <w:lvl w:ilvl="7" w:tplc="3844D4F8">
      <w:numFmt w:val="decimal"/>
      <w:lvlText w:val=""/>
      <w:lvlJc w:val="left"/>
    </w:lvl>
    <w:lvl w:ilvl="8" w:tplc="A990AE44">
      <w:numFmt w:val="decimal"/>
      <w:lvlText w:val=""/>
      <w:lvlJc w:val="left"/>
    </w:lvl>
  </w:abstractNum>
  <w:num w:numId="1" w16cid:durableId="281352628">
    <w:abstractNumId w:val="0"/>
    <w:lvlOverride w:ilvl="0">
      <w:startOverride w:val="1"/>
    </w:lvlOverride>
  </w:num>
  <w:num w:numId="2" w16cid:durableId="81010015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6E2"/>
    <w:rsid w:val="001308C0"/>
    <w:rsid w:val="004E56E2"/>
    <w:rsid w:val="005F444D"/>
    <w:rsid w:val="00FC6C78"/>
    <w:rsid w:val="0682F997"/>
    <w:rsid w:val="213A1E89"/>
    <w:rsid w:val="21489C77"/>
    <w:rsid w:val="22066877"/>
    <w:rsid w:val="22742754"/>
    <w:rsid w:val="2C1FC651"/>
    <w:rsid w:val="2FFBC76C"/>
    <w:rsid w:val="377F1140"/>
    <w:rsid w:val="4198FB9E"/>
    <w:rsid w:val="51FA36FD"/>
    <w:rsid w:val="689F53E1"/>
    <w:rsid w:val="70950C67"/>
    <w:rsid w:val="71BD0863"/>
    <w:rsid w:val="7C75E807"/>
    <w:rsid w:val="7F26F1F0"/>
    <w:rsid w:val="7FBC22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5796B48"/>
  <w15:docId w15:val="{3CD0F64A-35EC-A145-9F74-C12ECA26A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hAnsi="Times New Roman" w:eastAsia="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Ketan Gote</lastModifiedBy>
  <revision>3</revision>
  <dcterms:created xsi:type="dcterms:W3CDTF">2026-07-16T10:18:00.0000000Z</dcterms:created>
  <dcterms:modified xsi:type="dcterms:W3CDTF">2026-07-17T03:20:11.3830385Z</dcterms:modified>
</coreProperties>
</file>